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t xml:space="preserve">9. M. D. Visser, S. Joseph Wright, Helene C. Muller-Landau, Eelke Jongejans, Liza S. Comita, Hans de Kroon and Stefan Schnitzer. 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p>
      <w:r>
        <w:pict>
          <v:rect style="width:0;height:1.5pt" o:hralign="center" o:hrstd="t" o:hr="t"/>
        </w:pict>
      </w:r>
    </w:p>
    <w:tbl>
      <w:tblPr>
        <w:tblStyle w:val="TableNormal"/>
        <w:tblW w:type="pct" w:w="0.0"/>
      </w:tblPr>
      <w:tblGrid/>
      <w:tr>
        <w:tc>
          <w:p>
            <w:pPr>
              <w:pStyle w:val="Compact"/>
              <w:jc w:val="left"/>
            </w:pPr>
            <w:r>
              <w:t xml:space="preserve">marco.d.visser at gmail dot com</w:t>
            </w:r>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bb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