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DC8E3" w14:textId="3D39C92E" w:rsidR="00B7536B" w:rsidRDefault="00B7536B">
      <w:pPr>
        <w:rPr>
          <w:rFonts w:ascii="Times New Roman" w:hAnsi="Times New Roman" w:cs="Times New Roman"/>
          <w:sz w:val="24"/>
          <w:szCs w:val="24"/>
        </w:rPr>
      </w:pPr>
      <w:r>
        <w:rPr>
          <w:rFonts w:ascii="Times New Roman" w:hAnsi="Times New Roman" w:cs="Times New Roman"/>
          <w:sz w:val="24"/>
          <w:szCs w:val="24"/>
        </w:rPr>
        <w:t xml:space="preserve">Impact of </w:t>
      </w:r>
      <w:r w:rsidR="00EA02DF" w:rsidRPr="00EA02DF">
        <w:rPr>
          <w:rFonts w:ascii="Times New Roman" w:hAnsi="Times New Roman" w:cs="Times New Roman"/>
          <w:sz w:val="24"/>
          <w:szCs w:val="24"/>
        </w:rPr>
        <w:t xml:space="preserve">continuously acting disinfectants </w:t>
      </w:r>
      <w:r w:rsidR="00EA02DF">
        <w:rPr>
          <w:rFonts w:ascii="Times New Roman" w:hAnsi="Times New Roman" w:cs="Times New Roman"/>
          <w:sz w:val="24"/>
          <w:szCs w:val="24"/>
        </w:rPr>
        <w:t>o</w:t>
      </w:r>
      <w:r>
        <w:rPr>
          <w:rFonts w:ascii="Times New Roman" w:hAnsi="Times New Roman" w:cs="Times New Roman"/>
          <w:sz w:val="24"/>
          <w:szCs w:val="24"/>
        </w:rPr>
        <w:t>n fomite-to-finger transfer on probability of coronavirus transmission</w:t>
      </w:r>
    </w:p>
    <w:p w14:paraId="222BF1A0" w14:textId="0AE144A5" w:rsidR="00B7536B" w:rsidRDefault="00B7536B">
      <w:pPr>
        <w:rPr>
          <w:rFonts w:ascii="Times New Roman" w:hAnsi="Times New Roman" w:cs="Times New Roman"/>
          <w:sz w:val="24"/>
          <w:szCs w:val="24"/>
        </w:rPr>
      </w:pPr>
    </w:p>
    <w:p w14:paraId="2C40C651" w14:textId="59EADC9C" w:rsidR="00B41576" w:rsidRPr="00B41576" w:rsidRDefault="00B41576" w:rsidP="00B41576">
      <w:pPr>
        <w:rPr>
          <w:rFonts w:ascii="Times New Roman" w:hAnsi="Times New Roman" w:cs="Times New Roman"/>
          <w:sz w:val="24"/>
          <w:szCs w:val="24"/>
        </w:rPr>
      </w:pPr>
      <w:r w:rsidRPr="00B41576">
        <w:rPr>
          <w:rFonts w:ascii="Times New Roman" w:hAnsi="Times New Roman" w:cs="Times New Roman"/>
          <w:sz w:val="24"/>
          <w:szCs w:val="24"/>
        </w:rPr>
        <w:t>Charles P. Gerba</w:t>
      </w:r>
      <w:r w:rsidRPr="00B41576">
        <w:rPr>
          <w:rFonts w:ascii="Times New Roman" w:hAnsi="Times New Roman" w:cs="Times New Roman"/>
          <w:sz w:val="24"/>
          <w:szCs w:val="24"/>
          <w:vertAlign w:val="superscript"/>
        </w:rPr>
        <w:t>1</w:t>
      </w:r>
      <w:r w:rsidRPr="00B41576">
        <w:rPr>
          <w:rFonts w:ascii="Times New Roman" w:hAnsi="Times New Roman" w:cs="Times New Roman"/>
          <w:sz w:val="24"/>
          <w:szCs w:val="24"/>
        </w:rPr>
        <w:t xml:space="preserve">, </w:t>
      </w:r>
      <w:r>
        <w:rPr>
          <w:rFonts w:ascii="Times New Roman" w:hAnsi="Times New Roman" w:cs="Times New Roman"/>
          <w:sz w:val="24"/>
          <w:szCs w:val="24"/>
        </w:rPr>
        <w:t>Kelly Reynolds</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B41576">
        <w:rPr>
          <w:rFonts w:ascii="Times New Roman" w:hAnsi="Times New Roman" w:cs="Times New Roman"/>
          <w:sz w:val="24"/>
          <w:szCs w:val="24"/>
        </w:rPr>
        <w:t>Brianna M. Leija</w:t>
      </w:r>
      <w:r w:rsidRPr="00331BDD">
        <w:rPr>
          <w:rFonts w:ascii="Times New Roman" w:hAnsi="Times New Roman" w:cs="Times New Roman"/>
          <w:sz w:val="24"/>
          <w:szCs w:val="24"/>
          <w:vertAlign w:val="superscript"/>
        </w:rPr>
        <w:t>1</w:t>
      </w:r>
      <w:r w:rsidRPr="00B41576">
        <w:rPr>
          <w:rFonts w:ascii="Times New Roman" w:hAnsi="Times New Roman" w:cs="Times New Roman"/>
          <w:sz w:val="24"/>
          <w:szCs w:val="24"/>
        </w:rPr>
        <w:t>, Luisa Ikner</w:t>
      </w:r>
      <w:r w:rsidRPr="00331BDD">
        <w:rPr>
          <w:rFonts w:ascii="Times New Roman" w:hAnsi="Times New Roman" w:cs="Times New Roman"/>
          <w:sz w:val="24"/>
          <w:szCs w:val="24"/>
          <w:vertAlign w:val="superscript"/>
        </w:rPr>
        <w:t>1</w:t>
      </w:r>
      <w:r w:rsidRPr="00B41576">
        <w:rPr>
          <w:rFonts w:ascii="Times New Roman" w:hAnsi="Times New Roman" w:cs="Times New Roman"/>
          <w:sz w:val="24"/>
          <w:szCs w:val="24"/>
        </w:rPr>
        <w:t xml:space="preserve"> and William Rutala</w:t>
      </w:r>
      <w:r w:rsidRPr="00B41576">
        <w:rPr>
          <w:rFonts w:ascii="Times New Roman" w:hAnsi="Times New Roman" w:cs="Times New Roman"/>
          <w:sz w:val="24"/>
          <w:szCs w:val="24"/>
          <w:vertAlign w:val="superscript"/>
        </w:rPr>
        <w:t>3</w:t>
      </w:r>
      <w:r w:rsidRPr="00B41576">
        <w:rPr>
          <w:rFonts w:ascii="Times New Roman" w:hAnsi="Times New Roman" w:cs="Times New Roman"/>
          <w:sz w:val="24"/>
          <w:szCs w:val="24"/>
        </w:rPr>
        <w:t xml:space="preserve"> </w:t>
      </w:r>
    </w:p>
    <w:p w14:paraId="4C04CC3E" w14:textId="77777777" w:rsidR="00B41576" w:rsidRPr="00B41576" w:rsidRDefault="00B41576" w:rsidP="00B41576">
      <w:pPr>
        <w:rPr>
          <w:rFonts w:ascii="Times New Roman" w:hAnsi="Times New Roman" w:cs="Times New Roman"/>
          <w:sz w:val="24"/>
          <w:szCs w:val="24"/>
        </w:rPr>
      </w:pPr>
      <w:r w:rsidRPr="00331BDD">
        <w:rPr>
          <w:rFonts w:ascii="Times New Roman" w:hAnsi="Times New Roman" w:cs="Times New Roman"/>
          <w:sz w:val="24"/>
          <w:szCs w:val="24"/>
          <w:vertAlign w:val="superscript"/>
        </w:rPr>
        <w:t>1</w:t>
      </w:r>
      <w:r w:rsidRPr="00B41576">
        <w:rPr>
          <w:rFonts w:ascii="Times New Roman" w:hAnsi="Times New Roman" w:cs="Times New Roman"/>
          <w:sz w:val="24"/>
          <w:szCs w:val="24"/>
        </w:rPr>
        <w:t>Deparment of Environmental Science, University of Arizona, Tucson, AZ   85721</w:t>
      </w:r>
    </w:p>
    <w:p w14:paraId="7F132649" w14:textId="708C754D" w:rsidR="00B7536B" w:rsidRDefault="00B41576" w:rsidP="00B41576">
      <w:pPr>
        <w:rPr>
          <w:rFonts w:ascii="Times New Roman" w:hAnsi="Times New Roman" w:cs="Times New Roman"/>
          <w:sz w:val="24"/>
          <w:szCs w:val="24"/>
        </w:rPr>
      </w:pPr>
      <w:r w:rsidRPr="00331BDD">
        <w:rPr>
          <w:rFonts w:ascii="Times New Roman" w:hAnsi="Times New Roman" w:cs="Times New Roman"/>
          <w:sz w:val="24"/>
          <w:szCs w:val="24"/>
          <w:vertAlign w:val="superscript"/>
        </w:rPr>
        <w:t>2</w:t>
      </w:r>
      <w:r w:rsidR="00331BDD">
        <w:rPr>
          <w:rFonts w:ascii="Times New Roman" w:hAnsi="Times New Roman" w:cs="Times New Roman"/>
          <w:sz w:val="24"/>
          <w:szCs w:val="24"/>
        </w:rPr>
        <w:t>Colleege of Public Health, University of Arizona, Tucson, AZ   85721</w:t>
      </w:r>
    </w:p>
    <w:p w14:paraId="292A3B01" w14:textId="54265966" w:rsidR="00B41576" w:rsidRDefault="00B41576" w:rsidP="00B41576">
      <w:pPr>
        <w:rPr>
          <w:rFonts w:ascii="Times New Roman" w:hAnsi="Times New Roman" w:cs="Times New Roman"/>
          <w:sz w:val="24"/>
          <w:szCs w:val="24"/>
        </w:rPr>
      </w:pPr>
      <w:r>
        <w:rPr>
          <w:rFonts w:ascii="Times New Roman" w:hAnsi="Times New Roman" w:cs="Times New Roman"/>
          <w:sz w:val="24"/>
          <w:szCs w:val="24"/>
        </w:rPr>
        <w:t>3</w:t>
      </w:r>
    </w:p>
    <w:p w14:paraId="3C074126" w14:textId="77777777" w:rsidR="00B7536B" w:rsidRPr="00331BDD" w:rsidRDefault="00B7536B">
      <w:pPr>
        <w:rPr>
          <w:rFonts w:ascii="Times New Roman" w:hAnsi="Times New Roman" w:cs="Times New Roman"/>
          <w:b/>
          <w:bCs/>
          <w:sz w:val="24"/>
          <w:szCs w:val="24"/>
        </w:rPr>
      </w:pPr>
      <w:r w:rsidRPr="00331BDD">
        <w:rPr>
          <w:rFonts w:ascii="Times New Roman" w:hAnsi="Times New Roman" w:cs="Times New Roman"/>
          <w:b/>
          <w:bCs/>
          <w:sz w:val="24"/>
          <w:szCs w:val="24"/>
        </w:rPr>
        <w:t>Abstract</w:t>
      </w:r>
    </w:p>
    <w:p w14:paraId="6B7E2FB6" w14:textId="0ECC6D26" w:rsidR="00B7536B" w:rsidRDefault="00B7536B">
      <w:pPr>
        <w:rPr>
          <w:rFonts w:ascii="Times New Roman" w:hAnsi="Times New Roman" w:cs="Times New Roman"/>
          <w:sz w:val="24"/>
          <w:szCs w:val="24"/>
        </w:rPr>
      </w:pPr>
      <w:r w:rsidRPr="00B7536B">
        <w:rPr>
          <w:rFonts w:ascii="Times New Roman" w:hAnsi="Times New Roman" w:cs="Times New Roman"/>
          <w:sz w:val="24"/>
          <w:szCs w:val="24"/>
        </w:rPr>
        <w:t xml:space="preserve">Inanimate surfaces, or fomites, can serve as routes of transmission of enteric and respiratory </w:t>
      </w:r>
      <w:r>
        <w:rPr>
          <w:rFonts w:ascii="Times New Roman" w:hAnsi="Times New Roman" w:cs="Times New Roman"/>
          <w:sz w:val="24"/>
          <w:szCs w:val="24"/>
        </w:rPr>
        <w:t>viruses</w:t>
      </w:r>
      <w:r w:rsidRPr="00B7536B">
        <w:rPr>
          <w:rFonts w:ascii="Times New Roman" w:hAnsi="Times New Roman" w:cs="Times New Roman"/>
          <w:sz w:val="24"/>
          <w:szCs w:val="24"/>
        </w:rPr>
        <w:t>.</w:t>
      </w:r>
      <w:r>
        <w:rPr>
          <w:rFonts w:ascii="Times New Roman" w:hAnsi="Times New Roman" w:cs="Times New Roman"/>
          <w:sz w:val="24"/>
          <w:szCs w:val="24"/>
        </w:rPr>
        <w:t xml:space="preserve"> This</w:t>
      </w:r>
      <w:r w:rsidRPr="00B7536B">
        <w:rPr>
          <w:rFonts w:ascii="Times New Roman" w:hAnsi="Times New Roman" w:cs="Times New Roman"/>
          <w:sz w:val="24"/>
          <w:szCs w:val="24"/>
        </w:rPr>
        <w:t xml:space="preserve"> study investigated the change in microbial transfer from contaminated fomites to fingers following</w:t>
      </w:r>
      <w:r>
        <w:rPr>
          <w:rFonts w:ascii="Times New Roman" w:hAnsi="Times New Roman" w:cs="Times New Roman"/>
          <w:sz w:val="24"/>
          <w:szCs w:val="24"/>
        </w:rPr>
        <w:t xml:space="preserve"> treatment of surfaces with continuously acting disinfectants used to treat a fomite.  </w:t>
      </w:r>
    </w:p>
    <w:p w14:paraId="58D18513" w14:textId="78EB0E4E" w:rsidR="00B7536B" w:rsidRDefault="00B7536B">
      <w:pPr>
        <w:rPr>
          <w:rFonts w:ascii="Times New Roman" w:hAnsi="Times New Roman" w:cs="Times New Roman"/>
          <w:sz w:val="24"/>
          <w:szCs w:val="24"/>
        </w:rPr>
      </w:pPr>
    </w:p>
    <w:p w14:paraId="6C90AF75" w14:textId="341C64D5" w:rsidR="00B7536B" w:rsidRPr="00331BDD" w:rsidRDefault="00B7536B">
      <w:pPr>
        <w:rPr>
          <w:rFonts w:ascii="Times New Roman" w:hAnsi="Times New Roman" w:cs="Times New Roman"/>
          <w:b/>
          <w:bCs/>
          <w:sz w:val="24"/>
          <w:szCs w:val="24"/>
        </w:rPr>
      </w:pPr>
      <w:r w:rsidRPr="00331BDD">
        <w:rPr>
          <w:rFonts w:ascii="Times New Roman" w:hAnsi="Times New Roman" w:cs="Times New Roman"/>
          <w:b/>
          <w:bCs/>
          <w:sz w:val="24"/>
          <w:szCs w:val="24"/>
        </w:rPr>
        <w:t>Introduction</w:t>
      </w:r>
    </w:p>
    <w:p w14:paraId="7E583A54" w14:textId="5E639111" w:rsidR="00B7536B" w:rsidRDefault="00B7536B">
      <w:pPr>
        <w:rPr>
          <w:rFonts w:ascii="Times New Roman" w:hAnsi="Times New Roman" w:cs="Times New Roman"/>
          <w:sz w:val="24"/>
          <w:szCs w:val="24"/>
        </w:rPr>
      </w:pPr>
      <w:r>
        <w:rPr>
          <w:rFonts w:ascii="Times New Roman" w:hAnsi="Times New Roman" w:cs="Times New Roman"/>
          <w:sz w:val="24"/>
          <w:szCs w:val="24"/>
        </w:rPr>
        <w:t>Fomites are known to play a role in the transmission of both respiratory and enteric viruses (Boone and Gerba, 200</w:t>
      </w:r>
      <w:r w:rsidR="00331BDD">
        <w:rPr>
          <w:rFonts w:ascii="Times New Roman" w:hAnsi="Times New Roman" w:cs="Times New Roman"/>
          <w:sz w:val="24"/>
          <w:szCs w:val="24"/>
        </w:rPr>
        <w:t>7</w:t>
      </w:r>
      <w:r>
        <w:rPr>
          <w:rFonts w:ascii="Times New Roman" w:hAnsi="Times New Roman" w:cs="Times New Roman"/>
          <w:sz w:val="24"/>
          <w:szCs w:val="24"/>
        </w:rPr>
        <w:t xml:space="preserve">). </w:t>
      </w:r>
      <w:r w:rsidR="00B41576">
        <w:rPr>
          <w:rFonts w:ascii="Times New Roman" w:hAnsi="Times New Roman" w:cs="Times New Roman"/>
          <w:sz w:val="24"/>
          <w:szCs w:val="24"/>
        </w:rPr>
        <w:t>Clearing and disinfecting surfaces on a regular basis reduces the risk of fomite transmission, but recontamination may occur between these practices. These is especially true of frequency touch areas such as sinks, handrails, counters, etc. The development of antivirus surfaces, coatings or spray disinfectants offers another barrier to transmission in between regular cleaning and disinfection. The goal of this study was to assess impact of transfer of the human coronavirus 229E to the finger wit ha surface that been treated with disinfectants that would leave an anti-viral residual.</w:t>
      </w:r>
    </w:p>
    <w:p w14:paraId="16FF12FB" w14:textId="77777777" w:rsidR="00B7536B" w:rsidRPr="00B256EB" w:rsidRDefault="00B7536B" w:rsidP="00B7536B">
      <w:pPr>
        <w:rPr>
          <w:rFonts w:ascii="Times New Roman" w:hAnsi="Times New Roman" w:cs="Times New Roman"/>
          <w:b/>
          <w:bCs/>
          <w:sz w:val="24"/>
          <w:szCs w:val="24"/>
        </w:rPr>
      </w:pPr>
      <w:r w:rsidRPr="00B256EB">
        <w:rPr>
          <w:rFonts w:ascii="Times New Roman" w:hAnsi="Times New Roman" w:cs="Times New Roman"/>
          <w:b/>
          <w:bCs/>
          <w:sz w:val="24"/>
          <w:szCs w:val="24"/>
        </w:rPr>
        <w:t>Material and Methods</w:t>
      </w:r>
    </w:p>
    <w:p w14:paraId="5287EB84" w14:textId="1532CFDC" w:rsidR="00B7536B" w:rsidRPr="00B7536B" w:rsidRDefault="00B7536B" w:rsidP="00B7536B">
      <w:pPr>
        <w:rPr>
          <w:rFonts w:ascii="Times New Roman" w:hAnsi="Times New Roman" w:cs="Times New Roman"/>
          <w:sz w:val="24"/>
          <w:szCs w:val="24"/>
        </w:rPr>
      </w:pPr>
      <w:r w:rsidRPr="00B256EB">
        <w:rPr>
          <w:rFonts w:ascii="Times New Roman" w:hAnsi="Times New Roman" w:cs="Times New Roman"/>
          <w:b/>
          <w:bCs/>
          <w:sz w:val="24"/>
          <w:szCs w:val="24"/>
        </w:rPr>
        <w:t>Virus</w:t>
      </w:r>
      <w:r w:rsidRPr="00B7536B">
        <w:rPr>
          <w:rFonts w:ascii="Times New Roman" w:hAnsi="Times New Roman" w:cs="Times New Roman"/>
          <w:sz w:val="24"/>
          <w:szCs w:val="24"/>
        </w:rPr>
        <w:t>. Human coronavirus 229E (</w:t>
      </w:r>
      <w:proofErr w:type="spellStart"/>
      <w:r w:rsidRPr="00B7536B">
        <w:rPr>
          <w:rFonts w:ascii="Times New Roman" w:hAnsi="Times New Roman" w:cs="Times New Roman"/>
          <w:sz w:val="24"/>
          <w:szCs w:val="24"/>
        </w:rPr>
        <w:t>HCoV</w:t>
      </w:r>
      <w:proofErr w:type="spellEnd"/>
      <w:r w:rsidRPr="00B7536B">
        <w:rPr>
          <w:rFonts w:ascii="Times New Roman" w:hAnsi="Times New Roman" w:cs="Times New Roman"/>
          <w:sz w:val="24"/>
          <w:szCs w:val="24"/>
        </w:rPr>
        <w:t>) (ATCC-740), a respiratory virus, was propagated and assayed in the fetal human fibroblast, MRC-5 cell line (ATCC CCL-171). Infected cells were frozen and thawed three times at</w:t>
      </w:r>
      <w:r w:rsidR="00331BDD">
        <w:rPr>
          <w:rFonts w:ascii="Times New Roman" w:hAnsi="Times New Roman" w:cs="Times New Roman"/>
          <w:sz w:val="24"/>
          <w:szCs w:val="24"/>
        </w:rPr>
        <w:t xml:space="preserve"> </w:t>
      </w:r>
      <w:r w:rsidRPr="00B7536B">
        <w:rPr>
          <w:rFonts w:ascii="Times New Roman" w:hAnsi="Times New Roman" w:cs="Times New Roman"/>
          <w:sz w:val="24"/>
          <w:szCs w:val="24"/>
        </w:rPr>
        <w:t>-20°C to release virus after cytopathogenic effects (CPE) were observed in the monolayer.  This was followed by centrifugation at 1000 g for 20 minutes to remove cell debris, addition to the virus suspension of 12% polyethylene glycol (MW 8000) and   0.5 M sodium chloride, and stirring overnight at 4°C. After centrifugation at 10,000 g for 60 minutes, the pellet was resuspended in 0.01 M phosphate buffered saline (PBS; pH 7.4) (Sigma, St.  Louis, MO) to 10% of the original virus suspension volume. The virus was then titered and stored at -80°C until needed. The virus was enumerated on cell cultures using either TCID</w:t>
      </w:r>
      <w:r w:rsidRPr="008043D8">
        <w:rPr>
          <w:rFonts w:ascii="Times New Roman" w:hAnsi="Times New Roman" w:cs="Times New Roman"/>
          <w:sz w:val="24"/>
          <w:szCs w:val="24"/>
          <w:vertAlign w:val="subscript"/>
        </w:rPr>
        <w:t>50</w:t>
      </w:r>
      <w:r w:rsidRPr="00B7536B">
        <w:rPr>
          <w:rFonts w:ascii="Times New Roman" w:hAnsi="Times New Roman" w:cs="Times New Roman"/>
          <w:sz w:val="24"/>
          <w:szCs w:val="24"/>
        </w:rPr>
        <w:t xml:space="preserve"> technique (Payment and Trudel 1993). The virus was titered in 96-well plastic cell culture plates by culture infectious dose 50% technique (TCID</w:t>
      </w:r>
      <w:r w:rsidRPr="00331BDD">
        <w:rPr>
          <w:rFonts w:ascii="Times New Roman" w:hAnsi="Times New Roman" w:cs="Times New Roman"/>
          <w:sz w:val="24"/>
          <w:szCs w:val="24"/>
          <w:vertAlign w:val="subscript"/>
        </w:rPr>
        <w:t>50</w:t>
      </w:r>
      <w:r w:rsidRPr="00B7536B">
        <w:rPr>
          <w:rFonts w:ascii="Times New Roman" w:hAnsi="Times New Roman" w:cs="Times New Roman"/>
          <w:sz w:val="24"/>
          <w:szCs w:val="24"/>
        </w:rPr>
        <w:t xml:space="preserve">) using the Spearman and </w:t>
      </w:r>
      <w:proofErr w:type="spellStart"/>
      <w:r w:rsidRPr="00B7536B">
        <w:rPr>
          <w:rFonts w:ascii="Times New Roman" w:hAnsi="Times New Roman" w:cs="Times New Roman"/>
          <w:sz w:val="24"/>
          <w:szCs w:val="24"/>
        </w:rPr>
        <w:t>Kärber</w:t>
      </w:r>
      <w:proofErr w:type="spellEnd"/>
      <w:r w:rsidRPr="00B7536B">
        <w:rPr>
          <w:rFonts w:ascii="Times New Roman" w:hAnsi="Times New Roman" w:cs="Times New Roman"/>
          <w:sz w:val="24"/>
          <w:szCs w:val="24"/>
        </w:rPr>
        <w:t xml:space="preserve"> algorithm </w:t>
      </w:r>
      <w:r w:rsidRPr="00331BDD">
        <w:rPr>
          <w:rFonts w:ascii="Times New Roman" w:hAnsi="Times New Roman" w:cs="Times New Roman"/>
          <w:sz w:val="24"/>
          <w:szCs w:val="24"/>
          <w:highlight w:val="yellow"/>
        </w:rPr>
        <w:t>(</w:t>
      </w:r>
      <w:proofErr w:type="spellStart"/>
      <w:r w:rsidRPr="00331BDD">
        <w:rPr>
          <w:rFonts w:ascii="Times New Roman" w:hAnsi="Times New Roman" w:cs="Times New Roman"/>
          <w:sz w:val="24"/>
          <w:szCs w:val="24"/>
          <w:highlight w:val="yellow"/>
        </w:rPr>
        <w:t>Hierholzer</w:t>
      </w:r>
      <w:proofErr w:type="spellEnd"/>
      <w:r w:rsidRPr="00331BDD">
        <w:rPr>
          <w:rFonts w:ascii="Times New Roman" w:hAnsi="Times New Roman" w:cs="Times New Roman"/>
          <w:sz w:val="24"/>
          <w:szCs w:val="24"/>
          <w:highlight w:val="yellow"/>
        </w:rPr>
        <w:t xml:space="preserve"> and Killington</w:t>
      </w:r>
      <w:r w:rsidRPr="00B7536B">
        <w:rPr>
          <w:rFonts w:ascii="Times New Roman" w:hAnsi="Times New Roman" w:cs="Times New Roman"/>
          <w:sz w:val="24"/>
          <w:szCs w:val="24"/>
        </w:rPr>
        <w:t>, 1996). This technique determines the dilution at which 50% of the wells show CPE. Taking the inverse log of this dilution gives a titer of the virus per ml TCID50.</w:t>
      </w:r>
    </w:p>
    <w:p w14:paraId="436319F8" w14:textId="4CC4DB5B" w:rsidR="00B7536B" w:rsidRPr="00B7536B" w:rsidRDefault="00B7536B" w:rsidP="00B7536B">
      <w:pPr>
        <w:rPr>
          <w:rFonts w:ascii="Times New Roman" w:hAnsi="Times New Roman" w:cs="Times New Roman"/>
          <w:sz w:val="24"/>
          <w:szCs w:val="24"/>
        </w:rPr>
      </w:pPr>
      <w:r w:rsidRPr="00B256EB">
        <w:rPr>
          <w:rFonts w:ascii="Times New Roman" w:hAnsi="Times New Roman" w:cs="Times New Roman"/>
          <w:b/>
          <w:bCs/>
          <w:sz w:val="24"/>
          <w:szCs w:val="24"/>
        </w:rPr>
        <w:lastRenderedPageBreak/>
        <w:t>Subject</w:t>
      </w:r>
      <w:r w:rsidR="00B256EB">
        <w:rPr>
          <w:rFonts w:ascii="Times New Roman" w:hAnsi="Times New Roman" w:cs="Times New Roman"/>
          <w:sz w:val="24"/>
          <w:szCs w:val="24"/>
        </w:rPr>
        <w:t>.</w:t>
      </w:r>
      <w:r w:rsidRPr="00B7536B">
        <w:rPr>
          <w:rFonts w:ascii="Times New Roman" w:hAnsi="Times New Roman" w:cs="Times New Roman"/>
          <w:sz w:val="24"/>
          <w:szCs w:val="24"/>
        </w:rPr>
        <w:t xml:space="preserve"> The subject was a healthy 75 year old male. Permission was obtained from University of Arizona Institutional Biosafety Office before the conduct of the study. Infected cells were frozen and thawed three times at-20°C to release virus after cytopathogenic effects (CPE) were observed in the monolayer.  This was followed by centrifugation at 1000 g for 20 minutes to remove cell debris, addition to the virus suspension of 12% polyethylene glycol (MW 8000) and   0.5 M sodium chloride, and stirring overnight at 4°C. After centrifugation at 10,000 g for 60 minutes, the pellet was resuspended in 0.01 M phosphate buffered saline (PBS; pH 7.4) (Sigma, St.  Louis, MO) to 10% of the original virus suspension volume. The virus was then titered and stored at -80°C until needed. The procedure was approved by the University of Arizona Risk Management and did not need a human subject review. </w:t>
      </w:r>
    </w:p>
    <w:p w14:paraId="4BE811F7" w14:textId="77777777" w:rsidR="00B7536B" w:rsidRPr="00B7536B" w:rsidRDefault="00B7536B" w:rsidP="00B7536B">
      <w:pPr>
        <w:rPr>
          <w:rFonts w:ascii="Times New Roman" w:hAnsi="Times New Roman" w:cs="Times New Roman"/>
          <w:sz w:val="24"/>
          <w:szCs w:val="24"/>
        </w:rPr>
      </w:pPr>
      <w:r w:rsidRPr="00B256EB">
        <w:rPr>
          <w:rFonts w:ascii="Times New Roman" w:hAnsi="Times New Roman" w:cs="Times New Roman"/>
          <w:b/>
          <w:bCs/>
          <w:sz w:val="24"/>
          <w:szCs w:val="24"/>
        </w:rPr>
        <w:t>Control wash</w:t>
      </w:r>
      <w:r w:rsidRPr="00B7536B">
        <w:rPr>
          <w:rFonts w:ascii="Times New Roman" w:hAnsi="Times New Roman" w:cs="Times New Roman"/>
          <w:sz w:val="24"/>
          <w:szCs w:val="24"/>
        </w:rPr>
        <w:t xml:space="preserve">. Prior to all experiments, the subject’s hands were washed with warm water and </w:t>
      </w:r>
      <w:proofErr w:type="spellStart"/>
      <w:r w:rsidRPr="00B7536B">
        <w:rPr>
          <w:rFonts w:ascii="Times New Roman" w:hAnsi="Times New Roman" w:cs="Times New Roman"/>
          <w:sz w:val="24"/>
          <w:szCs w:val="24"/>
        </w:rPr>
        <w:t>Softsoap</w:t>
      </w:r>
      <w:proofErr w:type="spellEnd"/>
      <w:r w:rsidRPr="00B7536B">
        <w:rPr>
          <w:rFonts w:ascii="Times New Roman" w:hAnsi="Times New Roman" w:cs="Times New Roman"/>
          <w:sz w:val="24"/>
          <w:szCs w:val="24"/>
        </w:rPr>
        <w:t xml:space="preserve"> antibacterial liquid hand soap (Colgate-Palmolive, Morristown, NJ) for 45 seconds, rinsed with water, and dried with paper towels. Each hand was then sprayed twice with 70% ethanol, rubbing the alcohol thoroughly over the hands and wrists for 15 seconds, and subsequently air dried. After conducting fomite-to-finger transfer experiments with the prepared inoculum, fingers were disinfected twice with 70% ethanol, wrapped with a 70% ethanol-saturated paper towel for 30 s, washed and rinsed using warm water and </w:t>
      </w:r>
      <w:proofErr w:type="spellStart"/>
      <w:r w:rsidRPr="00B7536B">
        <w:rPr>
          <w:rFonts w:ascii="Times New Roman" w:hAnsi="Times New Roman" w:cs="Times New Roman"/>
          <w:sz w:val="24"/>
          <w:szCs w:val="24"/>
        </w:rPr>
        <w:t>Softsoap</w:t>
      </w:r>
      <w:proofErr w:type="spellEnd"/>
      <w:r w:rsidRPr="00B7536B">
        <w:rPr>
          <w:rFonts w:ascii="Times New Roman" w:hAnsi="Times New Roman" w:cs="Times New Roman"/>
          <w:sz w:val="24"/>
          <w:szCs w:val="24"/>
        </w:rPr>
        <w:t xml:space="preserve"> antibacterial liquid hand soap (Colgate-Palmolive, Morristown, NJ) for 45 seconds, and then dried with paper towels.</w:t>
      </w:r>
    </w:p>
    <w:p w14:paraId="21060687" w14:textId="77777777" w:rsidR="00B7536B" w:rsidRPr="00B7536B" w:rsidRDefault="00B7536B" w:rsidP="00B7536B">
      <w:pPr>
        <w:rPr>
          <w:rFonts w:ascii="Times New Roman" w:hAnsi="Times New Roman" w:cs="Times New Roman"/>
          <w:sz w:val="24"/>
          <w:szCs w:val="24"/>
        </w:rPr>
      </w:pPr>
      <w:r w:rsidRPr="00B7536B">
        <w:rPr>
          <w:rFonts w:ascii="Times New Roman" w:hAnsi="Times New Roman" w:cs="Times New Roman"/>
          <w:sz w:val="24"/>
          <w:szCs w:val="24"/>
        </w:rPr>
        <w:t xml:space="preserve">The study was conducted in a room with a humidifier to achieve a relative humidity of ~55% at room temperature 73 </w:t>
      </w:r>
      <w:proofErr w:type="spellStart"/>
      <w:r w:rsidRPr="00B256EB">
        <w:rPr>
          <w:rFonts w:ascii="Times New Roman" w:hAnsi="Times New Roman" w:cs="Times New Roman"/>
          <w:sz w:val="24"/>
          <w:szCs w:val="24"/>
          <w:vertAlign w:val="superscript"/>
        </w:rPr>
        <w:t>o</w:t>
      </w:r>
      <w:r w:rsidRPr="00B7536B">
        <w:rPr>
          <w:rFonts w:ascii="Times New Roman" w:hAnsi="Times New Roman" w:cs="Times New Roman"/>
          <w:sz w:val="24"/>
          <w:szCs w:val="24"/>
        </w:rPr>
        <w:t>F</w:t>
      </w:r>
      <w:proofErr w:type="spellEnd"/>
      <w:r w:rsidRPr="00B7536B">
        <w:rPr>
          <w:rFonts w:ascii="Times New Roman" w:hAnsi="Times New Roman" w:cs="Times New Roman"/>
          <w:sz w:val="24"/>
          <w:szCs w:val="24"/>
        </w:rPr>
        <w:t xml:space="preserve"> (22.2 </w:t>
      </w:r>
      <w:proofErr w:type="spellStart"/>
      <w:r w:rsidRPr="00B256EB">
        <w:rPr>
          <w:rFonts w:ascii="Times New Roman" w:hAnsi="Times New Roman" w:cs="Times New Roman"/>
          <w:sz w:val="24"/>
          <w:szCs w:val="24"/>
          <w:vertAlign w:val="superscript"/>
        </w:rPr>
        <w:t>o</w:t>
      </w:r>
      <w:r w:rsidRPr="00B7536B">
        <w:rPr>
          <w:rFonts w:ascii="Times New Roman" w:hAnsi="Times New Roman" w:cs="Times New Roman"/>
          <w:sz w:val="24"/>
          <w:szCs w:val="24"/>
        </w:rPr>
        <w:t>C</w:t>
      </w:r>
      <w:proofErr w:type="spellEnd"/>
      <w:r w:rsidRPr="00B7536B">
        <w:rPr>
          <w:rFonts w:ascii="Times New Roman" w:hAnsi="Times New Roman" w:cs="Times New Roman"/>
          <w:sz w:val="24"/>
          <w:szCs w:val="24"/>
        </w:rPr>
        <w:t>).</w:t>
      </w:r>
    </w:p>
    <w:p w14:paraId="7F351BB1" w14:textId="31F57438" w:rsidR="00B7536B" w:rsidRPr="00B7536B" w:rsidRDefault="00B7536B" w:rsidP="00B7536B">
      <w:pPr>
        <w:rPr>
          <w:rFonts w:ascii="Times New Roman" w:hAnsi="Times New Roman" w:cs="Times New Roman"/>
          <w:sz w:val="24"/>
          <w:szCs w:val="24"/>
        </w:rPr>
      </w:pPr>
      <w:r w:rsidRPr="00B256EB">
        <w:rPr>
          <w:rFonts w:ascii="Times New Roman" w:hAnsi="Times New Roman" w:cs="Times New Roman"/>
          <w:b/>
          <w:bCs/>
          <w:sz w:val="24"/>
          <w:szCs w:val="24"/>
        </w:rPr>
        <w:t>Finger sampling</w:t>
      </w:r>
      <w:r w:rsidRPr="00B7536B">
        <w:rPr>
          <w:rFonts w:ascii="Times New Roman" w:hAnsi="Times New Roman" w:cs="Times New Roman"/>
          <w:sz w:val="24"/>
          <w:szCs w:val="24"/>
        </w:rPr>
        <w:t xml:space="preserve">. </w:t>
      </w:r>
      <w:r w:rsidR="00B256EB">
        <w:rPr>
          <w:rFonts w:ascii="Times New Roman" w:hAnsi="Times New Roman" w:cs="Times New Roman"/>
          <w:sz w:val="24"/>
          <w:szCs w:val="24"/>
        </w:rPr>
        <w:t>The method of</w:t>
      </w:r>
      <w:r w:rsidRPr="00B7536B">
        <w:rPr>
          <w:rFonts w:ascii="Times New Roman" w:hAnsi="Times New Roman" w:cs="Times New Roman"/>
          <w:sz w:val="24"/>
          <w:szCs w:val="24"/>
        </w:rPr>
        <w:t xml:space="preserve"> Lope</w:t>
      </w:r>
      <w:r w:rsidR="00B256EB">
        <w:rPr>
          <w:rFonts w:ascii="Times New Roman" w:hAnsi="Times New Roman" w:cs="Times New Roman"/>
          <w:sz w:val="24"/>
          <w:szCs w:val="24"/>
        </w:rPr>
        <w:t>z</w:t>
      </w:r>
      <w:r w:rsidRPr="00B7536B">
        <w:rPr>
          <w:rFonts w:ascii="Times New Roman" w:hAnsi="Times New Roman" w:cs="Times New Roman"/>
          <w:sz w:val="24"/>
          <w:szCs w:val="24"/>
        </w:rPr>
        <w:t xml:space="preserve"> et al (2013) which involved the use of recovery the virus from the fingers by rubbing into a solution of 1 ml of Medium Essential Media (MEM) </w:t>
      </w:r>
      <w:r w:rsidR="00B256EB">
        <w:rPr>
          <w:rFonts w:ascii="Times New Roman" w:hAnsi="Times New Roman" w:cs="Times New Roman"/>
          <w:sz w:val="24"/>
          <w:szCs w:val="24"/>
        </w:rPr>
        <w:t xml:space="preserve">was used </w:t>
      </w:r>
      <w:r w:rsidRPr="00B7536B">
        <w:rPr>
          <w:rFonts w:ascii="Times New Roman" w:hAnsi="Times New Roman" w:cs="Times New Roman"/>
          <w:sz w:val="24"/>
          <w:szCs w:val="24"/>
        </w:rPr>
        <w:t>to recover the virus from the finger. The MEM was placed in a sterile plastic petri dish and the finger rubbed in the liquid for 10 seconds.</w:t>
      </w:r>
    </w:p>
    <w:p w14:paraId="33744D69" w14:textId="365F9DA7" w:rsidR="00B7536B" w:rsidRDefault="00B7536B" w:rsidP="00B7536B">
      <w:pPr>
        <w:rPr>
          <w:rFonts w:ascii="Times New Roman" w:hAnsi="Times New Roman" w:cs="Times New Roman"/>
          <w:sz w:val="24"/>
          <w:szCs w:val="24"/>
        </w:rPr>
      </w:pPr>
      <w:r w:rsidRPr="00B256EB">
        <w:rPr>
          <w:rFonts w:ascii="Times New Roman" w:hAnsi="Times New Roman" w:cs="Times New Roman"/>
          <w:b/>
          <w:bCs/>
          <w:sz w:val="24"/>
          <w:szCs w:val="24"/>
        </w:rPr>
        <w:t>Transfer experimen</w:t>
      </w:r>
      <w:r w:rsidRPr="00B7536B">
        <w:rPr>
          <w:rFonts w:ascii="Times New Roman" w:hAnsi="Times New Roman" w:cs="Times New Roman"/>
          <w:sz w:val="24"/>
          <w:szCs w:val="24"/>
        </w:rPr>
        <w:t xml:space="preserve">t. One transfer trial consisted of three separate fomite-to-finger transfer events using the index, middle, and ring fingers of the right and left hand for each surface type. Two transfer trials were conducted, resulting in six transfers in total for each fomite </w:t>
      </w:r>
      <w:proofErr w:type="gramStart"/>
      <w:r w:rsidRPr="00B7536B">
        <w:rPr>
          <w:rFonts w:ascii="Times New Roman" w:hAnsi="Times New Roman" w:cs="Times New Roman"/>
          <w:sz w:val="24"/>
          <w:szCs w:val="24"/>
        </w:rPr>
        <w:t xml:space="preserve">under  </w:t>
      </w:r>
      <w:r w:rsidR="00DB392F">
        <w:rPr>
          <w:rFonts w:ascii="Times New Roman" w:hAnsi="Times New Roman" w:cs="Times New Roman"/>
          <w:sz w:val="24"/>
          <w:szCs w:val="24"/>
        </w:rPr>
        <w:t>a</w:t>
      </w:r>
      <w:proofErr w:type="gramEnd"/>
      <w:r w:rsidR="00DB392F">
        <w:rPr>
          <w:rFonts w:ascii="Times New Roman" w:hAnsi="Times New Roman" w:cs="Times New Roman"/>
          <w:sz w:val="24"/>
          <w:szCs w:val="24"/>
        </w:rPr>
        <w:t xml:space="preserve"> </w:t>
      </w:r>
      <w:r w:rsidRPr="00B7536B">
        <w:rPr>
          <w:rFonts w:ascii="Times New Roman" w:hAnsi="Times New Roman" w:cs="Times New Roman"/>
          <w:sz w:val="24"/>
          <w:szCs w:val="24"/>
        </w:rPr>
        <w:t>relative humidity</w:t>
      </w:r>
      <w:r w:rsidR="00DB392F">
        <w:rPr>
          <w:rFonts w:ascii="Times New Roman" w:hAnsi="Times New Roman" w:cs="Times New Roman"/>
          <w:sz w:val="24"/>
          <w:szCs w:val="24"/>
        </w:rPr>
        <w:t xml:space="preserve"> of 50 to 60%</w:t>
      </w:r>
      <w:r w:rsidRPr="00B7536B">
        <w:rPr>
          <w:rFonts w:ascii="Times New Roman" w:hAnsi="Times New Roman" w:cs="Times New Roman"/>
          <w:sz w:val="24"/>
          <w:szCs w:val="24"/>
        </w:rPr>
        <w:t>. A protocol adapted from Ansari et al. (1988) was used to perform the fomite-to-finger transfer of test organisms from the previously mentioned nonporous fomites to hands after a 30-min drying time. The fomite transfer was performed by placing the fingers on the center, covering the inoculated area of the fomite, for 10 seconds with 1.0 kg/cm</w:t>
      </w:r>
      <w:r w:rsidRPr="00DB392F">
        <w:rPr>
          <w:rFonts w:ascii="Times New Roman" w:hAnsi="Times New Roman" w:cs="Times New Roman"/>
          <w:sz w:val="24"/>
          <w:szCs w:val="24"/>
          <w:vertAlign w:val="superscript"/>
        </w:rPr>
        <w:t>2</w:t>
      </w:r>
      <w:r w:rsidRPr="00B7536B">
        <w:rPr>
          <w:rFonts w:ascii="Times New Roman" w:hAnsi="Times New Roman" w:cs="Times New Roman"/>
          <w:sz w:val="24"/>
          <w:szCs w:val="24"/>
        </w:rPr>
        <w:t xml:space="preserve">(98.0665 kPa) of average pressure (range, 900 g/cm2 to 1,200 g/cm2) (Ansari et al 1988; </w:t>
      </w:r>
      <w:proofErr w:type="spellStart"/>
      <w:r w:rsidRPr="00B7536B">
        <w:rPr>
          <w:rFonts w:ascii="Times New Roman" w:hAnsi="Times New Roman" w:cs="Times New Roman"/>
          <w:sz w:val="24"/>
          <w:szCs w:val="24"/>
        </w:rPr>
        <w:t>Mbithi</w:t>
      </w:r>
      <w:proofErr w:type="spellEnd"/>
      <w:r w:rsidRPr="00B7536B">
        <w:rPr>
          <w:rFonts w:ascii="Times New Roman" w:hAnsi="Times New Roman" w:cs="Times New Roman"/>
          <w:sz w:val="24"/>
          <w:szCs w:val="24"/>
        </w:rPr>
        <w:t xml:space="preserve"> et al 1992). </w:t>
      </w:r>
      <w:r w:rsidR="00DB392F">
        <w:rPr>
          <w:rFonts w:ascii="Times New Roman" w:hAnsi="Times New Roman" w:cs="Times New Roman"/>
          <w:sz w:val="24"/>
          <w:szCs w:val="24"/>
        </w:rPr>
        <w:t>A porcelain surface was used since the greatest amount of finger to fomite occur with this material (Gerba et al 2021).</w:t>
      </w:r>
    </w:p>
    <w:p w14:paraId="25E12E44" w14:textId="6FB852D0" w:rsidR="00DB392F" w:rsidRDefault="00DB392F" w:rsidP="00B7536B">
      <w:pPr>
        <w:rPr>
          <w:rFonts w:ascii="Times New Roman" w:hAnsi="Times New Roman" w:cs="Times New Roman"/>
          <w:sz w:val="24"/>
          <w:szCs w:val="24"/>
        </w:rPr>
      </w:pPr>
      <w:r>
        <w:rPr>
          <w:rFonts w:ascii="Times New Roman" w:hAnsi="Times New Roman" w:cs="Times New Roman"/>
          <w:sz w:val="24"/>
          <w:szCs w:val="24"/>
        </w:rPr>
        <w:t xml:space="preserve">The </w:t>
      </w:r>
      <w:r w:rsidR="004E00AC">
        <w:rPr>
          <w:rFonts w:ascii="Times New Roman" w:hAnsi="Times New Roman" w:cs="Times New Roman"/>
          <w:sz w:val="24"/>
          <w:szCs w:val="24"/>
        </w:rPr>
        <w:t xml:space="preserve">gazed </w:t>
      </w:r>
      <w:r>
        <w:rPr>
          <w:rFonts w:ascii="Times New Roman" w:hAnsi="Times New Roman" w:cs="Times New Roman"/>
          <w:sz w:val="24"/>
          <w:szCs w:val="24"/>
        </w:rPr>
        <w:t xml:space="preserve">porcelain </w:t>
      </w:r>
      <w:r w:rsidR="00DD02B6">
        <w:rPr>
          <w:rFonts w:ascii="Times New Roman" w:hAnsi="Times New Roman" w:cs="Times New Roman"/>
          <w:sz w:val="24"/>
          <w:szCs w:val="24"/>
        </w:rPr>
        <w:t xml:space="preserve">(tiles) </w:t>
      </w:r>
      <w:r>
        <w:rPr>
          <w:rFonts w:ascii="Times New Roman" w:hAnsi="Times New Roman" w:cs="Times New Roman"/>
          <w:sz w:val="24"/>
          <w:szCs w:val="24"/>
        </w:rPr>
        <w:t xml:space="preserve">surfaces were treated </w:t>
      </w:r>
      <w:r w:rsidR="00331BDD">
        <w:rPr>
          <w:rFonts w:ascii="Times New Roman" w:hAnsi="Times New Roman" w:cs="Times New Roman"/>
          <w:sz w:val="24"/>
          <w:szCs w:val="24"/>
        </w:rPr>
        <w:t xml:space="preserve">by spraying the </w:t>
      </w:r>
      <w:r w:rsidR="004E00AC">
        <w:rPr>
          <w:rFonts w:ascii="Times New Roman" w:hAnsi="Times New Roman" w:cs="Times New Roman"/>
          <w:sz w:val="24"/>
          <w:szCs w:val="24"/>
        </w:rPr>
        <w:t>disinfectant</w:t>
      </w:r>
      <w:r w:rsidR="00331BDD">
        <w:rPr>
          <w:rFonts w:ascii="Times New Roman" w:hAnsi="Times New Roman" w:cs="Times New Roman"/>
          <w:sz w:val="24"/>
          <w:szCs w:val="24"/>
        </w:rPr>
        <w:t xml:space="preserve"> or using a wipe</w:t>
      </w:r>
      <w:r w:rsidR="008043D8">
        <w:rPr>
          <w:rFonts w:ascii="Times New Roman" w:hAnsi="Times New Roman" w:cs="Times New Roman"/>
          <w:sz w:val="24"/>
          <w:szCs w:val="24"/>
        </w:rPr>
        <w:t xml:space="preserve"> </w:t>
      </w:r>
      <w:r>
        <w:rPr>
          <w:rFonts w:ascii="Times New Roman" w:hAnsi="Times New Roman" w:cs="Times New Roman"/>
          <w:sz w:val="24"/>
          <w:szCs w:val="24"/>
        </w:rPr>
        <w:t>24 hours before the virus was applied to the surfaces. After drying (30 minutes) the transfer experiment to</w:t>
      </w:r>
      <w:r w:rsidR="00331BDD">
        <w:rPr>
          <w:rFonts w:ascii="Times New Roman" w:hAnsi="Times New Roman" w:cs="Times New Roman"/>
          <w:sz w:val="24"/>
          <w:szCs w:val="24"/>
        </w:rPr>
        <w:t>ok</w:t>
      </w:r>
      <w:r>
        <w:rPr>
          <w:rFonts w:ascii="Times New Roman" w:hAnsi="Times New Roman" w:cs="Times New Roman"/>
          <w:sz w:val="24"/>
          <w:szCs w:val="24"/>
        </w:rPr>
        <w:t xml:space="preserve"> place. </w:t>
      </w:r>
      <w:r w:rsidR="004E00AC">
        <w:rPr>
          <w:rFonts w:ascii="Times New Roman" w:hAnsi="Times New Roman" w:cs="Times New Roman"/>
          <w:sz w:val="24"/>
          <w:szCs w:val="24"/>
        </w:rPr>
        <w:t xml:space="preserve">The glazed porcelain where s 1 X 1 inch squares obtained from Home Depot (Atlanta, GA). </w:t>
      </w:r>
    </w:p>
    <w:p w14:paraId="6683F84D" w14:textId="6D4996B1" w:rsidR="00DB392F" w:rsidRPr="00B7536B" w:rsidRDefault="00DB392F" w:rsidP="00B7536B">
      <w:pPr>
        <w:rPr>
          <w:rFonts w:ascii="Times New Roman" w:hAnsi="Times New Roman" w:cs="Times New Roman"/>
          <w:sz w:val="24"/>
          <w:szCs w:val="24"/>
        </w:rPr>
      </w:pPr>
      <w:r w:rsidRPr="00DB392F">
        <w:rPr>
          <w:rFonts w:ascii="Times New Roman" w:hAnsi="Times New Roman" w:cs="Times New Roman"/>
          <w:b/>
          <w:bCs/>
          <w:sz w:val="24"/>
          <w:szCs w:val="24"/>
        </w:rPr>
        <w:t>Risk Assessment</w:t>
      </w:r>
      <w:r>
        <w:rPr>
          <w:rFonts w:ascii="Times New Roman" w:hAnsi="Times New Roman" w:cs="Times New Roman"/>
          <w:sz w:val="24"/>
          <w:szCs w:val="24"/>
        </w:rPr>
        <w:t>.</w:t>
      </w:r>
    </w:p>
    <w:p w14:paraId="0FD693B7" w14:textId="29343F24" w:rsidR="00B7536B" w:rsidRDefault="00B7536B" w:rsidP="00B7536B">
      <w:pPr>
        <w:rPr>
          <w:rFonts w:ascii="Times New Roman" w:hAnsi="Times New Roman" w:cs="Times New Roman"/>
          <w:b/>
          <w:bCs/>
          <w:sz w:val="24"/>
          <w:szCs w:val="24"/>
        </w:rPr>
      </w:pPr>
      <w:r w:rsidRPr="00B256EB">
        <w:rPr>
          <w:rFonts w:ascii="Times New Roman" w:hAnsi="Times New Roman" w:cs="Times New Roman"/>
          <w:b/>
          <w:bCs/>
          <w:sz w:val="24"/>
          <w:szCs w:val="24"/>
        </w:rPr>
        <w:lastRenderedPageBreak/>
        <w:t>Results</w:t>
      </w:r>
    </w:p>
    <w:p w14:paraId="54670FA3" w14:textId="56EB3794" w:rsidR="00DD02B6" w:rsidRPr="00DD02B6" w:rsidRDefault="00DD02B6" w:rsidP="00B7536B">
      <w:pPr>
        <w:rPr>
          <w:rFonts w:ascii="Times New Roman" w:hAnsi="Times New Roman" w:cs="Times New Roman"/>
          <w:sz w:val="24"/>
          <w:szCs w:val="24"/>
        </w:rPr>
      </w:pPr>
      <w:r w:rsidRPr="00DD02B6">
        <w:rPr>
          <w:rFonts w:ascii="Times New Roman" w:hAnsi="Times New Roman" w:cs="Times New Roman"/>
          <w:sz w:val="24"/>
          <w:szCs w:val="24"/>
        </w:rPr>
        <w:t>The products tested, methods of application to the porcelain tiles are shown in Table 1.</w:t>
      </w:r>
      <w:r>
        <w:rPr>
          <w:rFonts w:ascii="Times New Roman" w:hAnsi="Times New Roman" w:cs="Times New Roman"/>
          <w:sz w:val="24"/>
          <w:szCs w:val="24"/>
        </w:rPr>
        <w:t xml:space="preserve"> The transfer percent of the virus from the tile to the finger after treatment of the surface and performing the finger transfer after 24 </w:t>
      </w:r>
      <w:proofErr w:type="spellStart"/>
      <w:r>
        <w:rPr>
          <w:rFonts w:ascii="Times New Roman" w:hAnsi="Times New Roman" w:cs="Times New Roman"/>
          <w:sz w:val="24"/>
          <w:szCs w:val="24"/>
        </w:rPr>
        <w:t>hrs</w:t>
      </w:r>
      <w:proofErr w:type="spellEnd"/>
      <w:r>
        <w:rPr>
          <w:rFonts w:ascii="Times New Roman" w:hAnsi="Times New Roman" w:cs="Times New Roman"/>
          <w:sz w:val="24"/>
          <w:szCs w:val="24"/>
        </w:rPr>
        <w:t xml:space="preserve"> of treating surface. </w:t>
      </w:r>
    </w:p>
    <w:p w14:paraId="75C7DAB7" w14:textId="18797F71" w:rsidR="00755394" w:rsidRPr="00755394" w:rsidRDefault="00755394" w:rsidP="00B7536B">
      <w:pPr>
        <w:rPr>
          <w:rFonts w:ascii="Times New Roman" w:hAnsi="Times New Roman" w:cs="Times New Roman"/>
          <w:sz w:val="24"/>
          <w:szCs w:val="24"/>
        </w:rPr>
      </w:pPr>
      <w:r w:rsidRPr="00755394">
        <w:rPr>
          <w:rFonts w:ascii="Times New Roman" w:hAnsi="Times New Roman" w:cs="Times New Roman"/>
          <w:sz w:val="24"/>
          <w:szCs w:val="24"/>
        </w:rPr>
        <w:t>Table 1. Disinfect products evaluated</w:t>
      </w:r>
    </w:p>
    <w:tbl>
      <w:tblPr>
        <w:tblStyle w:val="TableGrid"/>
        <w:tblW w:w="0" w:type="auto"/>
        <w:tblLook w:val="04A0" w:firstRow="1" w:lastRow="0" w:firstColumn="1" w:lastColumn="0" w:noHBand="0" w:noVBand="1"/>
      </w:tblPr>
      <w:tblGrid>
        <w:gridCol w:w="1070"/>
        <w:gridCol w:w="3350"/>
        <w:gridCol w:w="2410"/>
        <w:gridCol w:w="2520"/>
      </w:tblGrid>
      <w:tr w:rsidR="00344B7E" w:rsidRPr="004E00AC" w14:paraId="6750229F" w14:textId="77777777" w:rsidTr="00335107">
        <w:tc>
          <w:tcPr>
            <w:tcW w:w="985" w:type="dxa"/>
          </w:tcPr>
          <w:p w14:paraId="3BEC77BF" w14:textId="77777777" w:rsidR="00344B7E" w:rsidRDefault="00344B7E" w:rsidP="004E00AC">
            <w:pPr>
              <w:rPr>
                <w:rFonts w:ascii="Times New Roman" w:hAnsi="Times New Roman" w:cs="Times New Roman"/>
                <w:b/>
                <w:bCs/>
                <w:sz w:val="24"/>
                <w:szCs w:val="24"/>
              </w:rPr>
            </w:pPr>
            <w:r>
              <w:rPr>
                <w:rFonts w:ascii="Times New Roman" w:hAnsi="Times New Roman" w:cs="Times New Roman"/>
                <w:b/>
                <w:bCs/>
                <w:sz w:val="24"/>
                <w:szCs w:val="24"/>
              </w:rPr>
              <w:t xml:space="preserve">Product </w:t>
            </w:r>
          </w:p>
          <w:p w14:paraId="094F547E" w14:textId="29D3C2FF" w:rsidR="00344B7E" w:rsidRDefault="00344B7E" w:rsidP="004E00AC">
            <w:pPr>
              <w:rPr>
                <w:rFonts w:ascii="Times New Roman" w:hAnsi="Times New Roman" w:cs="Times New Roman"/>
                <w:b/>
                <w:bCs/>
                <w:sz w:val="24"/>
                <w:szCs w:val="24"/>
              </w:rPr>
            </w:pPr>
            <w:r>
              <w:rPr>
                <w:rFonts w:ascii="Times New Roman" w:hAnsi="Times New Roman" w:cs="Times New Roman"/>
                <w:b/>
                <w:bCs/>
                <w:sz w:val="24"/>
                <w:szCs w:val="24"/>
              </w:rPr>
              <w:t>Number</w:t>
            </w:r>
          </w:p>
        </w:tc>
        <w:tc>
          <w:tcPr>
            <w:tcW w:w="3394" w:type="dxa"/>
          </w:tcPr>
          <w:p w14:paraId="1AB1FF71" w14:textId="7ABEEB21" w:rsidR="00344B7E" w:rsidRPr="004E00AC" w:rsidRDefault="00344B7E" w:rsidP="004E00AC">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Active ingredients</w:t>
            </w:r>
          </w:p>
        </w:tc>
        <w:tc>
          <w:tcPr>
            <w:tcW w:w="2432" w:type="dxa"/>
          </w:tcPr>
          <w:p w14:paraId="39A14DEB" w14:textId="77777777" w:rsidR="00344B7E" w:rsidRPr="004E00AC" w:rsidRDefault="00344B7E" w:rsidP="004E00AC">
            <w:pPr>
              <w:spacing w:after="160" w:line="259" w:lineRule="auto"/>
              <w:rPr>
                <w:rFonts w:ascii="Times New Roman" w:hAnsi="Times New Roman" w:cs="Times New Roman"/>
                <w:b/>
                <w:bCs/>
                <w:sz w:val="24"/>
                <w:szCs w:val="24"/>
              </w:rPr>
            </w:pPr>
            <w:r w:rsidRPr="004E00AC">
              <w:rPr>
                <w:rFonts w:ascii="Times New Roman" w:hAnsi="Times New Roman" w:cs="Times New Roman"/>
                <w:b/>
                <w:bCs/>
                <w:sz w:val="24"/>
                <w:szCs w:val="24"/>
              </w:rPr>
              <w:t>Description</w:t>
            </w:r>
          </w:p>
        </w:tc>
        <w:tc>
          <w:tcPr>
            <w:tcW w:w="2539" w:type="dxa"/>
          </w:tcPr>
          <w:p w14:paraId="7C370F3A" w14:textId="77777777" w:rsidR="00344B7E" w:rsidRPr="004E00AC" w:rsidRDefault="00344B7E" w:rsidP="004E00AC">
            <w:pPr>
              <w:spacing w:after="160" w:line="259" w:lineRule="auto"/>
              <w:rPr>
                <w:rFonts w:ascii="Times New Roman" w:hAnsi="Times New Roman" w:cs="Times New Roman"/>
                <w:b/>
                <w:bCs/>
                <w:sz w:val="24"/>
                <w:szCs w:val="24"/>
              </w:rPr>
            </w:pPr>
            <w:r w:rsidRPr="004E00AC">
              <w:rPr>
                <w:rFonts w:ascii="Times New Roman" w:hAnsi="Times New Roman" w:cs="Times New Roman"/>
                <w:b/>
                <w:bCs/>
                <w:sz w:val="24"/>
                <w:szCs w:val="24"/>
              </w:rPr>
              <w:t>Manufacturer or Source</w:t>
            </w:r>
          </w:p>
        </w:tc>
      </w:tr>
      <w:tr w:rsidR="00344B7E" w:rsidRPr="004E00AC" w14:paraId="6493E3EE" w14:textId="77777777" w:rsidTr="00335107">
        <w:tc>
          <w:tcPr>
            <w:tcW w:w="985" w:type="dxa"/>
          </w:tcPr>
          <w:p w14:paraId="613562F0" w14:textId="77777777" w:rsidR="00344B7E" w:rsidRPr="00335107" w:rsidRDefault="00344B7E" w:rsidP="00344B7E">
            <w:pPr>
              <w:rPr>
                <w:rFonts w:ascii="Times New Roman" w:hAnsi="Times New Roman" w:cs="Times New Roman"/>
                <w:sz w:val="24"/>
                <w:szCs w:val="24"/>
              </w:rPr>
            </w:pPr>
            <w:r w:rsidRPr="00335107">
              <w:rPr>
                <w:rFonts w:ascii="Times New Roman" w:hAnsi="Times New Roman" w:cs="Times New Roman"/>
                <w:sz w:val="24"/>
                <w:szCs w:val="24"/>
              </w:rPr>
              <w:t>1</w:t>
            </w:r>
          </w:p>
          <w:p w14:paraId="16F6A77E" w14:textId="77777777" w:rsidR="00344B7E" w:rsidRPr="00335107" w:rsidRDefault="00344B7E" w:rsidP="00344B7E">
            <w:pPr>
              <w:rPr>
                <w:rFonts w:ascii="Times New Roman" w:hAnsi="Times New Roman" w:cs="Times New Roman"/>
                <w:sz w:val="24"/>
                <w:szCs w:val="24"/>
              </w:rPr>
            </w:pPr>
          </w:p>
          <w:p w14:paraId="5F4B6CCD" w14:textId="4A827198" w:rsidR="00344B7E" w:rsidRPr="00335107" w:rsidRDefault="00335107" w:rsidP="00344B7E">
            <w:pPr>
              <w:rPr>
                <w:rFonts w:ascii="Times New Roman" w:hAnsi="Times New Roman" w:cs="Times New Roman"/>
                <w:sz w:val="24"/>
                <w:szCs w:val="24"/>
              </w:rPr>
            </w:pPr>
            <w:r w:rsidRPr="00335107">
              <w:rPr>
                <w:rFonts w:ascii="Times New Roman" w:hAnsi="Times New Roman" w:cs="Times New Roman"/>
                <w:sz w:val="24"/>
                <w:szCs w:val="24"/>
              </w:rPr>
              <w:t>2</w:t>
            </w:r>
          </w:p>
          <w:p w14:paraId="30B88C68" w14:textId="55093C24" w:rsidR="00344B7E" w:rsidRPr="00335107" w:rsidRDefault="00344B7E" w:rsidP="00344B7E">
            <w:pPr>
              <w:rPr>
                <w:rFonts w:ascii="Times New Roman" w:hAnsi="Times New Roman" w:cs="Times New Roman"/>
                <w:sz w:val="24"/>
                <w:szCs w:val="24"/>
              </w:rPr>
            </w:pPr>
          </w:p>
        </w:tc>
        <w:tc>
          <w:tcPr>
            <w:tcW w:w="3394" w:type="dxa"/>
          </w:tcPr>
          <w:p w14:paraId="084D2606" w14:textId="436910DB" w:rsidR="00344B7E" w:rsidRPr="004E00AC" w:rsidRDefault="00344B7E" w:rsidP="004E00AC">
            <w:pPr>
              <w:spacing w:after="160" w:line="259" w:lineRule="auto"/>
              <w:rPr>
                <w:rFonts w:ascii="Times New Roman" w:hAnsi="Times New Roman" w:cs="Times New Roman"/>
                <w:b/>
                <w:bCs/>
                <w:sz w:val="24"/>
                <w:szCs w:val="24"/>
              </w:rPr>
            </w:pPr>
          </w:p>
        </w:tc>
        <w:tc>
          <w:tcPr>
            <w:tcW w:w="2432" w:type="dxa"/>
          </w:tcPr>
          <w:p w14:paraId="6E86B74F" w14:textId="77777777" w:rsidR="00344B7E" w:rsidRDefault="00344B7E" w:rsidP="004E00AC">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Disinfecting </w:t>
            </w:r>
            <w:r w:rsidRPr="008043D8">
              <w:rPr>
                <w:rFonts w:ascii="Times New Roman" w:hAnsi="Times New Roman" w:cs="Times New Roman"/>
                <w:sz w:val="24"/>
                <w:szCs w:val="24"/>
              </w:rPr>
              <w:t>wipe</w:t>
            </w:r>
          </w:p>
          <w:p w14:paraId="12B87C1D" w14:textId="41CD1AAF" w:rsidR="00344B7E" w:rsidRPr="004E00AC" w:rsidRDefault="00344B7E" w:rsidP="004E00AC">
            <w:pPr>
              <w:spacing w:after="160" w:line="259" w:lineRule="auto"/>
              <w:rPr>
                <w:rFonts w:ascii="Times New Roman" w:hAnsi="Times New Roman" w:cs="Times New Roman"/>
                <w:sz w:val="24"/>
                <w:szCs w:val="24"/>
              </w:rPr>
            </w:pPr>
            <w:r>
              <w:rPr>
                <w:rFonts w:ascii="Times New Roman" w:hAnsi="Times New Roman" w:cs="Times New Roman"/>
                <w:sz w:val="24"/>
                <w:szCs w:val="24"/>
              </w:rPr>
              <w:t>Disinfecting wipe AF3</w:t>
            </w:r>
          </w:p>
        </w:tc>
        <w:tc>
          <w:tcPr>
            <w:tcW w:w="2539" w:type="dxa"/>
          </w:tcPr>
          <w:p w14:paraId="3FB5BA8D" w14:textId="01FFCA17" w:rsidR="00344B7E" w:rsidRPr="008043D8" w:rsidRDefault="00344B7E" w:rsidP="004E00AC">
            <w:pPr>
              <w:spacing w:after="160" w:line="259" w:lineRule="auto"/>
              <w:rPr>
                <w:rFonts w:ascii="Times New Roman" w:hAnsi="Times New Roman" w:cs="Times New Roman"/>
                <w:sz w:val="24"/>
                <w:szCs w:val="24"/>
              </w:rPr>
            </w:pPr>
            <w:r w:rsidRPr="008043D8">
              <w:rPr>
                <w:rFonts w:ascii="Times New Roman" w:hAnsi="Times New Roman" w:cs="Times New Roman"/>
                <w:sz w:val="24"/>
                <w:szCs w:val="24"/>
              </w:rPr>
              <w:t>Walmart</w:t>
            </w:r>
            <w:r w:rsidR="00CA5CF0">
              <w:rPr>
                <w:rFonts w:ascii="Times New Roman" w:hAnsi="Times New Roman" w:cs="Times New Roman"/>
                <w:sz w:val="24"/>
                <w:szCs w:val="24"/>
              </w:rPr>
              <w:t>, Bentonville, AK</w:t>
            </w:r>
          </w:p>
          <w:p w14:paraId="4A7E2666" w14:textId="6D1A8A12" w:rsidR="00344B7E" w:rsidRPr="004E00AC" w:rsidRDefault="00344B7E" w:rsidP="004E00AC">
            <w:pPr>
              <w:spacing w:after="160" w:line="259" w:lineRule="auto"/>
              <w:rPr>
                <w:rFonts w:ascii="Times New Roman" w:hAnsi="Times New Roman" w:cs="Times New Roman"/>
                <w:sz w:val="24"/>
                <w:szCs w:val="24"/>
              </w:rPr>
            </w:pPr>
            <w:r w:rsidRPr="008043D8">
              <w:rPr>
                <w:rFonts w:ascii="Times New Roman" w:hAnsi="Times New Roman" w:cs="Times New Roman"/>
                <w:sz w:val="24"/>
                <w:szCs w:val="24"/>
              </w:rPr>
              <w:t>PDI</w:t>
            </w:r>
            <w:r w:rsidR="00CA5CF0">
              <w:rPr>
                <w:rFonts w:ascii="Times New Roman" w:hAnsi="Times New Roman" w:cs="Times New Roman"/>
                <w:sz w:val="24"/>
                <w:szCs w:val="24"/>
              </w:rPr>
              <w:t>, Woodcliff Lake, NJ</w:t>
            </w:r>
          </w:p>
        </w:tc>
      </w:tr>
      <w:tr w:rsidR="00344B7E" w:rsidRPr="004E00AC" w14:paraId="4F7691D1" w14:textId="77777777" w:rsidTr="00335107">
        <w:tc>
          <w:tcPr>
            <w:tcW w:w="985" w:type="dxa"/>
          </w:tcPr>
          <w:p w14:paraId="2151A324" w14:textId="094CBC00" w:rsidR="00344B7E" w:rsidRPr="00335107" w:rsidRDefault="00335107" w:rsidP="004E00AC">
            <w:pPr>
              <w:rPr>
                <w:rFonts w:ascii="Times New Roman" w:hAnsi="Times New Roman" w:cs="Times New Roman"/>
                <w:sz w:val="24"/>
                <w:szCs w:val="24"/>
              </w:rPr>
            </w:pPr>
            <w:r w:rsidRPr="00335107">
              <w:rPr>
                <w:rFonts w:ascii="Times New Roman" w:hAnsi="Times New Roman" w:cs="Times New Roman"/>
                <w:sz w:val="24"/>
                <w:szCs w:val="24"/>
              </w:rPr>
              <w:t>3</w:t>
            </w:r>
          </w:p>
        </w:tc>
        <w:tc>
          <w:tcPr>
            <w:tcW w:w="3394" w:type="dxa"/>
          </w:tcPr>
          <w:p w14:paraId="189C093D" w14:textId="32EF4C5F" w:rsidR="00344B7E" w:rsidRPr="004E00AC" w:rsidRDefault="00344B7E" w:rsidP="004E00AC">
            <w:pPr>
              <w:spacing w:after="160" w:line="259" w:lineRule="auto"/>
              <w:rPr>
                <w:rFonts w:ascii="Times New Roman" w:hAnsi="Times New Roman" w:cs="Times New Roman"/>
                <w:b/>
                <w:bCs/>
                <w:sz w:val="24"/>
                <w:szCs w:val="24"/>
              </w:rPr>
            </w:pPr>
          </w:p>
        </w:tc>
        <w:tc>
          <w:tcPr>
            <w:tcW w:w="2432" w:type="dxa"/>
          </w:tcPr>
          <w:p w14:paraId="351B3297" w14:textId="61CDA6DC" w:rsidR="00344B7E" w:rsidRPr="004E00AC" w:rsidRDefault="00344B7E" w:rsidP="004E00AC">
            <w:pPr>
              <w:spacing w:after="160" w:line="259" w:lineRule="auto"/>
              <w:rPr>
                <w:rFonts w:ascii="Times New Roman" w:hAnsi="Times New Roman" w:cs="Times New Roman"/>
                <w:sz w:val="24"/>
                <w:szCs w:val="24"/>
              </w:rPr>
            </w:pPr>
            <w:r>
              <w:rPr>
                <w:rFonts w:ascii="Times New Roman" w:hAnsi="Times New Roman" w:cs="Times New Roman"/>
                <w:sz w:val="24"/>
                <w:szCs w:val="24"/>
              </w:rPr>
              <w:t>Sani-24 spray, polymeric quat</w:t>
            </w:r>
          </w:p>
        </w:tc>
        <w:tc>
          <w:tcPr>
            <w:tcW w:w="2539" w:type="dxa"/>
          </w:tcPr>
          <w:p w14:paraId="6F70A4FE" w14:textId="015CE262" w:rsidR="00344B7E" w:rsidRPr="004E00AC" w:rsidRDefault="00344B7E" w:rsidP="004E00AC">
            <w:pPr>
              <w:spacing w:after="160" w:line="259" w:lineRule="auto"/>
              <w:rPr>
                <w:rFonts w:ascii="Times New Roman" w:hAnsi="Times New Roman" w:cs="Times New Roman"/>
                <w:sz w:val="24"/>
                <w:szCs w:val="24"/>
              </w:rPr>
            </w:pPr>
            <w:r w:rsidRPr="008043D8">
              <w:rPr>
                <w:rFonts w:ascii="Times New Roman" w:hAnsi="Times New Roman" w:cs="Times New Roman"/>
                <w:sz w:val="24"/>
                <w:szCs w:val="24"/>
              </w:rPr>
              <w:t>PDI</w:t>
            </w:r>
            <w:r w:rsidR="00CA5CF0">
              <w:rPr>
                <w:rFonts w:ascii="Times New Roman" w:hAnsi="Times New Roman" w:cs="Times New Roman"/>
                <w:sz w:val="24"/>
                <w:szCs w:val="24"/>
              </w:rPr>
              <w:t>, Woodcliff Lake, NJ</w:t>
            </w:r>
          </w:p>
        </w:tc>
      </w:tr>
      <w:tr w:rsidR="00344B7E" w:rsidRPr="004E00AC" w14:paraId="0CC4D1D4" w14:textId="77777777" w:rsidTr="00335107">
        <w:tc>
          <w:tcPr>
            <w:tcW w:w="985" w:type="dxa"/>
          </w:tcPr>
          <w:p w14:paraId="30F60FBC" w14:textId="5FD4EF11" w:rsidR="00344B7E" w:rsidRPr="00335107" w:rsidRDefault="00335107" w:rsidP="004E00AC">
            <w:pPr>
              <w:rPr>
                <w:rFonts w:ascii="Times New Roman" w:hAnsi="Times New Roman" w:cs="Times New Roman"/>
                <w:sz w:val="24"/>
                <w:szCs w:val="24"/>
              </w:rPr>
            </w:pPr>
            <w:r w:rsidRPr="00335107">
              <w:rPr>
                <w:rFonts w:ascii="Times New Roman" w:hAnsi="Times New Roman" w:cs="Times New Roman"/>
                <w:sz w:val="24"/>
                <w:szCs w:val="24"/>
              </w:rPr>
              <w:t>4</w:t>
            </w:r>
          </w:p>
        </w:tc>
        <w:tc>
          <w:tcPr>
            <w:tcW w:w="3394" w:type="dxa"/>
          </w:tcPr>
          <w:p w14:paraId="12C4EE59" w14:textId="53EC729F" w:rsidR="00344B7E" w:rsidRPr="004E00AC" w:rsidRDefault="00344B7E" w:rsidP="004E00AC">
            <w:pPr>
              <w:spacing w:after="160" w:line="259" w:lineRule="auto"/>
              <w:rPr>
                <w:rFonts w:ascii="Times New Roman" w:hAnsi="Times New Roman" w:cs="Times New Roman"/>
                <w:b/>
                <w:bCs/>
                <w:sz w:val="24"/>
                <w:szCs w:val="24"/>
              </w:rPr>
            </w:pPr>
          </w:p>
        </w:tc>
        <w:tc>
          <w:tcPr>
            <w:tcW w:w="2432" w:type="dxa"/>
          </w:tcPr>
          <w:p w14:paraId="27F883A2" w14:textId="30CEE94C" w:rsidR="00344B7E" w:rsidRPr="004E00AC" w:rsidRDefault="00344B7E" w:rsidP="004E00AC">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Polymeric </w:t>
            </w:r>
            <w:proofErr w:type="spellStart"/>
            <w:r>
              <w:rPr>
                <w:rFonts w:ascii="Times New Roman" w:hAnsi="Times New Roman" w:cs="Times New Roman"/>
                <w:sz w:val="24"/>
                <w:szCs w:val="24"/>
              </w:rPr>
              <w:t>slinated</w:t>
            </w:r>
            <w:proofErr w:type="spellEnd"/>
            <w:r>
              <w:rPr>
                <w:rFonts w:ascii="Times New Roman" w:hAnsi="Times New Roman" w:cs="Times New Roman"/>
                <w:sz w:val="24"/>
                <w:szCs w:val="24"/>
              </w:rPr>
              <w:t xml:space="preserve"> quat</w:t>
            </w:r>
          </w:p>
        </w:tc>
        <w:tc>
          <w:tcPr>
            <w:tcW w:w="2539" w:type="dxa"/>
          </w:tcPr>
          <w:p w14:paraId="03DE9348" w14:textId="342708F5" w:rsidR="00344B7E" w:rsidRPr="004E00AC" w:rsidRDefault="00344B7E" w:rsidP="004E00AC">
            <w:pPr>
              <w:spacing w:after="160" w:line="259" w:lineRule="auto"/>
              <w:rPr>
                <w:rFonts w:ascii="Times New Roman" w:hAnsi="Times New Roman" w:cs="Times New Roman"/>
                <w:sz w:val="24"/>
                <w:szCs w:val="24"/>
              </w:rPr>
            </w:pPr>
            <w:r>
              <w:rPr>
                <w:rFonts w:ascii="Times New Roman" w:hAnsi="Times New Roman" w:cs="Times New Roman"/>
                <w:sz w:val="24"/>
                <w:szCs w:val="24"/>
              </w:rPr>
              <w:t>Allied Biosciences, Dallas, TX</w:t>
            </w:r>
          </w:p>
        </w:tc>
      </w:tr>
      <w:tr w:rsidR="00344B7E" w:rsidRPr="004E00AC" w14:paraId="5AA2BB14" w14:textId="77777777" w:rsidTr="00335107">
        <w:tc>
          <w:tcPr>
            <w:tcW w:w="985" w:type="dxa"/>
          </w:tcPr>
          <w:p w14:paraId="597E5844" w14:textId="06E43951" w:rsidR="00344B7E" w:rsidRPr="00335107" w:rsidRDefault="00335107" w:rsidP="004E00AC">
            <w:pPr>
              <w:rPr>
                <w:rFonts w:ascii="Times New Roman" w:hAnsi="Times New Roman" w:cs="Times New Roman"/>
                <w:sz w:val="24"/>
                <w:szCs w:val="24"/>
              </w:rPr>
            </w:pPr>
            <w:r w:rsidRPr="00335107">
              <w:rPr>
                <w:rFonts w:ascii="Times New Roman" w:hAnsi="Times New Roman" w:cs="Times New Roman"/>
                <w:sz w:val="24"/>
                <w:szCs w:val="24"/>
              </w:rPr>
              <w:t>5</w:t>
            </w:r>
          </w:p>
        </w:tc>
        <w:tc>
          <w:tcPr>
            <w:tcW w:w="3394" w:type="dxa"/>
          </w:tcPr>
          <w:p w14:paraId="75B26CFB" w14:textId="6AC66E32" w:rsidR="00344B7E" w:rsidRPr="004E00AC" w:rsidRDefault="00344B7E" w:rsidP="004E00AC">
            <w:pPr>
              <w:spacing w:after="160" w:line="259" w:lineRule="auto"/>
              <w:rPr>
                <w:rFonts w:ascii="Times New Roman" w:hAnsi="Times New Roman" w:cs="Times New Roman"/>
                <w:sz w:val="24"/>
                <w:szCs w:val="24"/>
              </w:rPr>
            </w:pPr>
            <w:r>
              <w:rPr>
                <w:rFonts w:ascii="Times New Roman" w:hAnsi="Times New Roman" w:cs="Times New Roman"/>
                <w:sz w:val="24"/>
                <w:szCs w:val="24"/>
              </w:rPr>
              <w:t>No treatment</w:t>
            </w:r>
          </w:p>
        </w:tc>
        <w:tc>
          <w:tcPr>
            <w:tcW w:w="2432" w:type="dxa"/>
          </w:tcPr>
          <w:p w14:paraId="590BD783" w14:textId="70663F1A" w:rsidR="00344B7E" w:rsidRPr="004E00AC" w:rsidRDefault="00344B7E" w:rsidP="004E00AC">
            <w:pPr>
              <w:spacing w:after="160" w:line="259" w:lineRule="auto"/>
              <w:rPr>
                <w:rFonts w:ascii="Times New Roman" w:hAnsi="Times New Roman" w:cs="Times New Roman"/>
                <w:sz w:val="24"/>
                <w:szCs w:val="24"/>
              </w:rPr>
            </w:pPr>
            <w:r>
              <w:rPr>
                <w:rFonts w:ascii="Times New Roman" w:hAnsi="Times New Roman" w:cs="Times New Roman"/>
                <w:sz w:val="24"/>
                <w:szCs w:val="24"/>
              </w:rPr>
              <w:t>Not applicable</w:t>
            </w:r>
          </w:p>
        </w:tc>
        <w:tc>
          <w:tcPr>
            <w:tcW w:w="2539" w:type="dxa"/>
          </w:tcPr>
          <w:p w14:paraId="3657A005" w14:textId="5F562CB1" w:rsidR="00344B7E" w:rsidRPr="004E00AC" w:rsidRDefault="00344B7E" w:rsidP="004E00AC">
            <w:pPr>
              <w:spacing w:after="160" w:line="259" w:lineRule="auto"/>
              <w:rPr>
                <w:rFonts w:ascii="Times New Roman" w:hAnsi="Times New Roman" w:cs="Times New Roman"/>
                <w:sz w:val="24"/>
                <w:szCs w:val="24"/>
              </w:rPr>
            </w:pPr>
            <w:r>
              <w:rPr>
                <w:rFonts w:ascii="Times New Roman" w:hAnsi="Times New Roman" w:cs="Times New Roman"/>
                <w:sz w:val="24"/>
                <w:szCs w:val="24"/>
              </w:rPr>
              <w:t>No disinfectant</w:t>
            </w:r>
          </w:p>
        </w:tc>
      </w:tr>
      <w:tr w:rsidR="00344B7E" w:rsidRPr="004E00AC" w14:paraId="5ED074DD" w14:textId="77777777" w:rsidTr="00335107">
        <w:tc>
          <w:tcPr>
            <w:tcW w:w="985" w:type="dxa"/>
          </w:tcPr>
          <w:p w14:paraId="150433AF" w14:textId="77777777" w:rsidR="00344B7E" w:rsidRPr="004E00AC" w:rsidRDefault="00344B7E" w:rsidP="004E00AC">
            <w:pPr>
              <w:rPr>
                <w:rFonts w:ascii="Times New Roman" w:hAnsi="Times New Roman" w:cs="Times New Roman"/>
                <w:b/>
                <w:bCs/>
                <w:sz w:val="24"/>
                <w:szCs w:val="24"/>
              </w:rPr>
            </w:pPr>
          </w:p>
        </w:tc>
        <w:tc>
          <w:tcPr>
            <w:tcW w:w="3394" w:type="dxa"/>
          </w:tcPr>
          <w:p w14:paraId="2FEFD13F" w14:textId="5F0D1C51" w:rsidR="00344B7E" w:rsidRPr="004E00AC" w:rsidRDefault="00344B7E" w:rsidP="004E00AC">
            <w:pPr>
              <w:spacing w:after="160" w:line="259" w:lineRule="auto"/>
              <w:rPr>
                <w:rFonts w:ascii="Times New Roman" w:hAnsi="Times New Roman" w:cs="Times New Roman"/>
                <w:b/>
                <w:bCs/>
                <w:sz w:val="24"/>
                <w:szCs w:val="24"/>
              </w:rPr>
            </w:pPr>
          </w:p>
        </w:tc>
        <w:tc>
          <w:tcPr>
            <w:tcW w:w="2432" w:type="dxa"/>
          </w:tcPr>
          <w:p w14:paraId="1E3B35B4" w14:textId="1C990042" w:rsidR="00344B7E" w:rsidRPr="004E00AC" w:rsidRDefault="00344B7E" w:rsidP="004E00AC">
            <w:pPr>
              <w:spacing w:after="160" w:line="259" w:lineRule="auto"/>
              <w:rPr>
                <w:rFonts w:ascii="Times New Roman" w:hAnsi="Times New Roman" w:cs="Times New Roman"/>
                <w:b/>
                <w:bCs/>
                <w:sz w:val="24"/>
                <w:szCs w:val="24"/>
              </w:rPr>
            </w:pPr>
          </w:p>
        </w:tc>
        <w:tc>
          <w:tcPr>
            <w:tcW w:w="2539" w:type="dxa"/>
          </w:tcPr>
          <w:p w14:paraId="60880FBB" w14:textId="47C9056E" w:rsidR="00344B7E" w:rsidRPr="004E00AC" w:rsidRDefault="00344B7E" w:rsidP="004E00AC">
            <w:pPr>
              <w:spacing w:after="160" w:line="259" w:lineRule="auto"/>
              <w:rPr>
                <w:rFonts w:ascii="Times New Roman" w:hAnsi="Times New Roman" w:cs="Times New Roman"/>
                <w:b/>
                <w:bCs/>
                <w:sz w:val="24"/>
                <w:szCs w:val="24"/>
              </w:rPr>
            </w:pPr>
          </w:p>
        </w:tc>
      </w:tr>
    </w:tbl>
    <w:p w14:paraId="65B92510" w14:textId="0ACFC316" w:rsidR="004E00AC" w:rsidRDefault="004E00AC" w:rsidP="00B7536B">
      <w:pPr>
        <w:rPr>
          <w:rFonts w:ascii="Times New Roman" w:hAnsi="Times New Roman" w:cs="Times New Roman"/>
          <w:b/>
          <w:bCs/>
          <w:sz w:val="24"/>
          <w:szCs w:val="24"/>
        </w:rPr>
      </w:pPr>
    </w:p>
    <w:p w14:paraId="5F7BE886" w14:textId="2F944C19" w:rsidR="004E00AC" w:rsidRDefault="004E00AC" w:rsidP="00B7536B">
      <w:pPr>
        <w:rPr>
          <w:rFonts w:ascii="Times New Roman" w:hAnsi="Times New Roman" w:cs="Times New Roman"/>
          <w:b/>
          <w:bCs/>
          <w:sz w:val="24"/>
          <w:szCs w:val="24"/>
        </w:rPr>
      </w:pPr>
    </w:p>
    <w:p w14:paraId="673838BE" w14:textId="069C488B" w:rsidR="004E00AC" w:rsidRPr="00755394" w:rsidRDefault="00755394" w:rsidP="00B7536B">
      <w:pPr>
        <w:rPr>
          <w:rFonts w:ascii="Times New Roman" w:hAnsi="Times New Roman" w:cs="Times New Roman"/>
          <w:sz w:val="24"/>
          <w:szCs w:val="24"/>
        </w:rPr>
      </w:pPr>
      <w:r w:rsidRPr="00755394">
        <w:rPr>
          <w:rFonts w:ascii="Times New Roman" w:hAnsi="Times New Roman" w:cs="Times New Roman"/>
          <w:sz w:val="24"/>
          <w:szCs w:val="24"/>
        </w:rPr>
        <w:t>Table 2. Fomite-to-finger pad transfer efficiencies of human coronavirus 229E</w:t>
      </w:r>
    </w:p>
    <w:tbl>
      <w:tblPr>
        <w:tblStyle w:val="TableGrid"/>
        <w:tblW w:w="0" w:type="auto"/>
        <w:tblLook w:val="04A0" w:firstRow="1" w:lastRow="0" w:firstColumn="1" w:lastColumn="0" w:noHBand="0" w:noVBand="1"/>
      </w:tblPr>
      <w:tblGrid>
        <w:gridCol w:w="1165"/>
        <w:gridCol w:w="3959"/>
        <w:gridCol w:w="1737"/>
        <w:gridCol w:w="2489"/>
      </w:tblGrid>
      <w:tr w:rsidR="004E00AC" w:rsidRPr="004E00AC" w14:paraId="47141EA2" w14:textId="77777777" w:rsidTr="00335107">
        <w:tc>
          <w:tcPr>
            <w:tcW w:w="1165" w:type="dxa"/>
          </w:tcPr>
          <w:p w14:paraId="35026973" w14:textId="510E37BA" w:rsidR="004E00AC" w:rsidRPr="004E00AC" w:rsidRDefault="008043D8" w:rsidP="004E00AC">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Product</w:t>
            </w:r>
          </w:p>
        </w:tc>
        <w:tc>
          <w:tcPr>
            <w:tcW w:w="3959" w:type="dxa"/>
          </w:tcPr>
          <w:p w14:paraId="287A1E01" w14:textId="576FB0D5" w:rsidR="004E00AC" w:rsidRPr="004E00AC" w:rsidRDefault="004E00AC" w:rsidP="00335107">
            <w:pPr>
              <w:spacing w:after="160" w:line="259" w:lineRule="auto"/>
              <w:rPr>
                <w:rFonts w:ascii="Times New Roman" w:hAnsi="Times New Roman" w:cs="Times New Roman"/>
                <w:b/>
                <w:bCs/>
                <w:sz w:val="24"/>
                <w:szCs w:val="24"/>
              </w:rPr>
            </w:pPr>
            <w:r w:rsidRPr="004E00AC">
              <w:rPr>
                <w:rFonts w:ascii="Times New Roman" w:hAnsi="Times New Roman" w:cs="Times New Roman"/>
                <w:b/>
                <w:bCs/>
                <w:sz w:val="24"/>
                <w:szCs w:val="24"/>
              </w:rPr>
              <w:t>Mean Pre-Transfer Surface Viral Titer</w:t>
            </w:r>
            <w:r w:rsidR="00335107">
              <w:rPr>
                <w:rFonts w:ascii="Times New Roman" w:hAnsi="Times New Roman" w:cs="Times New Roman"/>
                <w:b/>
                <w:bCs/>
                <w:sz w:val="24"/>
                <w:szCs w:val="24"/>
              </w:rPr>
              <w:t xml:space="preserve"> </w:t>
            </w:r>
            <w:r w:rsidRPr="004E00AC">
              <w:rPr>
                <w:rFonts w:ascii="Times New Roman" w:hAnsi="Times New Roman" w:cs="Times New Roman"/>
                <w:b/>
                <w:bCs/>
                <w:sz w:val="24"/>
                <w:szCs w:val="24"/>
              </w:rPr>
              <w:t>Log</w:t>
            </w:r>
            <w:r w:rsidRPr="004E00AC">
              <w:rPr>
                <w:rFonts w:ascii="Times New Roman" w:hAnsi="Times New Roman" w:cs="Times New Roman"/>
                <w:b/>
                <w:bCs/>
                <w:sz w:val="24"/>
                <w:szCs w:val="24"/>
                <w:vertAlign w:val="subscript"/>
              </w:rPr>
              <w:t>10</w:t>
            </w:r>
            <w:r w:rsidRPr="004E00AC">
              <w:rPr>
                <w:rFonts w:ascii="Times New Roman" w:hAnsi="Times New Roman" w:cs="Times New Roman"/>
                <w:b/>
                <w:bCs/>
                <w:sz w:val="24"/>
                <w:szCs w:val="24"/>
              </w:rPr>
              <w:t xml:space="preserve"> ± S.D. (n=3)</w:t>
            </w:r>
          </w:p>
        </w:tc>
        <w:tc>
          <w:tcPr>
            <w:tcW w:w="1737" w:type="dxa"/>
          </w:tcPr>
          <w:p w14:paraId="2D487C69" w14:textId="4BAD33B8" w:rsidR="004E00AC" w:rsidRPr="004E00AC" w:rsidRDefault="004E00AC" w:rsidP="00335107">
            <w:pPr>
              <w:spacing w:after="160" w:line="259" w:lineRule="auto"/>
              <w:rPr>
                <w:rFonts w:ascii="Times New Roman" w:hAnsi="Times New Roman" w:cs="Times New Roman"/>
                <w:b/>
                <w:bCs/>
                <w:sz w:val="24"/>
                <w:szCs w:val="24"/>
              </w:rPr>
            </w:pPr>
            <w:r w:rsidRPr="004E00AC">
              <w:rPr>
                <w:rFonts w:ascii="Times New Roman" w:hAnsi="Times New Roman" w:cs="Times New Roman"/>
                <w:b/>
                <w:bCs/>
                <w:sz w:val="24"/>
                <w:szCs w:val="24"/>
              </w:rPr>
              <w:t>Transfer Replicates</w:t>
            </w:r>
            <w:r w:rsidR="00335107">
              <w:rPr>
                <w:rFonts w:ascii="Times New Roman" w:hAnsi="Times New Roman" w:cs="Times New Roman"/>
                <w:b/>
                <w:bCs/>
                <w:sz w:val="24"/>
                <w:szCs w:val="24"/>
              </w:rPr>
              <w:t xml:space="preserve"> </w:t>
            </w:r>
            <w:r w:rsidRPr="004E00AC">
              <w:rPr>
                <w:rFonts w:ascii="Times New Roman" w:hAnsi="Times New Roman" w:cs="Times New Roman"/>
                <w:b/>
                <w:bCs/>
                <w:sz w:val="24"/>
                <w:szCs w:val="24"/>
              </w:rPr>
              <w:t>(n)</w:t>
            </w:r>
          </w:p>
        </w:tc>
        <w:tc>
          <w:tcPr>
            <w:tcW w:w="2489" w:type="dxa"/>
          </w:tcPr>
          <w:p w14:paraId="50D99ACA" w14:textId="77777777" w:rsidR="004E00AC" w:rsidRPr="004E00AC" w:rsidRDefault="004E00AC" w:rsidP="004E00AC">
            <w:pPr>
              <w:spacing w:after="160" w:line="259" w:lineRule="auto"/>
              <w:rPr>
                <w:rFonts w:ascii="Times New Roman" w:hAnsi="Times New Roman" w:cs="Times New Roman"/>
                <w:b/>
                <w:bCs/>
                <w:sz w:val="24"/>
                <w:szCs w:val="24"/>
              </w:rPr>
            </w:pPr>
            <w:r w:rsidRPr="004E00AC">
              <w:rPr>
                <w:rFonts w:ascii="Times New Roman" w:hAnsi="Times New Roman" w:cs="Times New Roman"/>
                <w:b/>
                <w:bCs/>
                <w:sz w:val="24"/>
                <w:szCs w:val="24"/>
              </w:rPr>
              <w:t>Mean Transfer Efficiency % ± S.D.</w:t>
            </w:r>
          </w:p>
        </w:tc>
      </w:tr>
      <w:tr w:rsidR="004E00AC" w:rsidRPr="004E00AC" w14:paraId="34D48B07" w14:textId="77777777" w:rsidTr="00335107">
        <w:tc>
          <w:tcPr>
            <w:tcW w:w="1165" w:type="dxa"/>
          </w:tcPr>
          <w:p w14:paraId="69E8123A" w14:textId="7768E52B" w:rsidR="004E00AC" w:rsidRPr="004E00AC" w:rsidRDefault="00335107" w:rsidP="00335107">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959" w:type="dxa"/>
          </w:tcPr>
          <w:p w14:paraId="0710320F" w14:textId="38DE492C" w:rsidR="004E00AC" w:rsidRPr="004E00AC" w:rsidRDefault="004E00AC" w:rsidP="00335107">
            <w:pPr>
              <w:spacing w:after="160" w:line="259" w:lineRule="auto"/>
              <w:jc w:val="center"/>
              <w:rPr>
                <w:rFonts w:ascii="Times New Roman" w:hAnsi="Times New Roman" w:cs="Times New Roman"/>
                <w:sz w:val="24"/>
                <w:szCs w:val="24"/>
              </w:rPr>
            </w:pPr>
          </w:p>
        </w:tc>
        <w:tc>
          <w:tcPr>
            <w:tcW w:w="1737" w:type="dxa"/>
          </w:tcPr>
          <w:p w14:paraId="135D2E03" w14:textId="0D8B8D09" w:rsidR="004E00AC" w:rsidRPr="004E00AC" w:rsidRDefault="00335107" w:rsidP="00335107">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489" w:type="dxa"/>
          </w:tcPr>
          <w:p w14:paraId="78BAE448" w14:textId="4CF874B9" w:rsidR="004E00AC" w:rsidRPr="004E00AC" w:rsidRDefault="00CA5CF0" w:rsidP="00335107">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w:t>
            </w:r>
            <w:r w:rsidR="00EA02DF">
              <w:rPr>
                <w:rFonts w:ascii="Times New Roman" w:hAnsi="Times New Roman" w:cs="Times New Roman"/>
                <w:sz w:val="24"/>
                <w:szCs w:val="24"/>
              </w:rPr>
              <w:t>51</w:t>
            </w:r>
          </w:p>
        </w:tc>
      </w:tr>
      <w:tr w:rsidR="004E00AC" w:rsidRPr="004E00AC" w14:paraId="789789D5" w14:textId="77777777" w:rsidTr="00335107">
        <w:tc>
          <w:tcPr>
            <w:tcW w:w="1165" w:type="dxa"/>
          </w:tcPr>
          <w:p w14:paraId="58E66289" w14:textId="792075DA" w:rsidR="004E00AC" w:rsidRPr="004E00AC" w:rsidRDefault="00335107" w:rsidP="00335107">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959" w:type="dxa"/>
          </w:tcPr>
          <w:p w14:paraId="195EF731" w14:textId="095E70C2" w:rsidR="004E00AC" w:rsidRPr="004E00AC" w:rsidRDefault="004E00AC" w:rsidP="00335107">
            <w:pPr>
              <w:spacing w:after="160" w:line="259" w:lineRule="auto"/>
              <w:jc w:val="center"/>
              <w:rPr>
                <w:rFonts w:ascii="Times New Roman" w:hAnsi="Times New Roman" w:cs="Times New Roman"/>
                <w:sz w:val="24"/>
                <w:szCs w:val="24"/>
              </w:rPr>
            </w:pPr>
          </w:p>
        </w:tc>
        <w:tc>
          <w:tcPr>
            <w:tcW w:w="1737" w:type="dxa"/>
          </w:tcPr>
          <w:p w14:paraId="6B3DC8F9" w14:textId="6810116E" w:rsidR="004E00AC" w:rsidRPr="004E00AC" w:rsidRDefault="004E00AC" w:rsidP="00335107">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489" w:type="dxa"/>
          </w:tcPr>
          <w:p w14:paraId="3C53DECF" w14:textId="72A2C907" w:rsidR="004E00AC" w:rsidRPr="004E00AC" w:rsidRDefault="00CA5CF0" w:rsidP="00335107">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w:t>
            </w:r>
            <w:r w:rsidR="00EA02DF">
              <w:rPr>
                <w:rFonts w:ascii="Times New Roman" w:hAnsi="Times New Roman" w:cs="Times New Roman"/>
                <w:sz w:val="24"/>
                <w:szCs w:val="24"/>
              </w:rPr>
              <w:t>20</w:t>
            </w:r>
          </w:p>
        </w:tc>
      </w:tr>
      <w:tr w:rsidR="004E00AC" w:rsidRPr="004E00AC" w14:paraId="5E4AD1AE" w14:textId="77777777" w:rsidTr="00335107">
        <w:tc>
          <w:tcPr>
            <w:tcW w:w="1165" w:type="dxa"/>
          </w:tcPr>
          <w:p w14:paraId="688F9A07" w14:textId="6D562055" w:rsidR="004E00AC" w:rsidRPr="004E00AC" w:rsidRDefault="00335107" w:rsidP="00335107">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959" w:type="dxa"/>
          </w:tcPr>
          <w:p w14:paraId="6814DCE0" w14:textId="07186745" w:rsidR="004E00AC" w:rsidRPr="004E00AC" w:rsidRDefault="004E00AC" w:rsidP="00335107">
            <w:pPr>
              <w:spacing w:after="160" w:line="259" w:lineRule="auto"/>
              <w:jc w:val="center"/>
              <w:rPr>
                <w:rFonts w:ascii="Times New Roman" w:hAnsi="Times New Roman" w:cs="Times New Roman"/>
                <w:sz w:val="24"/>
                <w:szCs w:val="24"/>
              </w:rPr>
            </w:pPr>
          </w:p>
        </w:tc>
        <w:tc>
          <w:tcPr>
            <w:tcW w:w="1737" w:type="dxa"/>
          </w:tcPr>
          <w:p w14:paraId="036A7185" w14:textId="10C99692" w:rsidR="004E00AC" w:rsidRPr="004E00AC" w:rsidRDefault="004E00AC" w:rsidP="00335107">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489" w:type="dxa"/>
          </w:tcPr>
          <w:p w14:paraId="25919D43" w14:textId="7B314A81" w:rsidR="004E00AC" w:rsidRPr="004E00AC" w:rsidRDefault="00432762" w:rsidP="00335107">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4E00AC" w:rsidRPr="004E00AC" w14:paraId="24211995" w14:textId="77777777" w:rsidTr="00335107">
        <w:tc>
          <w:tcPr>
            <w:tcW w:w="1165" w:type="dxa"/>
          </w:tcPr>
          <w:p w14:paraId="775ADED8" w14:textId="1C234BB3" w:rsidR="004E00AC" w:rsidRPr="004E00AC" w:rsidRDefault="00335107" w:rsidP="00335107">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959" w:type="dxa"/>
          </w:tcPr>
          <w:p w14:paraId="7423EE1D" w14:textId="4E3E7CA9" w:rsidR="004E00AC" w:rsidRPr="004E00AC" w:rsidRDefault="004E00AC" w:rsidP="00335107">
            <w:pPr>
              <w:spacing w:after="160" w:line="259" w:lineRule="auto"/>
              <w:jc w:val="center"/>
              <w:rPr>
                <w:rFonts w:ascii="Times New Roman" w:hAnsi="Times New Roman" w:cs="Times New Roman"/>
                <w:sz w:val="24"/>
                <w:szCs w:val="24"/>
              </w:rPr>
            </w:pPr>
          </w:p>
        </w:tc>
        <w:tc>
          <w:tcPr>
            <w:tcW w:w="1737" w:type="dxa"/>
          </w:tcPr>
          <w:p w14:paraId="2172D33C" w14:textId="0300D6E6" w:rsidR="004E00AC" w:rsidRPr="004E00AC" w:rsidRDefault="004E00AC" w:rsidP="00335107">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489" w:type="dxa"/>
          </w:tcPr>
          <w:p w14:paraId="4D1E72A6" w14:textId="29E04D6E" w:rsidR="004E00AC" w:rsidRPr="004E00AC" w:rsidRDefault="00EA02DF" w:rsidP="00335107">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0.01</w:t>
            </w:r>
          </w:p>
        </w:tc>
      </w:tr>
      <w:tr w:rsidR="004E00AC" w:rsidRPr="004E00AC" w14:paraId="3C68BD73" w14:textId="77777777" w:rsidTr="00335107">
        <w:tc>
          <w:tcPr>
            <w:tcW w:w="1165" w:type="dxa"/>
          </w:tcPr>
          <w:p w14:paraId="24DF235A" w14:textId="111BDE62" w:rsidR="004E00AC" w:rsidRPr="004E00AC" w:rsidRDefault="00335107" w:rsidP="00335107">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959" w:type="dxa"/>
          </w:tcPr>
          <w:p w14:paraId="1F5BEC58" w14:textId="520AE7C1" w:rsidR="004E00AC" w:rsidRPr="004E00AC" w:rsidRDefault="00335107" w:rsidP="00335107">
            <w:pPr>
              <w:spacing w:after="160" w:line="259" w:lineRule="auto"/>
              <w:jc w:val="center"/>
              <w:rPr>
                <w:rFonts w:ascii="Times New Roman" w:hAnsi="Times New Roman" w:cs="Times New Roman"/>
                <w:sz w:val="24"/>
                <w:szCs w:val="24"/>
              </w:rPr>
            </w:pPr>
            <w:r w:rsidRPr="00335107">
              <w:rPr>
                <w:rFonts w:ascii="Times New Roman" w:hAnsi="Times New Roman" w:cs="Times New Roman"/>
                <w:sz w:val="24"/>
                <w:szCs w:val="24"/>
              </w:rPr>
              <w:t>4.72 ± 0.10</w:t>
            </w:r>
          </w:p>
        </w:tc>
        <w:tc>
          <w:tcPr>
            <w:tcW w:w="1737" w:type="dxa"/>
          </w:tcPr>
          <w:p w14:paraId="2486ABBC" w14:textId="35123D21" w:rsidR="004E00AC" w:rsidRPr="004E00AC" w:rsidRDefault="00335107" w:rsidP="00335107">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489" w:type="dxa"/>
          </w:tcPr>
          <w:p w14:paraId="5D7714E0" w14:textId="68F6FD94" w:rsidR="004E00AC" w:rsidRPr="004E00AC" w:rsidRDefault="00335107" w:rsidP="00335107">
            <w:pPr>
              <w:spacing w:after="160" w:line="259" w:lineRule="auto"/>
              <w:jc w:val="center"/>
              <w:rPr>
                <w:rFonts w:ascii="Times New Roman" w:hAnsi="Times New Roman" w:cs="Times New Roman"/>
                <w:sz w:val="24"/>
                <w:szCs w:val="24"/>
              </w:rPr>
            </w:pPr>
            <w:r w:rsidRPr="00335107">
              <w:rPr>
                <w:rFonts w:ascii="Times New Roman" w:hAnsi="Times New Roman" w:cs="Times New Roman"/>
                <w:sz w:val="24"/>
                <w:szCs w:val="24"/>
              </w:rPr>
              <w:t>49.07 ± 16.70</w:t>
            </w:r>
          </w:p>
        </w:tc>
      </w:tr>
      <w:tr w:rsidR="004E00AC" w:rsidRPr="004E00AC" w14:paraId="753A3725" w14:textId="77777777" w:rsidTr="00335107">
        <w:trPr>
          <w:trHeight w:val="297"/>
        </w:trPr>
        <w:tc>
          <w:tcPr>
            <w:tcW w:w="1165" w:type="dxa"/>
          </w:tcPr>
          <w:p w14:paraId="1938CA15" w14:textId="5FABFEC7" w:rsidR="004E00AC" w:rsidRPr="004E00AC" w:rsidRDefault="004E00AC" w:rsidP="004E00AC">
            <w:pPr>
              <w:spacing w:after="160" w:line="259" w:lineRule="auto"/>
              <w:rPr>
                <w:rFonts w:ascii="Times New Roman" w:hAnsi="Times New Roman" w:cs="Times New Roman"/>
                <w:sz w:val="24"/>
                <w:szCs w:val="24"/>
              </w:rPr>
            </w:pPr>
          </w:p>
        </w:tc>
        <w:tc>
          <w:tcPr>
            <w:tcW w:w="3959" w:type="dxa"/>
          </w:tcPr>
          <w:p w14:paraId="32AD5149" w14:textId="377CC1A0" w:rsidR="004E00AC" w:rsidRPr="004E00AC" w:rsidRDefault="004E00AC" w:rsidP="004E00AC">
            <w:pPr>
              <w:spacing w:after="160" w:line="259" w:lineRule="auto"/>
              <w:rPr>
                <w:rFonts w:ascii="Times New Roman" w:hAnsi="Times New Roman" w:cs="Times New Roman"/>
                <w:sz w:val="24"/>
                <w:szCs w:val="24"/>
              </w:rPr>
            </w:pPr>
          </w:p>
        </w:tc>
        <w:tc>
          <w:tcPr>
            <w:tcW w:w="1737" w:type="dxa"/>
          </w:tcPr>
          <w:p w14:paraId="3E142633" w14:textId="17BFEC70" w:rsidR="004E00AC" w:rsidRPr="004E00AC" w:rsidRDefault="004E00AC" w:rsidP="004E00AC">
            <w:pPr>
              <w:spacing w:after="160" w:line="259" w:lineRule="auto"/>
              <w:rPr>
                <w:rFonts w:ascii="Times New Roman" w:hAnsi="Times New Roman" w:cs="Times New Roman"/>
                <w:sz w:val="24"/>
                <w:szCs w:val="24"/>
              </w:rPr>
            </w:pPr>
          </w:p>
        </w:tc>
        <w:tc>
          <w:tcPr>
            <w:tcW w:w="2489" w:type="dxa"/>
          </w:tcPr>
          <w:p w14:paraId="260A53B6" w14:textId="134C3FA4" w:rsidR="004E00AC" w:rsidRPr="004E00AC" w:rsidRDefault="004E00AC" w:rsidP="004E00AC">
            <w:pPr>
              <w:spacing w:after="160" w:line="259" w:lineRule="auto"/>
              <w:rPr>
                <w:rFonts w:ascii="Times New Roman" w:hAnsi="Times New Roman" w:cs="Times New Roman"/>
                <w:sz w:val="24"/>
                <w:szCs w:val="24"/>
              </w:rPr>
            </w:pPr>
          </w:p>
        </w:tc>
      </w:tr>
    </w:tbl>
    <w:p w14:paraId="10EAB122" w14:textId="169A2379" w:rsidR="00B7536B" w:rsidRDefault="00B7536B" w:rsidP="00B7536B">
      <w:pPr>
        <w:rPr>
          <w:rFonts w:ascii="Times New Roman" w:hAnsi="Times New Roman" w:cs="Times New Roman"/>
          <w:sz w:val="24"/>
          <w:szCs w:val="24"/>
        </w:rPr>
      </w:pPr>
    </w:p>
    <w:p w14:paraId="1D2B5B5D" w14:textId="77777777" w:rsidR="00B7536B" w:rsidRPr="00B7536B" w:rsidRDefault="00B7536B" w:rsidP="00B7536B">
      <w:pPr>
        <w:rPr>
          <w:rFonts w:ascii="Times New Roman" w:hAnsi="Times New Roman" w:cs="Times New Roman"/>
          <w:sz w:val="24"/>
          <w:szCs w:val="24"/>
        </w:rPr>
      </w:pPr>
    </w:p>
    <w:p w14:paraId="235CBCAE" w14:textId="77777777" w:rsidR="00B7536B" w:rsidRPr="00DB392F" w:rsidRDefault="00B7536B" w:rsidP="00B7536B">
      <w:pPr>
        <w:rPr>
          <w:rFonts w:ascii="Times New Roman" w:hAnsi="Times New Roman" w:cs="Times New Roman"/>
          <w:b/>
          <w:bCs/>
          <w:sz w:val="24"/>
          <w:szCs w:val="24"/>
        </w:rPr>
      </w:pPr>
      <w:r w:rsidRPr="00DB392F">
        <w:rPr>
          <w:rFonts w:ascii="Times New Roman" w:hAnsi="Times New Roman" w:cs="Times New Roman"/>
          <w:b/>
          <w:bCs/>
          <w:sz w:val="24"/>
          <w:szCs w:val="24"/>
        </w:rPr>
        <w:t>Acknowledgements</w:t>
      </w:r>
    </w:p>
    <w:p w14:paraId="37BF1409" w14:textId="77777777" w:rsidR="00B7536B" w:rsidRPr="00B7536B" w:rsidRDefault="00B7536B" w:rsidP="00B7536B">
      <w:pPr>
        <w:rPr>
          <w:rFonts w:ascii="Times New Roman" w:hAnsi="Times New Roman" w:cs="Times New Roman"/>
          <w:sz w:val="24"/>
          <w:szCs w:val="24"/>
        </w:rPr>
      </w:pPr>
      <w:r w:rsidRPr="00B7536B">
        <w:rPr>
          <w:rFonts w:ascii="Times New Roman" w:hAnsi="Times New Roman" w:cs="Times New Roman"/>
          <w:sz w:val="24"/>
          <w:szCs w:val="24"/>
        </w:rPr>
        <w:lastRenderedPageBreak/>
        <w:t xml:space="preserve">This study was supported in part from a grant to the University of Arizona from Allied Biosciences and </w:t>
      </w:r>
      <w:proofErr w:type="gramStart"/>
      <w:r w:rsidRPr="00B7536B">
        <w:rPr>
          <w:rFonts w:ascii="Times New Roman" w:hAnsi="Times New Roman" w:cs="Times New Roman"/>
          <w:sz w:val="24"/>
          <w:szCs w:val="24"/>
        </w:rPr>
        <w:t>XXXX..</w:t>
      </w:r>
      <w:proofErr w:type="gramEnd"/>
      <w:r w:rsidRPr="00B7536B">
        <w:rPr>
          <w:rFonts w:ascii="Times New Roman" w:hAnsi="Times New Roman" w:cs="Times New Roman"/>
          <w:sz w:val="24"/>
          <w:szCs w:val="24"/>
        </w:rPr>
        <w:t xml:space="preserve"> </w:t>
      </w:r>
    </w:p>
    <w:p w14:paraId="38707948" w14:textId="77777777" w:rsidR="00B7536B" w:rsidRPr="00DB392F" w:rsidRDefault="00B7536B" w:rsidP="00B7536B">
      <w:pPr>
        <w:rPr>
          <w:rFonts w:ascii="Times New Roman" w:hAnsi="Times New Roman" w:cs="Times New Roman"/>
          <w:b/>
          <w:bCs/>
          <w:sz w:val="24"/>
          <w:szCs w:val="24"/>
        </w:rPr>
      </w:pPr>
      <w:r w:rsidRPr="00DB392F">
        <w:rPr>
          <w:rFonts w:ascii="Times New Roman" w:hAnsi="Times New Roman" w:cs="Times New Roman"/>
          <w:b/>
          <w:bCs/>
          <w:sz w:val="24"/>
          <w:szCs w:val="24"/>
        </w:rPr>
        <w:t>References</w:t>
      </w:r>
    </w:p>
    <w:p w14:paraId="4DE99B18" w14:textId="77777777" w:rsidR="00B7536B" w:rsidRPr="00B7536B" w:rsidRDefault="00B7536B" w:rsidP="00B7536B">
      <w:pPr>
        <w:rPr>
          <w:rFonts w:ascii="Times New Roman" w:hAnsi="Times New Roman" w:cs="Times New Roman"/>
          <w:sz w:val="24"/>
          <w:szCs w:val="24"/>
        </w:rPr>
      </w:pPr>
      <w:r w:rsidRPr="00B7536B">
        <w:rPr>
          <w:rFonts w:ascii="Times New Roman" w:hAnsi="Times New Roman" w:cs="Times New Roman"/>
          <w:sz w:val="24"/>
          <w:szCs w:val="24"/>
        </w:rPr>
        <w:t xml:space="preserve">Ansari SA, Sattar SA, Springthorpe VS, Wells GA, </w:t>
      </w:r>
      <w:proofErr w:type="spellStart"/>
      <w:r w:rsidRPr="00B7536B">
        <w:rPr>
          <w:rFonts w:ascii="Times New Roman" w:hAnsi="Times New Roman" w:cs="Times New Roman"/>
          <w:sz w:val="24"/>
          <w:szCs w:val="24"/>
        </w:rPr>
        <w:t>Tostowaryk</w:t>
      </w:r>
      <w:proofErr w:type="spellEnd"/>
      <w:r w:rsidRPr="00B7536B">
        <w:rPr>
          <w:rFonts w:ascii="Times New Roman" w:hAnsi="Times New Roman" w:cs="Times New Roman"/>
          <w:sz w:val="24"/>
          <w:szCs w:val="24"/>
        </w:rPr>
        <w:t xml:space="preserve"> W. 1988.Rotavirus survival on human hands and transfer of infectious virus to animate and nonporous inanimate surfaces. J. Clin. Microbiol.26:1513–1518.</w:t>
      </w:r>
    </w:p>
    <w:p w14:paraId="15EFBCB1" w14:textId="2CC113D7" w:rsidR="00B7536B" w:rsidRDefault="00B7536B" w:rsidP="00B7536B">
      <w:pPr>
        <w:rPr>
          <w:rFonts w:ascii="Times New Roman" w:hAnsi="Times New Roman" w:cs="Times New Roman"/>
          <w:sz w:val="24"/>
          <w:szCs w:val="24"/>
        </w:rPr>
      </w:pPr>
      <w:proofErr w:type="spellStart"/>
      <w:r w:rsidRPr="00B7536B">
        <w:rPr>
          <w:rFonts w:ascii="Times New Roman" w:hAnsi="Times New Roman" w:cs="Times New Roman"/>
          <w:sz w:val="24"/>
          <w:szCs w:val="24"/>
        </w:rPr>
        <w:t>Bradburne</w:t>
      </w:r>
      <w:proofErr w:type="spellEnd"/>
      <w:r w:rsidRPr="00B7536B">
        <w:rPr>
          <w:rFonts w:ascii="Times New Roman" w:hAnsi="Times New Roman" w:cs="Times New Roman"/>
          <w:sz w:val="24"/>
          <w:szCs w:val="24"/>
        </w:rPr>
        <w:t xml:space="preserve">, AF, Bynoe, ML, and Tyrrell, DAJ. 1967. Effects of a “new” human respiratory virus in volunteers.Br. Med. J.3:767-769.  </w:t>
      </w:r>
    </w:p>
    <w:p w14:paraId="0622F0B5" w14:textId="6F0E5DD6" w:rsidR="00331BDD" w:rsidRPr="00B7536B" w:rsidRDefault="00331BDD" w:rsidP="00B7536B">
      <w:pPr>
        <w:rPr>
          <w:rFonts w:ascii="Times New Roman" w:hAnsi="Times New Roman" w:cs="Times New Roman"/>
          <w:sz w:val="24"/>
          <w:szCs w:val="24"/>
        </w:rPr>
      </w:pPr>
      <w:r>
        <w:rPr>
          <w:rFonts w:ascii="Times New Roman" w:hAnsi="Times New Roman" w:cs="Times New Roman"/>
          <w:sz w:val="24"/>
          <w:szCs w:val="24"/>
        </w:rPr>
        <w:t xml:space="preserve">Boone, S.A. and Gerba, C.P. 2007. Significance of fomites in the spread of respiratory and enteric viral disease. Appl. Environ. Microbiol. 73:1687-1696. </w:t>
      </w:r>
    </w:p>
    <w:p w14:paraId="45CA3642" w14:textId="77777777" w:rsidR="00B7536B" w:rsidRPr="00B7536B" w:rsidRDefault="00B7536B" w:rsidP="00B7536B">
      <w:pPr>
        <w:rPr>
          <w:rFonts w:ascii="Times New Roman" w:hAnsi="Times New Roman" w:cs="Times New Roman"/>
          <w:sz w:val="24"/>
          <w:szCs w:val="24"/>
        </w:rPr>
      </w:pPr>
      <w:r w:rsidRPr="00B7536B">
        <w:rPr>
          <w:rFonts w:ascii="Times New Roman" w:hAnsi="Times New Roman" w:cs="Times New Roman"/>
          <w:sz w:val="24"/>
          <w:szCs w:val="24"/>
        </w:rPr>
        <w:t>Gundy, P. M., C. P. Gerba and I. L. Pepper. 2009. Survival of coronavirus in water and wastewater. Food Environ. Virology, 1:10-14.</w:t>
      </w:r>
    </w:p>
    <w:p w14:paraId="79905E36" w14:textId="77777777" w:rsidR="00B7536B" w:rsidRPr="00B7536B" w:rsidRDefault="00B7536B" w:rsidP="00B7536B">
      <w:pPr>
        <w:rPr>
          <w:rFonts w:ascii="Times New Roman" w:hAnsi="Times New Roman" w:cs="Times New Roman"/>
          <w:sz w:val="24"/>
          <w:szCs w:val="24"/>
        </w:rPr>
      </w:pPr>
      <w:r w:rsidRPr="00B7536B">
        <w:rPr>
          <w:rFonts w:ascii="Times New Roman" w:hAnsi="Times New Roman" w:cs="Times New Roman"/>
          <w:sz w:val="24"/>
          <w:szCs w:val="24"/>
        </w:rPr>
        <w:t>Lopez, G. U., C. P. Gerba, A. H. Tamimi, M. Kitajima, S. K. Maxwell and J. B. Rose. 2013. Transfer efficiency of bacteria and viruses from porous and nonporous fomites to fingers under different relative humidity. Appl. Environ. Microbiol. 79:5728-5734.</w:t>
      </w:r>
    </w:p>
    <w:p w14:paraId="327B2E76" w14:textId="77777777" w:rsidR="00B7536B" w:rsidRPr="00B7536B" w:rsidRDefault="00B7536B" w:rsidP="00B7536B">
      <w:pPr>
        <w:rPr>
          <w:rFonts w:ascii="Times New Roman" w:hAnsi="Times New Roman" w:cs="Times New Roman"/>
          <w:sz w:val="24"/>
          <w:szCs w:val="24"/>
        </w:rPr>
      </w:pPr>
      <w:r w:rsidRPr="00B7536B">
        <w:rPr>
          <w:rFonts w:ascii="Times New Roman" w:hAnsi="Times New Roman" w:cs="Times New Roman"/>
          <w:sz w:val="24"/>
          <w:szCs w:val="24"/>
        </w:rPr>
        <w:t>Haas, C.N., J.B. Rose, and C.P. Gerba.  2014. Quantitative Microbial Risk Assessment.  Second Edition, John Wiley, NY.</w:t>
      </w:r>
    </w:p>
    <w:p w14:paraId="3AB22DA0" w14:textId="77777777" w:rsidR="00B7536B" w:rsidRPr="00B7536B" w:rsidRDefault="00B7536B" w:rsidP="00B7536B">
      <w:pPr>
        <w:rPr>
          <w:rFonts w:ascii="Times New Roman" w:hAnsi="Times New Roman" w:cs="Times New Roman"/>
          <w:sz w:val="24"/>
          <w:szCs w:val="24"/>
        </w:rPr>
      </w:pPr>
      <w:proofErr w:type="spellStart"/>
      <w:r w:rsidRPr="00B7536B">
        <w:rPr>
          <w:rFonts w:ascii="Times New Roman" w:hAnsi="Times New Roman" w:cs="Times New Roman"/>
          <w:sz w:val="24"/>
          <w:szCs w:val="24"/>
        </w:rPr>
        <w:t>Mbithi</w:t>
      </w:r>
      <w:proofErr w:type="spellEnd"/>
      <w:r w:rsidRPr="00B7536B">
        <w:rPr>
          <w:rFonts w:ascii="Times New Roman" w:hAnsi="Times New Roman" w:cs="Times New Roman"/>
          <w:sz w:val="24"/>
          <w:szCs w:val="24"/>
        </w:rPr>
        <w:t xml:space="preserve"> JN, Springthorpe VS, Boulet JR, Sattar SA.1992. Survival of hepatitis A virus on human hands and its transfer on contact with animate and inanimate surfaces. J. Clin. Microbiol.30:757–763.</w:t>
      </w:r>
    </w:p>
    <w:p w14:paraId="608D14E9" w14:textId="77777777" w:rsidR="00B7536B" w:rsidRPr="00B7536B" w:rsidRDefault="00B7536B" w:rsidP="00B7536B">
      <w:pPr>
        <w:rPr>
          <w:rFonts w:ascii="Times New Roman" w:hAnsi="Times New Roman" w:cs="Times New Roman"/>
          <w:sz w:val="24"/>
          <w:szCs w:val="24"/>
        </w:rPr>
      </w:pPr>
      <w:proofErr w:type="spellStart"/>
      <w:r w:rsidRPr="00B7536B">
        <w:rPr>
          <w:rFonts w:ascii="Times New Roman" w:hAnsi="Times New Roman" w:cs="Times New Roman"/>
          <w:sz w:val="24"/>
          <w:szCs w:val="24"/>
        </w:rPr>
        <w:t>McInosh</w:t>
      </w:r>
      <w:proofErr w:type="spellEnd"/>
      <w:r w:rsidRPr="00B7536B">
        <w:rPr>
          <w:rFonts w:ascii="Times New Roman" w:hAnsi="Times New Roman" w:cs="Times New Roman"/>
          <w:sz w:val="24"/>
          <w:szCs w:val="24"/>
        </w:rPr>
        <w:t xml:space="preserve">, K. 1997. Respiratory syncytial virus. In: Viral Infections of Humans. Evans, AS and </w:t>
      </w:r>
      <w:proofErr w:type="spellStart"/>
      <w:r w:rsidRPr="00B7536B">
        <w:rPr>
          <w:rFonts w:ascii="Times New Roman" w:hAnsi="Times New Roman" w:cs="Times New Roman"/>
          <w:sz w:val="24"/>
          <w:szCs w:val="24"/>
        </w:rPr>
        <w:t>Kaslow</w:t>
      </w:r>
      <w:proofErr w:type="spellEnd"/>
      <w:r w:rsidRPr="00B7536B">
        <w:rPr>
          <w:rFonts w:ascii="Times New Roman" w:hAnsi="Times New Roman" w:cs="Times New Roman"/>
          <w:sz w:val="24"/>
          <w:szCs w:val="24"/>
        </w:rPr>
        <w:t xml:space="preserve">, RA. Plenum, NY. Pp. 691711. </w:t>
      </w:r>
    </w:p>
    <w:p w14:paraId="1F681AEB" w14:textId="77777777" w:rsidR="00B7536B" w:rsidRPr="00B7536B" w:rsidRDefault="00B7536B" w:rsidP="00B7536B">
      <w:pPr>
        <w:rPr>
          <w:rFonts w:ascii="Times New Roman" w:hAnsi="Times New Roman" w:cs="Times New Roman"/>
          <w:sz w:val="24"/>
          <w:szCs w:val="24"/>
        </w:rPr>
      </w:pPr>
      <w:r w:rsidRPr="00B7536B">
        <w:rPr>
          <w:rFonts w:ascii="Times New Roman" w:hAnsi="Times New Roman" w:cs="Times New Roman"/>
          <w:sz w:val="24"/>
          <w:szCs w:val="24"/>
        </w:rPr>
        <w:t xml:space="preserve">Nicas M, Best D.2008. A study quantifying the hand-to-face contact rate and its potential application to predicting respiratory tract infection. J. </w:t>
      </w:r>
      <w:proofErr w:type="spellStart"/>
      <w:r w:rsidRPr="00B7536B">
        <w:rPr>
          <w:rFonts w:ascii="Times New Roman" w:hAnsi="Times New Roman" w:cs="Times New Roman"/>
          <w:sz w:val="24"/>
          <w:szCs w:val="24"/>
        </w:rPr>
        <w:t>Occup</w:t>
      </w:r>
      <w:proofErr w:type="spellEnd"/>
      <w:r w:rsidRPr="00B7536B">
        <w:rPr>
          <w:rFonts w:ascii="Times New Roman" w:hAnsi="Times New Roman" w:cs="Times New Roman"/>
          <w:sz w:val="24"/>
          <w:szCs w:val="24"/>
        </w:rPr>
        <w:t>. Environ. Hyg.5:347–352.</w:t>
      </w:r>
    </w:p>
    <w:p w14:paraId="77DD6EE7" w14:textId="77777777" w:rsidR="00B7536B" w:rsidRPr="00B7536B" w:rsidRDefault="00B7536B" w:rsidP="00B7536B">
      <w:pPr>
        <w:rPr>
          <w:rFonts w:ascii="Times New Roman" w:hAnsi="Times New Roman" w:cs="Times New Roman"/>
          <w:sz w:val="24"/>
          <w:szCs w:val="24"/>
        </w:rPr>
      </w:pPr>
      <w:r w:rsidRPr="00B7536B">
        <w:rPr>
          <w:rFonts w:ascii="Times New Roman" w:hAnsi="Times New Roman" w:cs="Times New Roman"/>
          <w:sz w:val="24"/>
          <w:szCs w:val="24"/>
        </w:rPr>
        <w:t>Payment, P. and Trudel, M.  (1993). Methods and techniques in virology. New York, NY: Marcel Dekker, Inc</w:t>
      </w:r>
    </w:p>
    <w:p w14:paraId="04F48357" w14:textId="01F5B3B7" w:rsidR="00B7536B" w:rsidRPr="00B7536B" w:rsidRDefault="00B7536B" w:rsidP="00B7536B">
      <w:pPr>
        <w:rPr>
          <w:rFonts w:ascii="Times New Roman" w:hAnsi="Times New Roman" w:cs="Times New Roman"/>
          <w:sz w:val="24"/>
          <w:szCs w:val="24"/>
        </w:rPr>
      </w:pPr>
      <w:r w:rsidRPr="00B7536B">
        <w:rPr>
          <w:rFonts w:ascii="Times New Roman" w:hAnsi="Times New Roman" w:cs="Times New Roman"/>
          <w:sz w:val="24"/>
          <w:szCs w:val="24"/>
        </w:rPr>
        <w:t xml:space="preserve">Rusin, P, Maxwell, S. Gerba, C.P. 2002. Comparative surface-to-hand and </w:t>
      </w:r>
      <w:r w:rsidR="00DB392F">
        <w:rPr>
          <w:rFonts w:ascii="Times New Roman" w:hAnsi="Times New Roman" w:cs="Times New Roman"/>
          <w:sz w:val="24"/>
          <w:szCs w:val="24"/>
        </w:rPr>
        <w:t>f</w:t>
      </w:r>
      <w:r w:rsidRPr="00B7536B">
        <w:rPr>
          <w:rFonts w:ascii="Times New Roman" w:hAnsi="Times New Roman" w:cs="Times New Roman"/>
          <w:sz w:val="24"/>
          <w:szCs w:val="24"/>
        </w:rPr>
        <w:t>inger-to-mouth transfer efficiency of gram-positive bacteria, gram-negative bacteria, and phage. J. Appl. Microbiol. 93: 585-592.</w:t>
      </w:r>
    </w:p>
    <w:p w14:paraId="324F8AB1" w14:textId="335F57FB" w:rsidR="00B7536B" w:rsidRDefault="00B7536B" w:rsidP="00B7536B">
      <w:pPr>
        <w:rPr>
          <w:rFonts w:ascii="Times New Roman" w:hAnsi="Times New Roman" w:cs="Times New Roman"/>
          <w:sz w:val="24"/>
          <w:szCs w:val="24"/>
        </w:rPr>
      </w:pPr>
      <w:r w:rsidRPr="00B7536B">
        <w:rPr>
          <w:rFonts w:ascii="Times New Roman" w:hAnsi="Times New Roman" w:cs="Times New Roman"/>
          <w:sz w:val="24"/>
          <w:szCs w:val="24"/>
        </w:rPr>
        <w:t xml:space="preserve">Zhao, J., Eisenberg, JE., </w:t>
      </w:r>
      <w:proofErr w:type="spellStart"/>
      <w:r w:rsidRPr="00B7536B">
        <w:rPr>
          <w:rFonts w:ascii="Times New Roman" w:hAnsi="Times New Roman" w:cs="Times New Roman"/>
          <w:sz w:val="24"/>
          <w:szCs w:val="24"/>
        </w:rPr>
        <w:t>Spicknall</w:t>
      </w:r>
      <w:proofErr w:type="spellEnd"/>
      <w:r w:rsidRPr="00B7536B">
        <w:rPr>
          <w:rFonts w:ascii="Times New Roman" w:hAnsi="Times New Roman" w:cs="Times New Roman"/>
          <w:sz w:val="24"/>
          <w:szCs w:val="24"/>
        </w:rPr>
        <w:t xml:space="preserve">, I.H., Li, S. and Koopman, J.S. 2012. Model analysis of fomite mediated infleunza transmission. PLOS </w:t>
      </w:r>
      <w:proofErr w:type="gramStart"/>
      <w:r w:rsidRPr="00B7536B">
        <w:rPr>
          <w:rFonts w:ascii="Times New Roman" w:hAnsi="Times New Roman" w:cs="Times New Roman"/>
          <w:sz w:val="24"/>
          <w:szCs w:val="24"/>
        </w:rPr>
        <w:t>ONE  https://doi.org/10.1371/journal.pone.0051984</w:t>
      </w:r>
      <w:proofErr w:type="gramEnd"/>
    </w:p>
    <w:p w14:paraId="413BABDB" w14:textId="62F944F0" w:rsidR="00B7536B" w:rsidRDefault="00B7536B">
      <w:pPr>
        <w:rPr>
          <w:rFonts w:ascii="Times New Roman" w:hAnsi="Times New Roman" w:cs="Times New Roman"/>
          <w:sz w:val="24"/>
          <w:szCs w:val="24"/>
        </w:rPr>
      </w:pPr>
      <w:r>
        <w:rPr>
          <w:rFonts w:ascii="Times New Roman" w:hAnsi="Times New Roman" w:cs="Times New Roman"/>
          <w:sz w:val="24"/>
          <w:szCs w:val="24"/>
        </w:rPr>
        <w:tab/>
      </w:r>
    </w:p>
    <w:sectPr w:rsidR="00B75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6B"/>
    <w:rsid w:val="00331BDD"/>
    <w:rsid w:val="00335107"/>
    <w:rsid w:val="00344B7E"/>
    <w:rsid w:val="00432762"/>
    <w:rsid w:val="004E00AC"/>
    <w:rsid w:val="00755394"/>
    <w:rsid w:val="008043D8"/>
    <w:rsid w:val="00B256EB"/>
    <w:rsid w:val="00B41576"/>
    <w:rsid w:val="00B7536B"/>
    <w:rsid w:val="00CA5CF0"/>
    <w:rsid w:val="00DB392F"/>
    <w:rsid w:val="00DD02B6"/>
    <w:rsid w:val="00EA02DF"/>
    <w:rsid w:val="00FE5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FA18"/>
  <w15:chartTrackingRefBased/>
  <w15:docId w15:val="{E594F5B4-BBB3-49BF-98BF-9BC9B2976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0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Gerba, Charles P - (gerba)</dc:creator>
  <cp:keywords/>
  <dc:description/>
  <cp:lastModifiedBy>Gerba, Charles P - (gerba)</cp:lastModifiedBy>
  <cp:revision>2</cp:revision>
  <dcterms:created xsi:type="dcterms:W3CDTF">2021-02-12T14:17:00Z</dcterms:created>
  <dcterms:modified xsi:type="dcterms:W3CDTF">2021-02-12T14:17:00Z</dcterms:modified>
</cp:coreProperties>
</file>