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F42A" w14:textId="18AC8231" w:rsidR="00B0567C" w:rsidRPr="009E2C37" w:rsidRDefault="00867140" w:rsidP="009E2C37">
      <w:pPr>
        <w:spacing w:line="480" w:lineRule="auto"/>
        <w:jc w:val="center"/>
        <w:rPr>
          <w:rFonts w:cstheme="minorHAnsi"/>
        </w:rPr>
      </w:pPr>
      <w:r w:rsidRPr="009E2C37">
        <w:rPr>
          <w:rFonts w:cstheme="minorHAnsi"/>
        </w:rPr>
        <w:t xml:space="preserve">Transfer </w:t>
      </w:r>
      <w:r w:rsidR="009E2C37" w:rsidRPr="009E2C37">
        <w:rPr>
          <w:rFonts w:cstheme="minorHAnsi"/>
        </w:rPr>
        <w:t>E</w:t>
      </w:r>
      <w:r w:rsidR="0030776F" w:rsidRPr="009E2C37">
        <w:rPr>
          <w:rFonts w:cstheme="minorHAnsi"/>
        </w:rPr>
        <w:t>fficiency</w:t>
      </w:r>
      <w:r w:rsidRPr="009E2C37">
        <w:rPr>
          <w:rFonts w:cstheme="minorHAnsi"/>
        </w:rPr>
        <w:t xml:space="preserve"> of an </w:t>
      </w:r>
      <w:r w:rsidR="009E2C37" w:rsidRPr="009E2C37">
        <w:rPr>
          <w:rFonts w:cstheme="minorHAnsi"/>
        </w:rPr>
        <w:t>E</w:t>
      </w:r>
      <w:r w:rsidRPr="009E2C37">
        <w:rPr>
          <w:rFonts w:cstheme="minorHAnsi"/>
        </w:rPr>
        <w:t xml:space="preserve">nveloped </w:t>
      </w:r>
      <w:r w:rsidR="009E2C37" w:rsidRPr="009E2C37">
        <w:rPr>
          <w:rFonts w:cstheme="minorHAnsi"/>
        </w:rPr>
        <w:t>V</w:t>
      </w:r>
      <w:r w:rsidRPr="009E2C37">
        <w:rPr>
          <w:rFonts w:cstheme="minorHAnsi"/>
        </w:rPr>
        <w:t xml:space="preserve">irus, </w:t>
      </w:r>
      <w:r w:rsidR="009E2C37" w:rsidRPr="009E2C37">
        <w:rPr>
          <w:rFonts w:cstheme="minorHAnsi"/>
        </w:rPr>
        <w:t>H</w:t>
      </w:r>
      <w:r w:rsidRPr="009E2C37">
        <w:rPr>
          <w:rFonts w:cstheme="minorHAnsi"/>
        </w:rPr>
        <w:t xml:space="preserve">uman </w:t>
      </w:r>
      <w:r w:rsidR="009E2C37" w:rsidRPr="009E2C37">
        <w:rPr>
          <w:rFonts w:cstheme="minorHAnsi"/>
        </w:rPr>
        <w:t>C</w:t>
      </w:r>
      <w:r w:rsidRPr="009E2C37">
        <w:rPr>
          <w:rFonts w:cstheme="minorHAnsi"/>
        </w:rPr>
        <w:t xml:space="preserve">oronavirus 229E, from </w:t>
      </w:r>
      <w:r w:rsidR="009E2C37" w:rsidRPr="009E2C37">
        <w:rPr>
          <w:rFonts w:cstheme="minorHAnsi"/>
        </w:rPr>
        <w:t>V</w:t>
      </w:r>
      <w:r w:rsidRPr="009E2C37">
        <w:rPr>
          <w:rFonts w:cstheme="minorHAnsi"/>
        </w:rPr>
        <w:t xml:space="preserve">arious </w:t>
      </w:r>
      <w:r w:rsidR="009E2C37" w:rsidRPr="009E2C37">
        <w:rPr>
          <w:rFonts w:cstheme="minorHAnsi"/>
        </w:rPr>
        <w:t>H</w:t>
      </w:r>
      <w:r w:rsidR="0030776F" w:rsidRPr="009E2C37">
        <w:rPr>
          <w:rFonts w:cstheme="minorHAnsi"/>
        </w:rPr>
        <w:t xml:space="preserve">ard </w:t>
      </w:r>
      <w:r w:rsidR="009E2C37" w:rsidRPr="009E2C37">
        <w:rPr>
          <w:rFonts w:cstheme="minorHAnsi"/>
        </w:rPr>
        <w:t>S</w:t>
      </w:r>
      <w:r w:rsidR="0030776F" w:rsidRPr="009E2C37">
        <w:rPr>
          <w:rFonts w:cstheme="minorHAnsi"/>
        </w:rPr>
        <w:t>urface</w:t>
      </w:r>
      <w:r w:rsidR="005F6848" w:rsidRPr="009E2C37">
        <w:rPr>
          <w:rFonts w:cstheme="minorHAnsi"/>
        </w:rPr>
        <w:t xml:space="preserve"> </w:t>
      </w:r>
      <w:r w:rsidR="009E2C37" w:rsidRPr="009E2C37">
        <w:rPr>
          <w:rFonts w:cstheme="minorHAnsi"/>
        </w:rPr>
        <w:t>F</w:t>
      </w:r>
      <w:r w:rsidR="005F6848" w:rsidRPr="009E2C37">
        <w:rPr>
          <w:rFonts w:cstheme="minorHAnsi"/>
        </w:rPr>
        <w:t>omites</w:t>
      </w:r>
      <w:r w:rsidRPr="009E2C37">
        <w:rPr>
          <w:rFonts w:cstheme="minorHAnsi"/>
        </w:rPr>
        <w:t xml:space="preserve"> to</w:t>
      </w:r>
      <w:r w:rsidR="00BF5322" w:rsidRPr="009E2C37">
        <w:rPr>
          <w:rFonts w:cstheme="minorHAnsi"/>
        </w:rPr>
        <w:t xml:space="preserve"> </w:t>
      </w:r>
      <w:r w:rsidR="009E2C37" w:rsidRPr="009E2C37">
        <w:rPr>
          <w:rFonts w:cstheme="minorHAnsi"/>
        </w:rPr>
        <w:t>F</w:t>
      </w:r>
      <w:r w:rsidR="00BF5322" w:rsidRPr="009E2C37">
        <w:rPr>
          <w:rFonts w:cstheme="minorHAnsi"/>
        </w:rPr>
        <w:t xml:space="preserve">inger </w:t>
      </w:r>
      <w:r w:rsidR="009E2C37" w:rsidRPr="009E2C37">
        <w:rPr>
          <w:rFonts w:cstheme="minorHAnsi"/>
        </w:rPr>
        <w:t>P</w:t>
      </w:r>
      <w:r w:rsidR="00BF5322" w:rsidRPr="009E2C37">
        <w:rPr>
          <w:rFonts w:cstheme="minorHAnsi"/>
        </w:rPr>
        <w:t xml:space="preserve">ads of the </w:t>
      </w:r>
      <w:r w:rsidR="009E2C37" w:rsidRPr="009E2C37">
        <w:rPr>
          <w:rFonts w:cstheme="minorHAnsi"/>
        </w:rPr>
        <w:t>H</w:t>
      </w:r>
      <w:r w:rsidRPr="009E2C37">
        <w:rPr>
          <w:rFonts w:cstheme="minorHAnsi"/>
        </w:rPr>
        <w:t>and</w:t>
      </w:r>
      <w:r w:rsidR="00E371B2" w:rsidRPr="009E2C37">
        <w:rPr>
          <w:rFonts w:cstheme="minorHAnsi"/>
        </w:rPr>
        <w:t>.</w:t>
      </w:r>
    </w:p>
    <w:p w14:paraId="637DDA21" w14:textId="443C634A" w:rsidR="00291639" w:rsidRDefault="00014421" w:rsidP="009E2C37">
      <w:pPr>
        <w:spacing w:line="480" w:lineRule="auto"/>
        <w:jc w:val="center"/>
        <w:rPr>
          <w:rFonts w:cstheme="minorHAnsi"/>
        </w:rPr>
      </w:pPr>
      <w:r w:rsidRPr="009E2C37">
        <w:rPr>
          <w:rFonts w:cstheme="minorHAnsi"/>
        </w:rPr>
        <w:t>Charles P. Gerba</w:t>
      </w:r>
      <w:r w:rsidR="00E371B2" w:rsidRPr="009E2C37">
        <w:rPr>
          <w:rFonts w:cstheme="minorHAnsi"/>
        </w:rPr>
        <w:t xml:space="preserve"> PhD</w:t>
      </w:r>
      <w:r w:rsidR="009E2C37" w:rsidRPr="009E2C37">
        <w:rPr>
          <w:rFonts w:cstheme="minorHAnsi"/>
          <w:vertAlign w:val="superscript"/>
        </w:rPr>
        <w:t>1</w:t>
      </w:r>
      <w:r w:rsidR="000F1D4F">
        <w:rPr>
          <w:rFonts w:cstheme="minorHAnsi"/>
        </w:rPr>
        <w:t>;</w:t>
      </w:r>
      <w:r w:rsidRPr="009E2C37">
        <w:rPr>
          <w:rFonts w:cstheme="minorHAnsi"/>
        </w:rPr>
        <w:t xml:space="preserve"> Brianna M. Leija</w:t>
      </w:r>
      <w:r w:rsidR="00026CAC" w:rsidRPr="009E2C37">
        <w:rPr>
          <w:rFonts w:cstheme="minorHAnsi"/>
        </w:rPr>
        <w:t xml:space="preserve"> BS</w:t>
      </w:r>
      <w:r w:rsidR="009E2C37" w:rsidRPr="009E2C37">
        <w:rPr>
          <w:rFonts w:cstheme="minorHAnsi"/>
          <w:vertAlign w:val="superscript"/>
        </w:rPr>
        <w:t>1</w:t>
      </w:r>
      <w:r w:rsidR="000F1D4F">
        <w:rPr>
          <w:rFonts w:cstheme="minorHAnsi"/>
        </w:rPr>
        <w:t>;</w:t>
      </w:r>
      <w:r w:rsidR="00157B40" w:rsidRPr="009E2C37">
        <w:rPr>
          <w:rFonts w:cstheme="minorHAnsi"/>
        </w:rPr>
        <w:t xml:space="preserve"> Luisa </w:t>
      </w:r>
      <w:r w:rsidR="005F6848" w:rsidRPr="009E2C37">
        <w:rPr>
          <w:rFonts w:cstheme="minorHAnsi"/>
        </w:rPr>
        <w:t xml:space="preserve">A. </w:t>
      </w:r>
      <w:r w:rsidR="00157B40" w:rsidRPr="009E2C37">
        <w:rPr>
          <w:rFonts w:cstheme="minorHAnsi"/>
        </w:rPr>
        <w:t>Ikner</w:t>
      </w:r>
      <w:r w:rsidR="009E2C37" w:rsidRPr="009E2C37">
        <w:rPr>
          <w:rFonts w:cstheme="minorHAnsi"/>
        </w:rPr>
        <w:t xml:space="preserve"> P</w:t>
      </w:r>
      <w:r w:rsidR="00021AF4" w:rsidRPr="009E2C37">
        <w:rPr>
          <w:rFonts w:cstheme="minorHAnsi"/>
        </w:rPr>
        <w:t>h</w:t>
      </w:r>
      <w:r w:rsidR="00026CAC" w:rsidRPr="009E2C37">
        <w:rPr>
          <w:rFonts w:cstheme="minorHAnsi"/>
        </w:rPr>
        <w:t>D</w:t>
      </w:r>
      <w:r w:rsidR="009E2C37" w:rsidRPr="009E2C37">
        <w:rPr>
          <w:rFonts w:cstheme="minorHAnsi"/>
          <w:vertAlign w:val="superscript"/>
        </w:rPr>
        <w:t>1</w:t>
      </w:r>
      <w:r w:rsidR="000F1D4F">
        <w:rPr>
          <w:rFonts w:cstheme="minorHAnsi"/>
        </w:rPr>
        <w:t xml:space="preserve">; </w:t>
      </w:r>
      <w:r w:rsidR="00EE1851" w:rsidRPr="009E2C37">
        <w:rPr>
          <w:rFonts w:cstheme="minorHAnsi"/>
        </w:rPr>
        <w:t>Patricia Gundy</w:t>
      </w:r>
      <w:r w:rsidR="00026CAC" w:rsidRPr="009E2C37">
        <w:rPr>
          <w:rFonts w:cstheme="minorHAnsi"/>
        </w:rPr>
        <w:t xml:space="preserve"> MS</w:t>
      </w:r>
      <w:r w:rsidR="009E2C37" w:rsidRPr="009E2C37">
        <w:rPr>
          <w:rFonts w:cstheme="minorHAnsi"/>
          <w:vertAlign w:val="superscript"/>
        </w:rPr>
        <w:t>1</w:t>
      </w:r>
      <w:r w:rsidR="000F1D4F">
        <w:rPr>
          <w:rFonts w:cstheme="minorHAnsi"/>
        </w:rPr>
        <w:t>;</w:t>
      </w:r>
      <w:r w:rsidR="00EE1851" w:rsidRPr="009E2C37">
        <w:rPr>
          <w:rFonts w:cstheme="minorHAnsi"/>
        </w:rPr>
        <w:t xml:space="preserve"> </w:t>
      </w:r>
      <w:r w:rsidRPr="009E2C37">
        <w:rPr>
          <w:rFonts w:cstheme="minorHAnsi"/>
        </w:rPr>
        <w:t xml:space="preserve">and </w:t>
      </w:r>
    </w:p>
    <w:p w14:paraId="3920FB89" w14:textId="3ABC43B2" w:rsidR="00014421" w:rsidRPr="009E2C37" w:rsidRDefault="00014421" w:rsidP="009E2C37">
      <w:pPr>
        <w:spacing w:line="480" w:lineRule="auto"/>
        <w:jc w:val="center"/>
        <w:rPr>
          <w:rFonts w:cstheme="minorHAnsi"/>
        </w:rPr>
      </w:pPr>
      <w:r w:rsidRPr="009E2C37">
        <w:rPr>
          <w:rFonts w:cstheme="minorHAnsi"/>
        </w:rPr>
        <w:t xml:space="preserve">William </w:t>
      </w:r>
      <w:r w:rsidR="009E2C37" w:rsidRPr="009E2C37">
        <w:rPr>
          <w:rFonts w:cstheme="minorHAnsi"/>
        </w:rPr>
        <w:t xml:space="preserve">A. </w:t>
      </w:r>
      <w:r w:rsidRPr="009E2C37">
        <w:rPr>
          <w:rFonts w:cstheme="minorHAnsi"/>
        </w:rPr>
        <w:t>Rutala</w:t>
      </w:r>
      <w:r w:rsidR="00026CAC" w:rsidRPr="009E2C37">
        <w:rPr>
          <w:rFonts w:cstheme="minorHAnsi"/>
        </w:rPr>
        <w:t xml:space="preserve"> PhD</w:t>
      </w:r>
      <w:r w:rsidR="009E2C37" w:rsidRPr="009E2C37">
        <w:rPr>
          <w:rFonts w:cstheme="minorHAnsi"/>
        </w:rPr>
        <w:t>, MPH</w:t>
      </w:r>
      <w:r w:rsidR="009E2C37" w:rsidRPr="009E2C37">
        <w:rPr>
          <w:rFonts w:cstheme="minorHAnsi"/>
          <w:vertAlign w:val="superscript"/>
        </w:rPr>
        <w:t>2</w:t>
      </w:r>
    </w:p>
    <w:p w14:paraId="3B496F02" w14:textId="04335520" w:rsidR="00014421" w:rsidRPr="009E2C37" w:rsidRDefault="009E2C37" w:rsidP="00603C36">
      <w:pPr>
        <w:spacing w:line="480" w:lineRule="auto"/>
        <w:rPr>
          <w:rFonts w:cstheme="minorHAnsi"/>
        </w:rPr>
      </w:pPr>
      <w:r w:rsidRPr="009E2C37">
        <w:rPr>
          <w:rFonts w:cstheme="minorHAnsi"/>
          <w:vertAlign w:val="superscript"/>
        </w:rPr>
        <w:t>1</w:t>
      </w:r>
      <w:r w:rsidR="00014421" w:rsidRPr="009E2C37">
        <w:rPr>
          <w:rFonts w:cstheme="minorHAnsi"/>
        </w:rPr>
        <w:t>Depart</w:t>
      </w:r>
      <w:r w:rsidR="005F6848" w:rsidRPr="009E2C37">
        <w:rPr>
          <w:rFonts w:cstheme="minorHAnsi"/>
        </w:rPr>
        <w:t>m</w:t>
      </w:r>
      <w:r w:rsidR="00014421" w:rsidRPr="009E2C37">
        <w:rPr>
          <w:rFonts w:cstheme="minorHAnsi"/>
        </w:rPr>
        <w:t xml:space="preserve">ent of Environmental Science, University of Arizona, Tucson, AZ </w:t>
      </w:r>
      <w:r w:rsidR="00021AF4" w:rsidRPr="009E2C37">
        <w:rPr>
          <w:rFonts w:cstheme="minorHAnsi"/>
        </w:rPr>
        <w:t>USA</w:t>
      </w:r>
      <w:r w:rsidR="00014421" w:rsidRPr="009E2C37">
        <w:rPr>
          <w:rFonts w:cstheme="minorHAnsi"/>
        </w:rPr>
        <w:t xml:space="preserve">  85721</w:t>
      </w:r>
    </w:p>
    <w:p w14:paraId="0E6255DA" w14:textId="39566A28" w:rsidR="009E2C37" w:rsidRPr="009E2C37" w:rsidRDefault="009E2C37" w:rsidP="009E2C37">
      <w:pPr>
        <w:spacing w:line="480" w:lineRule="auto"/>
        <w:rPr>
          <w:rFonts w:cstheme="minorHAnsi"/>
        </w:rPr>
      </w:pPr>
      <w:r w:rsidRPr="00291639">
        <w:rPr>
          <w:rFonts w:cstheme="minorHAnsi"/>
          <w:color w:val="FF0000"/>
          <w:vertAlign w:val="superscript"/>
        </w:rPr>
        <w:t>2</w:t>
      </w:r>
      <w:r w:rsidRPr="00291639">
        <w:rPr>
          <w:rFonts w:cstheme="minorHAnsi"/>
          <w:color w:val="FF0000"/>
        </w:rPr>
        <w:t xml:space="preserve">Division of Infectious Diseases, University of North Carolina School of Medicine, Chapel Hill, North </w:t>
      </w:r>
      <w:r w:rsidRPr="009E2C37">
        <w:rPr>
          <w:rFonts w:cstheme="minorHAnsi"/>
        </w:rPr>
        <w:t>Carolina, USA</w:t>
      </w:r>
    </w:p>
    <w:p w14:paraId="40555623" w14:textId="333C4B4C" w:rsidR="009E2C37" w:rsidRPr="00291639" w:rsidRDefault="009E2C37" w:rsidP="00603C36">
      <w:pPr>
        <w:spacing w:line="480" w:lineRule="auto"/>
        <w:rPr>
          <w:rFonts w:cstheme="minorHAnsi"/>
          <w:color w:val="FF0000"/>
        </w:rPr>
      </w:pPr>
      <w:r w:rsidRPr="00291639">
        <w:rPr>
          <w:rFonts w:cstheme="minorHAnsi"/>
          <w:color w:val="FF0000"/>
        </w:rPr>
        <w:t>Word count: 1</w:t>
      </w:r>
      <w:r w:rsidR="00525421">
        <w:rPr>
          <w:rFonts w:cstheme="minorHAnsi"/>
          <w:color w:val="FF0000"/>
        </w:rPr>
        <w:t>,</w:t>
      </w:r>
      <w:r w:rsidR="00EF7033">
        <w:rPr>
          <w:rFonts w:cstheme="minorHAnsi"/>
          <w:color w:val="FF0000"/>
        </w:rPr>
        <w:t>1</w:t>
      </w:r>
      <w:r w:rsidR="00DE125F">
        <w:rPr>
          <w:rFonts w:cstheme="minorHAnsi"/>
          <w:color w:val="FF0000"/>
        </w:rPr>
        <w:t>18</w:t>
      </w:r>
    </w:p>
    <w:p w14:paraId="5790BA1C" w14:textId="3E5E1225" w:rsidR="00F37766" w:rsidRPr="00291639" w:rsidRDefault="00F37766" w:rsidP="00603C36">
      <w:pPr>
        <w:spacing w:line="480" w:lineRule="auto"/>
        <w:rPr>
          <w:rFonts w:cstheme="minorHAnsi"/>
          <w:color w:val="FF0000"/>
        </w:rPr>
      </w:pPr>
      <w:r w:rsidRPr="00291639">
        <w:rPr>
          <w:rFonts w:cstheme="minorHAnsi"/>
          <w:color w:val="FF0000"/>
        </w:rPr>
        <w:t>Key words: coronavirus, transfer, fomites, hands</w:t>
      </w:r>
      <w:r w:rsidR="00EF7033">
        <w:rPr>
          <w:rFonts w:cstheme="minorHAnsi"/>
          <w:color w:val="FF0000"/>
        </w:rPr>
        <w:t>, environmental surfaces, viruses</w:t>
      </w:r>
    </w:p>
    <w:p w14:paraId="297A3B67" w14:textId="0DBD6098" w:rsidR="00867140" w:rsidRPr="009E2C37" w:rsidRDefault="00F37766" w:rsidP="00603C36">
      <w:pPr>
        <w:spacing w:line="480" w:lineRule="auto"/>
        <w:rPr>
          <w:rFonts w:cstheme="minorHAnsi"/>
        </w:rPr>
      </w:pPr>
      <w:r w:rsidRPr="00291639">
        <w:rPr>
          <w:rFonts w:cstheme="minorHAnsi"/>
          <w:color w:val="FF0000"/>
        </w:rPr>
        <w:t>Running</w:t>
      </w:r>
      <w:r>
        <w:rPr>
          <w:rFonts w:cstheme="minorHAnsi"/>
        </w:rPr>
        <w:t xml:space="preserve"> </w:t>
      </w:r>
      <w:r w:rsidR="00021AF4" w:rsidRPr="009E2C37">
        <w:rPr>
          <w:rFonts w:cstheme="minorHAnsi"/>
        </w:rPr>
        <w:t xml:space="preserve">title: </w:t>
      </w:r>
      <w:r w:rsidR="00EF7033">
        <w:rPr>
          <w:rFonts w:cstheme="minorHAnsi"/>
        </w:rPr>
        <w:t>F</w:t>
      </w:r>
      <w:r w:rsidR="00021AF4" w:rsidRPr="009E2C37">
        <w:rPr>
          <w:rFonts w:cstheme="minorHAnsi"/>
        </w:rPr>
        <w:t>inger</w:t>
      </w:r>
      <w:r w:rsidR="00EF7033">
        <w:rPr>
          <w:rFonts w:cstheme="minorHAnsi"/>
        </w:rPr>
        <w:t>-</w:t>
      </w:r>
      <w:r w:rsidR="00021AF4" w:rsidRPr="009E2C37">
        <w:rPr>
          <w:rFonts w:cstheme="minorHAnsi"/>
        </w:rPr>
        <w:t>to</w:t>
      </w:r>
      <w:r w:rsidR="00EF7033">
        <w:rPr>
          <w:rFonts w:cstheme="minorHAnsi"/>
        </w:rPr>
        <w:t>-</w:t>
      </w:r>
      <w:r w:rsidR="00021AF4" w:rsidRPr="009E2C37">
        <w:rPr>
          <w:rFonts w:cstheme="minorHAnsi"/>
        </w:rPr>
        <w:t>fomite transfer of coronavirus</w:t>
      </w:r>
    </w:p>
    <w:p w14:paraId="7EB45275" w14:textId="272BF39D" w:rsidR="00021AF4" w:rsidRPr="009E2C37" w:rsidRDefault="00021AF4" w:rsidP="00603C36">
      <w:pPr>
        <w:spacing w:line="480" w:lineRule="auto"/>
        <w:rPr>
          <w:rFonts w:cstheme="minorHAnsi"/>
        </w:rPr>
      </w:pPr>
      <w:r w:rsidRPr="009E2C37">
        <w:rPr>
          <w:rFonts w:cstheme="minorHAnsi"/>
        </w:rPr>
        <w:t>Corresponding author</w:t>
      </w:r>
    </w:p>
    <w:p w14:paraId="45E18E52" w14:textId="303E1128" w:rsidR="00021AF4" w:rsidRPr="009E2C37" w:rsidRDefault="00021AF4" w:rsidP="00021AF4">
      <w:pPr>
        <w:spacing w:after="0" w:line="240" w:lineRule="auto"/>
        <w:rPr>
          <w:rFonts w:cstheme="minorHAnsi"/>
        </w:rPr>
      </w:pPr>
      <w:bookmarkStart w:id="0" w:name="_Hlk63920617"/>
      <w:r w:rsidRPr="009E2C37">
        <w:rPr>
          <w:rFonts w:cstheme="minorHAnsi"/>
        </w:rPr>
        <w:t>Charles P. Gerba</w:t>
      </w:r>
    </w:p>
    <w:p w14:paraId="1C6F682B" w14:textId="26EBF9F9" w:rsidR="00021AF4" w:rsidRPr="009E2C37" w:rsidRDefault="00021AF4" w:rsidP="00021AF4">
      <w:pPr>
        <w:spacing w:after="0" w:line="240" w:lineRule="auto"/>
        <w:rPr>
          <w:rFonts w:cstheme="minorHAnsi"/>
        </w:rPr>
      </w:pPr>
      <w:r w:rsidRPr="009E2C37">
        <w:rPr>
          <w:rFonts w:cstheme="minorHAnsi"/>
        </w:rPr>
        <w:t xml:space="preserve">The WEST Center </w:t>
      </w:r>
    </w:p>
    <w:p w14:paraId="3A058446" w14:textId="05C30D90" w:rsidR="00021AF4" w:rsidRPr="009E2C37" w:rsidRDefault="00021AF4" w:rsidP="00021AF4">
      <w:pPr>
        <w:spacing w:after="0" w:line="240" w:lineRule="auto"/>
        <w:rPr>
          <w:rFonts w:cstheme="minorHAnsi"/>
        </w:rPr>
      </w:pPr>
      <w:r w:rsidRPr="009E2C37">
        <w:rPr>
          <w:rFonts w:cstheme="minorHAnsi"/>
        </w:rPr>
        <w:t>University of Arizona</w:t>
      </w:r>
    </w:p>
    <w:p w14:paraId="591923E7" w14:textId="7D3F6B42" w:rsidR="00021AF4" w:rsidRPr="009E2C37" w:rsidRDefault="00021AF4" w:rsidP="00021AF4">
      <w:pPr>
        <w:spacing w:after="0" w:line="240" w:lineRule="auto"/>
        <w:rPr>
          <w:rFonts w:cstheme="minorHAnsi"/>
        </w:rPr>
      </w:pPr>
      <w:r w:rsidRPr="009E2C37">
        <w:rPr>
          <w:rFonts w:cstheme="minorHAnsi"/>
        </w:rPr>
        <w:t>2959 W. Calle Agua Nueva</w:t>
      </w:r>
    </w:p>
    <w:p w14:paraId="0502BBFD" w14:textId="665B8686" w:rsidR="00021AF4" w:rsidRPr="009E2C37" w:rsidRDefault="00021AF4" w:rsidP="00021AF4">
      <w:pPr>
        <w:spacing w:after="0" w:line="240" w:lineRule="auto"/>
        <w:rPr>
          <w:rFonts w:cstheme="minorHAnsi"/>
        </w:rPr>
      </w:pPr>
      <w:r w:rsidRPr="009E2C37">
        <w:rPr>
          <w:rFonts w:cstheme="minorHAnsi"/>
        </w:rPr>
        <w:t>Tucson, AZ   85745</w:t>
      </w:r>
    </w:p>
    <w:p w14:paraId="6044A8BB" w14:textId="03B4E860" w:rsidR="00021AF4" w:rsidRPr="009E2C37" w:rsidRDefault="00055F22" w:rsidP="00021AF4">
      <w:pPr>
        <w:spacing w:after="0" w:line="240" w:lineRule="auto"/>
        <w:rPr>
          <w:rFonts w:cstheme="minorHAnsi"/>
        </w:rPr>
      </w:pPr>
      <w:hyperlink r:id="rId8" w:history="1">
        <w:r w:rsidR="00021AF4" w:rsidRPr="009E2C37">
          <w:rPr>
            <w:rStyle w:val="Hyperlink"/>
            <w:rFonts w:cstheme="minorHAnsi"/>
          </w:rPr>
          <w:t>gerba@ag.arizona.edu</w:t>
        </w:r>
      </w:hyperlink>
    </w:p>
    <w:p w14:paraId="42243D11" w14:textId="5253CED3" w:rsidR="00021AF4" w:rsidRPr="009E2C37" w:rsidRDefault="00021AF4" w:rsidP="00021AF4">
      <w:pPr>
        <w:spacing w:after="0" w:line="240" w:lineRule="auto"/>
        <w:rPr>
          <w:rFonts w:cstheme="minorHAnsi"/>
        </w:rPr>
      </w:pPr>
      <w:r w:rsidRPr="009E2C37">
        <w:rPr>
          <w:rFonts w:cstheme="minorHAnsi"/>
        </w:rPr>
        <w:t>520 345 1457</w:t>
      </w:r>
    </w:p>
    <w:p w14:paraId="55A83870" w14:textId="318A0CA9" w:rsidR="00603C36" w:rsidRPr="009E2C37" w:rsidRDefault="00603C36" w:rsidP="00603C36">
      <w:pPr>
        <w:rPr>
          <w:rFonts w:cstheme="minorHAnsi"/>
          <w:vertAlign w:val="superscript"/>
        </w:rPr>
      </w:pPr>
    </w:p>
    <w:bookmarkEnd w:id="0"/>
    <w:p w14:paraId="18147F6C" w14:textId="77777777" w:rsidR="00603C36" w:rsidRPr="009E2C37" w:rsidRDefault="00603C36" w:rsidP="00603C36">
      <w:pPr>
        <w:rPr>
          <w:rFonts w:cstheme="minorHAnsi"/>
          <w:vertAlign w:val="superscript"/>
        </w:rPr>
      </w:pPr>
    </w:p>
    <w:p w14:paraId="3EE9D54C" w14:textId="2BA894A3" w:rsidR="005B7C7F" w:rsidRPr="009E2C37" w:rsidRDefault="005B7C7F" w:rsidP="00603C36">
      <w:pPr>
        <w:rPr>
          <w:rFonts w:cstheme="minorHAnsi"/>
          <w:vertAlign w:val="superscript"/>
        </w:rPr>
      </w:pPr>
    </w:p>
    <w:p w14:paraId="3D5C3121" w14:textId="1D07A149" w:rsidR="005B7C7F" w:rsidRPr="009E2C37" w:rsidRDefault="005B7C7F" w:rsidP="00603C36">
      <w:pPr>
        <w:rPr>
          <w:rFonts w:cstheme="minorHAnsi"/>
          <w:vertAlign w:val="superscript"/>
        </w:rPr>
      </w:pPr>
    </w:p>
    <w:p w14:paraId="48C32737" w14:textId="77777777" w:rsidR="00E371B2" w:rsidRPr="009E2C37" w:rsidRDefault="00E371B2" w:rsidP="00603C36">
      <w:pPr>
        <w:rPr>
          <w:rFonts w:cstheme="minorHAnsi"/>
          <w:vertAlign w:val="superscript"/>
        </w:rPr>
      </w:pPr>
    </w:p>
    <w:p w14:paraId="2A72A2E5" w14:textId="77777777" w:rsidR="001B4F94" w:rsidRPr="009E2C37" w:rsidRDefault="001B4F94" w:rsidP="00603C36">
      <w:pPr>
        <w:rPr>
          <w:rFonts w:cstheme="minorHAnsi"/>
          <w:vertAlign w:val="superscript"/>
        </w:rPr>
      </w:pPr>
    </w:p>
    <w:p w14:paraId="50324D69" w14:textId="77777777" w:rsidR="009E2C37" w:rsidRDefault="009E2C37" w:rsidP="00603C36">
      <w:pPr>
        <w:rPr>
          <w:rFonts w:cstheme="minorHAnsi"/>
          <w:b/>
          <w:bCs/>
        </w:rPr>
      </w:pPr>
    </w:p>
    <w:p w14:paraId="460E1714" w14:textId="77777777" w:rsidR="00291639" w:rsidRDefault="00291639" w:rsidP="009E2C37">
      <w:pPr>
        <w:spacing w:after="0" w:line="480" w:lineRule="auto"/>
        <w:rPr>
          <w:rFonts w:cstheme="minorHAnsi"/>
          <w:b/>
          <w:bCs/>
        </w:rPr>
      </w:pPr>
    </w:p>
    <w:p w14:paraId="67117424" w14:textId="6E26155A" w:rsidR="005F6848" w:rsidRPr="009E2C37" w:rsidRDefault="00372388" w:rsidP="009E2C37">
      <w:pPr>
        <w:spacing w:after="0" w:line="480" w:lineRule="auto"/>
        <w:rPr>
          <w:rFonts w:cstheme="minorHAnsi"/>
          <w:b/>
          <w:bCs/>
        </w:rPr>
      </w:pPr>
      <w:r w:rsidRPr="009E2C37">
        <w:rPr>
          <w:rFonts w:cstheme="minorHAnsi"/>
          <w:b/>
          <w:bCs/>
        </w:rPr>
        <w:lastRenderedPageBreak/>
        <w:t>Abstract</w:t>
      </w:r>
    </w:p>
    <w:p w14:paraId="7812417B" w14:textId="57CF2329" w:rsidR="00372388" w:rsidRPr="009E2C37" w:rsidRDefault="00372388" w:rsidP="00525421">
      <w:pPr>
        <w:spacing w:after="0" w:line="480" w:lineRule="auto"/>
        <w:ind w:firstLine="720"/>
        <w:rPr>
          <w:rFonts w:cstheme="minorHAnsi"/>
        </w:rPr>
      </w:pPr>
      <w:bookmarkStart w:id="1" w:name="_Hlk63920509"/>
      <w:r w:rsidRPr="009E2C37">
        <w:rPr>
          <w:rFonts w:cstheme="minorHAnsi"/>
        </w:rPr>
        <w:t xml:space="preserve">Respiratory viruses can be transmitted by hand-to-fomite-to-face contact, but no data currently exists on transfer of enveloped viruses. The transfer efficiency of human coronavirus from various hard surfaces was found to range from 0.46 to 49.0%. This information can be used to model the fomite transmission of enveloped viruses. </w:t>
      </w:r>
    </w:p>
    <w:bookmarkEnd w:id="1"/>
    <w:p w14:paraId="4084D355" w14:textId="42AC2BE3" w:rsidR="00603C36" w:rsidRPr="009E2C37" w:rsidRDefault="00603C36" w:rsidP="009E2C37">
      <w:pPr>
        <w:spacing w:after="0" w:line="480" w:lineRule="auto"/>
        <w:rPr>
          <w:rFonts w:cstheme="minorHAnsi"/>
        </w:rPr>
      </w:pPr>
    </w:p>
    <w:p w14:paraId="40CEE1CE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72ADF8FE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1498F809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2C5D7599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63E725BE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5296287E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377308DB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2C40D06A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7F8FB364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665DF95B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6F1DB950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5C263498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1D90E7DF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5EB0260E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65E335E6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4A64D807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025C5983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326976ED" w14:textId="77777777" w:rsidR="009E2C37" w:rsidRDefault="009E2C37" w:rsidP="009E2C37">
      <w:pPr>
        <w:spacing w:after="0" w:line="480" w:lineRule="auto"/>
        <w:rPr>
          <w:rFonts w:cstheme="minorHAnsi"/>
          <w:b/>
          <w:bCs/>
        </w:rPr>
      </w:pPr>
    </w:p>
    <w:p w14:paraId="2D51775F" w14:textId="2BE2AF3D" w:rsidR="00E7247E" w:rsidRPr="009E2C37" w:rsidRDefault="00E7247E" w:rsidP="009E2C37">
      <w:pPr>
        <w:spacing w:after="0" w:line="480" w:lineRule="auto"/>
        <w:rPr>
          <w:rFonts w:cstheme="minorHAnsi"/>
          <w:b/>
          <w:bCs/>
        </w:rPr>
      </w:pPr>
      <w:r w:rsidRPr="009E2C37">
        <w:rPr>
          <w:rFonts w:cstheme="minorHAnsi"/>
          <w:b/>
          <w:bCs/>
        </w:rPr>
        <w:lastRenderedPageBreak/>
        <w:t>Introduction</w:t>
      </w:r>
    </w:p>
    <w:p w14:paraId="3463D185" w14:textId="18525943" w:rsidR="00E7247E" w:rsidRPr="003328E0" w:rsidRDefault="00E7247E" w:rsidP="007745B3">
      <w:pPr>
        <w:spacing w:after="0" w:line="480" w:lineRule="auto"/>
        <w:ind w:firstLine="720"/>
        <w:rPr>
          <w:rFonts w:cstheme="minorHAnsi"/>
          <w:strike/>
        </w:rPr>
      </w:pPr>
      <w:bookmarkStart w:id="2" w:name="_Hlk63920572"/>
      <w:r w:rsidRPr="009E2C37">
        <w:rPr>
          <w:rFonts w:cstheme="minorHAnsi"/>
        </w:rPr>
        <w:t xml:space="preserve">The transfer </w:t>
      </w:r>
      <w:r w:rsidR="00BF5322" w:rsidRPr="009E2C37">
        <w:rPr>
          <w:rFonts w:cstheme="minorHAnsi"/>
        </w:rPr>
        <w:t xml:space="preserve">efficiency </w:t>
      </w:r>
      <w:r w:rsidRPr="009E2C37">
        <w:rPr>
          <w:rFonts w:cstheme="minorHAnsi"/>
        </w:rPr>
        <w:t xml:space="preserve">of viruses </w:t>
      </w:r>
      <w:r w:rsidR="00BF5322" w:rsidRPr="009E2C37">
        <w:rPr>
          <w:rFonts w:cstheme="minorHAnsi"/>
        </w:rPr>
        <w:t xml:space="preserve">from </w:t>
      </w:r>
      <w:r w:rsidR="005C0A4E" w:rsidRPr="009E2C37">
        <w:rPr>
          <w:rFonts w:cstheme="minorHAnsi"/>
        </w:rPr>
        <w:t xml:space="preserve">various types of </w:t>
      </w:r>
      <w:r w:rsidR="003C371A" w:rsidRPr="009E2C37">
        <w:rPr>
          <w:rFonts w:cstheme="minorHAnsi"/>
        </w:rPr>
        <w:t>fomite</w:t>
      </w:r>
      <w:r w:rsidR="005C0A4E" w:rsidRPr="009E2C37">
        <w:rPr>
          <w:rFonts w:cstheme="minorHAnsi"/>
        </w:rPr>
        <w:t xml:space="preserve">s </w:t>
      </w:r>
      <w:r w:rsidR="00B85967" w:rsidRPr="00B85967">
        <w:rPr>
          <w:rFonts w:cstheme="minorHAnsi"/>
          <w:color w:val="FF0000"/>
        </w:rPr>
        <w:t xml:space="preserve">(i.e., inanimate objects and surfaces) </w:t>
      </w:r>
      <w:r w:rsidRPr="009E2C37">
        <w:rPr>
          <w:rFonts w:cstheme="minorHAnsi"/>
        </w:rPr>
        <w:t xml:space="preserve">to the </w:t>
      </w:r>
      <w:r w:rsidR="00BF5322" w:rsidRPr="009E2C37">
        <w:rPr>
          <w:rFonts w:cstheme="minorHAnsi"/>
        </w:rPr>
        <w:t xml:space="preserve">finger pads of </w:t>
      </w:r>
      <w:r w:rsidRPr="009E2C37">
        <w:rPr>
          <w:rFonts w:cstheme="minorHAnsi"/>
        </w:rPr>
        <w:t>hand</w:t>
      </w:r>
      <w:r w:rsidR="00BF5322" w:rsidRPr="009E2C37">
        <w:rPr>
          <w:rFonts w:cstheme="minorHAnsi"/>
        </w:rPr>
        <w:t>s</w:t>
      </w:r>
      <w:r w:rsidRPr="009E2C37">
        <w:rPr>
          <w:rFonts w:cstheme="minorHAnsi"/>
        </w:rPr>
        <w:t xml:space="preserve"> is </w:t>
      </w:r>
      <w:r w:rsidR="005F6848" w:rsidRPr="009E2C37">
        <w:rPr>
          <w:rFonts w:cstheme="minorHAnsi"/>
        </w:rPr>
        <w:t xml:space="preserve">key </w:t>
      </w:r>
      <w:r w:rsidR="004362BE" w:rsidRPr="009E2C37">
        <w:rPr>
          <w:rFonts w:cstheme="minorHAnsi"/>
        </w:rPr>
        <w:t xml:space="preserve">in the development of pathogen exposure </w:t>
      </w:r>
      <w:r w:rsidR="005F6848" w:rsidRPr="009E2C37">
        <w:rPr>
          <w:rFonts w:cstheme="minorHAnsi"/>
        </w:rPr>
        <w:t xml:space="preserve">and quantitative microbial risk assessment </w:t>
      </w:r>
      <w:r w:rsidR="004362BE" w:rsidRPr="009E2C37">
        <w:rPr>
          <w:rFonts w:cstheme="minorHAnsi"/>
        </w:rPr>
        <w:t>models</w:t>
      </w:r>
      <w:r w:rsidR="00955E39" w:rsidRPr="009E2C37">
        <w:rPr>
          <w:rFonts w:cstheme="minorHAnsi"/>
        </w:rPr>
        <w:t>.</w:t>
      </w:r>
      <w:r w:rsidR="001B4F94" w:rsidRPr="009E2C37">
        <w:rPr>
          <w:rStyle w:val="EndnoteReference"/>
          <w:rFonts w:cstheme="minorHAnsi"/>
        </w:rPr>
        <w:endnoteReference w:id="1"/>
      </w:r>
      <w:r w:rsidR="00955E39" w:rsidRPr="009E2C37">
        <w:rPr>
          <w:rFonts w:cstheme="minorHAnsi"/>
        </w:rPr>
        <w:t xml:space="preserve"> </w:t>
      </w:r>
      <w:r w:rsidR="001B4F94" w:rsidRPr="009E2C37">
        <w:rPr>
          <w:rStyle w:val="EndnoteReference"/>
          <w:rFonts w:cstheme="minorHAnsi"/>
        </w:rPr>
        <w:endnoteReference w:id="2"/>
      </w:r>
      <w:r w:rsidRPr="009E2C37">
        <w:rPr>
          <w:rFonts w:cstheme="minorHAnsi"/>
        </w:rPr>
        <w:t xml:space="preserve"> Previous studies have documented the transfer </w:t>
      </w:r>
      <w:r w:rsidR="00E77481" w:rsidRPr="009E2C37">
        <w:rPr>
          <w:rFonts w:cstheme="minorHAnsi"/>
        </w:rPr>
        <w:t xml:space="preserve">efficiencies </w:t>
      </w:r>
      <w:r w:rsidRPr="009E2C37">
        <w:rPr>
          <w:rFonts w:cstheme="minorHAnsi"/>
        </w:rPr>
        <w:t xml:space="preserve">of non-enveloped viruses from various </w:t>
      </w:r>
      <w:r w:rsidR="00E77481" w:rsidRPr="009E2C37">
        <w:rPr>
          <w:rFonts w:cstheme="minorHAnsi"/>
        </w:rPr>
        <w:t>types of fomites to finger pads</w:t>
      </w:r>
      <w:r w:rsidR="00955E39" w:rsidRPr="009E2C37">
        <w:rPr>
          <w:rFonts w:cstheme="minorHAnsi"/>
        </w:rPr>
        <w:t>.</w:t>
      </w:r>
      <w:r w:rsidR="00955E39" w:rsidRPr="009E2C37">
        <w:rPr>
          <w:rStyle w:val="EndnoteReference"/>
          <w:rFonts w:cstheme="minorHAnsi"/>
        </w:rPr>
        <w:endnoteReference w:id="3"/>
      </w:r>
      <w:r w:rsidR="00955E39" w:rsidRPr="009E2C37">
        <w:rPr>
          <w:rFonts w:cstheme="minorHAnsi"/>
        </w:rPr>
        <w:t xml:space="preserve"> </w:t>
      </w:r>
      <w:r w:rsidR="00955E39" w:rsidRPr="009E2C37">
        <w:rPr>
          <w:rStyle w:val="EndnoteReference"/>
          <w:rFonts w:cstheme="minorHAnsi"/>
        </w:rPr>
        <w:endnoteReference w:id="4"/>
      </w:r>
      <w:r w:rsidRPr="009E2C37">
        <w:rPr>
          <w:rFonts w:cstheme="minorHAnsi"/>
        </w:rPr>
        <w:t xml:space="preserve"> </w:t>
      </w:r>
      <w:r w:rsidR="0033545D" w:rsidRPr="0033545D">
        <w:rPr>
          <w:rFonts w:cstheme="minorHAnsi"/>
          <w:color w:val="FF0000"/>
        </w:rPr>
        <w:t>This is the first study that evaluated the transfer efficiency for enveloped viruses such as coronavirus</w:t>
      </w:r>
      <w:r w:rsidR="0033545D">
        <w:rPr>
          <w:rFonts w:cstheme="minorHAnsi"/>
        </w:rPr>
        <w:t xml:space="preserve">. </w:t>
      </w:r>
      <w:bookmarkEnd w:id="2"/>
    </w:p>
    <w:p w14:paraId="78D7A35F" w14:textId="03A37511" w:rsidR="00867140" w:rsidRPr="009E2C37" w:rsidRDefault="00867140" w:rsidP="009E2C37">
      <w:pPr>
        <w:spacing w:after="0" w:line="480" w:lineRule="auto"/>
        <w:rPr>
          <w:rFonts w:cstheme="minorHAnsi"/>
        </w:rPr>
      </w:pPr>
    </w:p>
    <w:p w14:paraId="6B8E29E0" w14:textId="0E342A57" w:rsidR="00867140" w:rsidRPr="009E2C37" w:rsidRDefault="00867140" w:rsidP="009E2C37">
      <w:pPr>
        <w:spacing w:after="0" w:line="480" w:lineRule="auto"/>
        <w:rPr>
          <w:rFonts w:cstheme="minorHAnsi"/>
        </w:rPr>
      </w:pPr>
      <w:r w:rsidRPr="009E2C37">
        <w:rPr>
          <w:rFonts w:cstheme="minorHAnsi"/>
          <w:b/>
          <w:bCs/>
        </w:rPr>
        <w:t>Material and Methods</w:t>
      </w:r>
    </w:p>
    <w:p w14:paraId="2F05AE3E" w14:textId="7C40FEA3" w:rsidR="009E2C37" w:rsidRDefault="00021984" w:rsidP="009E2C37">
      <w:pPr>
        <w:pStyle w:val="CommentText"/>
        <w:spacing w:after="0" w:line="480" w:lineRule="auto"/>
        <w:rPr>
          <w:rFonts w:cstheme="minorHAnsi"/>
          <w:sz w:val="22"/>
          <w:szCs w:val="22"/>
        </w:rPr>
      </w:pPr>
      <w:r w:rsidRPr="009E2C37">
        <w:rPr>
          <w:rFonts w:cstheme="minorHAnsi"/>
          <w:b/>
          <w:bCs/>
          <w:sz w:val="22"/>
          <w:szCs w:val="22"/>
        </w:rPr>
        <w:t xml:space="preserve">Preparation of the Test </w:t>
      </w:r>
      <w:r w:rsidR="003C5A47" w:rsidRPr="009E2C37">
        <w:rPr>
          <w:rFonts w:cstheme="minorHAnsi"/>
          <w:b/>
          <w:bCs/>
          <w:sz w:val="22"/>
          <w:szCs w:val="22"/>
        </w:rPr>
        <w:t>Virus</w:t>
      </w:r>
    </w:p>
    <w:p w14:paraId="4997476A" w14:textId="71710FFD" w:rsidR="003C5A47" w:rsidRPr="009E2C37" w:rsidRDefault="003C5A47" w:rsidP="007745B3">
      <w:pPr>
        <w:pStyle w:val="CommentText"/>
        <w:spacing w:after="0" w:line="480" w:lineRule="auto"/>
        <w:ind w:firstLine="720"/>
        <w:rPr>
          <w:rFonts w:cstheme="minorHAnsi"/>
          <w:sz w:val="22"/>
          <w:szCs w:val="22"/>
        </w:rPr>
      </w:pPr>
      <w:r w:rsidRPr="009E2C37">
        <w:rPr>
          <w:rFonts w:cstheme="minorHAnsi"/>
          <w:sz w:val="22"/>
          <w:szCs w:val="22"/>
        </w:rPr>
        <w:t xml:space="preserve">Human </w:t>
      </w:r>
      <w:r w:rsidR="00772F48" w:rsidRPr="009E2C37">
        <w:rPr>
          <w:rFonts w:cstheme="minorHAnsi"/>
          <w:sz w:val="22"/>
          <w:szCs w:val="22"/>
        </w:rPr>
        <w:t>coronavirus 229</w:t>
      </w:r>
      <w:r w:rsidR="00764323" w:rsidRPr="009E2C37">
        <w:rPr>
          <w:rFonts w:cstheme="minorHAnsi"/>
          <w:sz w:val="22"/>
          <w:szCs w:val="22"/>
        </w:rPr>
        <w:t>E (</w:t>
      </w:r>
      <w:r w:rsidRPr="009E2C37">
        <w:rPr>
          <w:rFonts w:cstheme="minorHAnsi"/>
          <w:sz w:val="22"/>
          <w:szCs w:val="22"/>
        </w:rPr>
        <w:t>HCoV</w:t>
      </w:r>
      <w:r w:rsidR="006D23B4" w:rsidRPr="009E2C37">
        <w:rPr>
          <w:rFonts w:cstheme="minorHAnsi"/>
          <w:sz w:val="22"/>
          <w:szCs w:val="22"/>
        </w:rPr>
        <w:t xml:space="preserve"> 229E</w:t>
      </w:r>
      <w:r w:rsidRPr="009E2C37">
        <w:rPr>
          <w:rFonts w:cstheme="minorHAnsi"/>
          <w:sz w:val="22"/>
          <w:szCs w:val="22"/>
        </w:rPr>
        <w:t>)</w:t>
      </w:r>
      <w:r w:rsidR="00742D2D" w:rsidRPr="009E2C37">
        <w:rPr>
          <w:rFonts w:cstheme="minorHAnsi"/>
          <w:sz w:val="22"/>
          <w:szCs w:val="22"/>
        </w:rPr>
        <w:t xml:space="preserve"> </w:t>
      </w:r>
      <w:r w:rsidR="006D23B4" w:rsidRPr="009E2C37">
        <w:rPr>
          <w:rFonts w:cstheme="minorHAnsi"/>
          <w:sz w:val="22"/>
          <w:szCs w:val="22"/>
        </w:rPr>
        <w:t>was procured from the American Type Culture Collection (ATCC VR-74</w:t>
      </w:r>
      <w:r w:rsidR="00795F63" w:rsidRPr="009E2C37">
        <w:rPr>
          <w:rFonts w:cstheme="minorHAnsi"/>
          <w:sz w:val="22"/>
          <w:szCs w:val="22"/>
        </w:rPr>
        <w:t xml:space="preserve">0; </w:t>
      </w:r>
      <w:r w:rsidR="006D23B4" w:rsidRPr="009E2C37">
        <w:rPr>
          <w:rFonts w:cstheme="minorHAnsi"/>
          <w:sz w:val="22"/>
          <w:szCs w:val="22"/>
        </w:rPr>
        <w:t>Manassas, Virginia</w:t>
      </w:r>
      <w:r w:rsidR="00795F63" w:rsidRPr="009E2C37">
        <w:rPr>
          <w:rFonts w:cstheme="minorHAnsi"/>
          <w:sz w:val="22"/>
          <w:szCs w:val="22"/>
        </w:rPr>
        <w:t>)</w:t>
      </w:r>
      <w:r w:rsidR="00804DF9" w:rsidRPr="009E2C37">
        <w:rPr>
          <w:rFonts w:cstheme="minorHAnsi"/>
          <w:sz w:val="22"/>
          <w:szCs w:val="22"/>
        </w:rPr>
        <w:t xml:space="preserve"> and</w:t>
      </w:r>
      <w:r w:rsidRPr="009E2C37">
        <w:rPr>
          <w:rFonts w:cstheme="minorHAnsi"/>
          <w:sz w:val="22"/>
          <w:szCs w:val="22"/>
        </w:rPr>
        <w:t xml:space="preserve"> propagated</w:t>
      </w:r>
      <w:r w:rsidR="00795F63" w:rsidRPr="009E2C37">
        <w:rPr>
          <w:rFonts w:cstheme="minorHAnsi"/>
          <w:sz w:val="22"/>
          <w:szCs w:val="22"/>
        </w:rPr>
        <w:t xml:space="preserve"> </w:t>
      </w:r>
      <w:r w:rsidR="006D23B4" w:rsidRPr="009E2C37">
        <w:rPr>
          <w:rFonts w:cstheme="minorHAnsi"/>
          <w:sz w:val="22"/>
          <w:szCs w:val="22"/>
        </w:rPr>
        <w:t>using</w:t>
      </w:r>
      <w:r w:rsidRPr="009E2C37">
        <w:rPr>
          <w:rFonts w:cstheme="minorHAnsi"/>
          <w:sz w:val="22"/>
          <w:szCs w:val="22"/>
        </w:rPr>
        <w:t xml:space="preserve"> the MRC-5 cell</w:t>
      </w:r>
      <w:r w:rsidR="009E4BC5" w:rsidRPr="009E2C37">
        <w:rPr>
          <w:rFonts w:cstheme="minorHAnsi"/>
          <w:sz w:val="22"/>
          <w:szCs w:val="22"/>
        </w:rPr>
        <w:t xml:space="preserve"> li</w:t>
      </w:r>
      <w:r w:rsidRPr="009E2C37">
        <w:rPr>
          <w:rFonts w:cstheme="minorHAnsi"/>
          <w:sz w:val="22"/>
          <w:szCs w:val="22"/>
        </w:rPr>
        <w:t>ne (ATCC</w:t>
      </w:r>
      <w:r w:rsidR="009E4BC5" w:rsidRPr="009E2C37">
        <w:rPr>
          <w:rFonts w:cstheme="minorHAnsi"/>
          <w:sz w:val="22"/>
          <w:szCs w:val="22"/>
        </w:rPr>
        <w:t xml:space="preserve"> CCL</w:t>
      </w:r>
      <w:r w:rsidRPr="009E2C37">
        <w:rPr>
          <w:rFonts w:cstheme="minorHAnsi"/>
          <w:sz w:val="22"/>
          <w:szCs w:val="22"/>
        </w:rPr>
        <w:t xml:space="preserve">-171). </w:t>
      </w:r>
      <w:r w:rsidR="00772F48" w:rsidRPr="009E2C37">
        <w:rPr>
          <w:rFonts w:cstheme="minorHAnsi"/>
          <w:sz w:val="22"/>
          <w:szCs w:val="22"/>
        </w:rPr>
        <w:t>Infected cells were fr</w:t>
      </w:r>
      <w:r w:rsidR="00795F63" w:rsidRPr="009E2C37">
        <w:rPr>
          <w:rFonts w:cstheme="minorHAnsi"/>
          <w:sz w:val="22"/>
          <w:szCs w:val="22"/>
        </w:rPr>
        <w:t>eeze-</w:t>
      </w:r>
      <w:r w:rsidR="00772F48" w:rsidRPr="009E2C37">
        <w:rPr>
          <w:rFonts w:cstheme="minorHAnsi"/>
          <w:sz w:val="22"/>
          <w:szCs w:val="22"/>
        </w:rPr>
        <w:t xml:space="preserve">thawed </w:t>
      </w:r>
      <w:r w:rsidR="00FE3727" w:rsidRPr="009E2C37">
        <w:rPr>
          <w:rFonts w:cstheme="minorHAnsi"/>
          <w:sz w:val="22"/>
          <w:szCs w:val="22"/>
        </w:rPr>
        <w:t xml:space="preserve">and </w:t>
      </w:r>
      <w:r w:rsidR="00CA3876" w:rsidRPr="009E2C37">
        <w:rPr>
          <w:rFonts w:cstheme="minorHAnsi"/>
          <w:sz w:val="22"/>
          <w:szCs w:val="22"/>
        </w:rPr>
        <w:t xml:space="preserve">clarified lysates </w:t>
      </w:r>
      <w:r w:rsidR="006D23B4" w:rsidRPr="009E2C37">
        <w:rPr>
          <w:rFonts w:cstheme="minorHAnsi"/>
          <w:sz w:val="22"/>
          <w:szCs w:val="22"/>
        </w:rPr>
        <w:t>underwent a polyethylene glycol (PEG) extraction [</w:t>
      </w:r>
      <w:r w:rsidR="009E4BC5" w:rsidRPr="009E2C37">
        <w:rPr>
          <w:rFonts w:cstheme="minorHAnsi"/>
          <w:sz w:val="22"/>
          <w:szCs w:val="22"/>
        </w:rPr>
        <w:t xml:space="preserve">12% </w:t>
      </w:r>
      <w:r w:rsidR="006D23B4" w:rsidRPr="009E2C37">
        <w:rPr>
          <w:rFonts w:cstheme="minorHAnsi"/>
          <w:sz w:val="22"/>
          <w:szCs w:val="22"/>
        </w:rPr>
        <w:t xml:space="preserve">(w/v) </w:t>
      </w:r>
      <w:r w:rsidR="00F568EB" w:rsidRPr="009E2C37">
        <w:rPr>
          <w:rFonts w:cstheme="minorHAnsi"/>
          <w:sz w:val="22"/>
          <w:szCs w:val="22"/>
        </w:rPr>
        <w:t>PEG</w:t>
      </w:r>
      <w:r w:rsidR="00AD28E1" w:rsidRPr="009E2C37">
        <w:rPr>
          <w:rFonts w:cstheme="minorHAnsi"/>
          <w:sz w:val="22"/>
          <w:szCs w:val="22"/>
        </w:rPr>
        <w:t xml:space="preserve"> </w:t>
      </w:r>
      <w:r w:rsidR="00772F48" w:rsidRPr="009E2C37">
        <w:rPr>
          <w:rFonts w:cstheme="minorHAnsi"/>
          <w:sz w:val="22"/>
          <w:szCs w:val="22"/>
        </w:rPr>
        <w:t>(8000</w:t>
      </w:r>
      <w:r w:rsidR="006D23B4" w:rsidRPr="009E2C37">
        <w:rPr>
          <w:rFonts w:cstheme="minorHAnsi"/>
          <w:sz w:val="22"/>
          <w:szCs w:val="22"/>
        </w:rPr>
        <w:t xml:space="preserve"> </w:t>
      </w:r>
      <w:r w:rsidR="002E4F29" w:rsidRPr="009E2C37">
        <w:rPr>
          <w:rFonts w:cstheme="minorHAnsi"/>
          <w:sz w:val="22"/>
          <w:szCs w:val="22"/>
        </w:rPr>
        <w:t>mw</w:t>
      </w:r>
      <w:r w:rsidR="009E4BC5" w:rsidRPr="009E2C37">
        <w:rPr>
          <w:rFonts w:cstheme="minorHAnsi"/>
          <w:sz w:val="22"/>
          <w:szCs w:val="22"/>
        </w:rPr>
        <w:t xml:space="preserve">) </w:t>
      </w:r>
      <w:r w:rsidR="00772F48" w:rsidRPr="009E2C37">
        <w:rPr>
          <w:rFonts w:cstheme="minorHAnsi"/>
          <w:sz w:val="22"/>
          <w:szCs w:val="22"/>
        </w:rPr>
        <w:t>and</w:t>
      </w:r>
      <w:r w:rsidR="006D23B4" w:rsidRPr="009E2C37">
        <w:rPr>
          <w:rFonts w:cstheme="minorHAnsi"/>
          <w:sz w:val="22"/>
          <w:szCs w:val="22"/>
        </w:rPr>
        <w:t xml:space="preserve"> </w:t>
      </w:r>
      <w:r w:rsidR="00772F48" w:rsidRPr="009E2C37">
        <w:rPr>
          <w:rFonts w:cstheme="minorHAnsi"/>
          <w:sz w:val="22"/>
          <w:szCs w:val="22"/>
        </w:rPr>
        <w:t>0.5 M</w:t>
      </w:r>
      <w:r w:rsidR="009E4BC5" w:rsidRPr="009E2C37">
        <w:rPr>
          <w:rFonts w:cstheme="minorHAnsi"/>
          <w:sz w:val="22"/>
          <w:szCs w:val="22"/>
        </w:rPr>
        <w:t xml:space="preserve"> </w:t>
      </w:r>
      <w:r w:rsidR="00772F48" w:rsidRPr="009E2C37">
        <w:rPr>
          <w:rFonts w:cstheme="minorHAnsi"/>
          <w:sz w:val="22"/>
          <w:szCs w:val="22"/>
        </w:rPr>
        <w:t>sodium</w:t>
      </w:r>
      <w:r w:rsidR="009E4BC5" w:rsidRPr="009E2C37">
        <w:rPr>
          <w:rFonts w:cstheme="minorHAnsi"/>
          <w:sz w:val="22"/>
          <w:szCs w:val="22"/>
        </w:rPr>
        <w:t xml:space="preserve"> c</w:t>
      </w:r>
      <w:r w:rsidR="00772F48" w:rsidRPr="009E2C37">
        <w:rPr>
          <w:rFonts w:cstheme="minorHAnsi"/>
          <w:sz w:val="22"/>
          <w:szCs w:val="22"/>
        </w:rPr>
        <w:t>hloride</w:t>
      </w:r>
      <w:r w:rsidR="006D23B4" w:rsidRPr="009E2C37">
        <w:rPr>
          <w:rFonts w:cstheme="minorHAnsi"/>
          <w:sz w:val="22"/>
          <w:szCs w:val="22"/>
        </w:rPr>
        <w:t xml:space="preserve">] </w:t>
      </w:r>
      <w:r w:rsidR="00772F48" w:rsidRPr="009E2C37">
        <w:rPr>
          <w:rFonts w:cstheme="minorHAnsi"/>
          <w:sz w:val="22"/>
          <w:szCs w:val="22"/>
        </w:rPr>
        <w:t>overnight</w:t>
      </w:r>
      <w:r w:rsidR="009E4BC5" w:rsidRPr="009E2C37">
        <w:rPr>
          <w:rFonts w:cstheme="minorHAnsi"/>
          <w:sz w:val="22"/>
          <w:szCs w:val="22"/>
        </w:rPr>
        <w:t xml:space="preserve"> </w:t>
      </w:r>
      <w:r w:rsidR="00772F48" w:rsidRPr="009E2C37">
        <w:rPr>
          <w:rFonts w:cstheme="minorHAnsi"/>
          <w:sz w:val="22"/>
          <w:szCs w:val="22"/>
        </w:rPr>
        <w:t>at</w:t>
      </w:r>
      <w:r w:rsidR="009E4BC5" w:rsidRPr="009E2C37">
        <w:rPr>
          <w:rFonts w:cstheme="minorHAnsi"/>
          <w:sz w:val="22"/>
          <w:szCs w:val="22"/>
        </w:rPr>
        <w:t xml:space="preserve"> </w:t>
      </w:r>
      <w:r w:rsidR="00772F48" w:rsidRPr="009E2C37">
        <w:rPr>
          <w:rFonts w:cstheme="minorHAnsi"/>
          <w:sz w:val="22"/>
          <w:szCs w:val="22"/>
        </w:rPr>
        <w:t>4</w:t>
      </w:r>
      <w:r w:rsidR="008004D0" w:rsidRPr="009E2C37">
        <w:rPr>
          <w:rFonts w:cstheme="minorHAnsi"/>
          <w:sz w:val="22"/>
          <w:szCs w:val="22"/>
        </w:rPr>
        <w:t xml:space="preserve"> </w:t>
      </w:r>
      <w:r w:rsidR="00772F48" w:rsidRPr="009E2C37">
        <w:rPr>
          <w:rFonts w:cstheme="minorHAnsi"/>
          <w:sz w:val="22"/>
          <w:szCs w:val="22"/>
        </w:rPr>
        <w:t>°C.</w:t>
      </w:r>
      <w:r w:rsidR="009E4BC5" w:rsidRPr="009E2C37">
        <w:rPr>
          <w:rFonts w:cstheme="minorHAnsi"/>
          <w:sz w:val="22"/>
          <w:szCs w:val="22"/>
        </w:rPr>
        <w:t xml:space="preserve"> </w:t>
      </w:r>
      <w:r w:rsidR="008004D0" w:rsidRPr="009E2C37">
        <w:rPr>
          <w:rFonts w:cstheme="minorHAnsi"/>
          <w:sz w:val="22"/>
          <w:szCs w:val="22"/>
        </w:rPr>
        <w:t xml:space="preserve">The suspension was </w:t>
      </w:r>
      <w:r w:rsidR="008D52FC" w:rsidRPr="009E2C37">
        <w:rPr>
          <w:rFonts w:cstheme="minorHAnsi"/>
          <w:sz w:val="22"/>
          <w:szCs w:val="22"/>
        </w:rPr>
        <w:t>centrifug</w:t>
      </w:r>
      <w:r w:rsidR="008004D0" w:rsidRPr="009E2C37">
        <w:rPr>
          <w:rFonts w:cstheme="minorHAnsi"/>
          <w:sz w:val="22"/>
          <w:szCs w:val="22"/>
        </w:rPr>
        <w:t>ed</w:t>
      </w:r>
      <w:r w:rsidR="008D52FC" w:rsidRPr="009E2C37">
        <w:rPr>
          <w:rFonts w:cstheme="minorHAnsi"/>
          <w:sz w:val="22"/>
          <w:szCs w:val="22"/>
        </w:rPr>
        <w:t xml:space="preserve"> </w:t>
      </w:r>
      <w:r w:rsidR="00C06244" w:rsidRPr="009E2C37">
        <w:rPr>
          <w:rFonts w:cstheme="minorHAnsi"/>
          <w:sz w:val="22"/>
          <w:szCs w:val="22"/>
        </w:rPr>
        <w:t>(</w:t>
      </w:r>
      <w:r w:rsidR="00772F48" w:rsidRPr="009E2C37">
        <w:rPr>
          <w:rFonts w:cstheme="minorHAnsi"/>
          <w:sz w:val="22"/>
          <w:szCs w:val="22"/>
        </w:rPr>
        <w:t>10,000</w:t>
      </w:r>
      <w:r w:rsidR="00AD28E1" w:rsidRPr="009E2C37">
        <w:rPr>
          <w:rFonts w:cstheme="minorHAnsi"/>
          <w:sz w:val="22"/>
          <w:szCs w:val="22"/>
        </w:rPr>
        <w:t xml:space="preserve"> </w:t>
      </w:r>
      <w:r w:rsidR="008004D0" w:rsidRPr="009E2C37">
        <w:rPr>
          <w:rFonts w:cstheme="minorHAnsi"/>
          <w:sz w:val="22"/>
          <w:szCs w:val="22"/>
        </w:rPr>
        <w:t xml:space="preserve">x </w:t>
      </w:r>
      <w:r w:rsidR="00772F48" w:rsidRPr="009E2C37">
        <w:rPr>
          <w:rFonts w:cstheme="minorHAnsi"/>
          <w:sz w:val="22"/>
          <w:szCs w:val="22"/>
        </w:rPr>
        <w:t>g</w:t>
      </w:r>
      <w:r w:rsidR="00C06244" w:rsidRPr="009E2C37">
        <w:rPr>
          <w:rFonts w:cstheme="minorHAnsi"/>
          <w:sz w:val="22"/>
          <w:szCs w:val="22"/>
        </w:rPr>
        <w:t xml:space="preserve">, </w:t>
      </w:r>
      <w:r w:rsidR="009E4BC5" w:rsidRPr="009E2C37">
        <w:rPr>
          <w:rFonts w:cstheme="minorHAnsi"/>
          <w:sz w:val="22"/>
          <w:szCs w:val="22"/>
        </w:rPr>
        <w:t xml:space="preserve">60 </w:t>
      </w:r>
      <w:r w:rsidR="00772F48" w:rsidRPr="009E2C37">
        <w:rPr>
          <w:rFonts w:cstheme="minorHAnsi"/>
          <w:sz w:val="22"/>
          <w:szCs w:val="22"/>
        </w:rPr>
        <w:t>min</w:t>
      </w:r>
      <w:r w:rsidR="009E4BC5" w:rsidRPr="009E2C37">
        <w:rPr>
          <w:rFonts w:cstheme="minorHAnsi"/>
          <w:sz w:val="22"/>
          <w:szCs w:val="22"/>
        </w:rPr>
        <w:t>utes</w:t>
      </w:r>
      <w:r w:rsidR="00C06244" w:rsidRPr="009E2C37">
        <w:rPr>
          <w:rFonts w:cstheme="minorHAnsi"/>
          <w:sz w:val="22"/>
          <w:szCs w:val="22"/>
        </w:rPr>
        <w:t>)</w:t>
      </w:r>
      <w:r w:rsidR="00772F48" w:rsidRPr="009E2C37">
        <w:rPr>
          <w:rFonts w:cstheme="minorHAnsi"/>
          <w:sz w:val="22"/>
          <w:szCs w:val="22"/>
        </w:rPr>
        <w:t xml:space="preserve">, </w:t>
      </w:r>
      <w:r w:rsidR="008004D0" w:rsidRPr="009E2C37">
        <w:rPr>
          <w:rFonts w:cstheme="minorHAnsi"/>
          <w:sz w:val="22"/>
          <w:szCs w:val="22"/>
        </w:rPr>
        <w:t>and the virus</w:t>
      </w:r>
      <w:r w:rsidR="00EE1851" w:rsidRPr="009E2C37">
        <w:rPr>
          <w:rFonts w:cstheme="minorHAnsi"/>
          <w:sz w:val="22"/>
          <w:szCs w:val="22"/>
        </w:rPr>
        <w:t xml:space="preserve"> pellet</w:t>
      </w:r>
      <w:r w:rsidR="00772F48" w:rsidRPr="009E2C37">
        <w:rPr>
          <w:rFonts w:cstheme="minorHAnsi"/>
          <w:sz w:val="22"/>
          <w:szCs w:val="22"/>
        </w:rPr>
        <w:t xml:space="preserve"> resuspended in 0.01 </w:t>
      </w:r>
      <w:r w:rsidR="00764323" w:rsidRPr="009E2C37">
        <w:rPr>
          <w:rFonts w:cstheme="minorHAnsi"/>
          <w:sz w:val="22"/>
          <w:szCs w:val="22"/>
        </w:rPr>
        <w:t>M phosphate</w:t>
      </w:r>
      <w:r w:rsidR="00772F48" w:rsidRPr="009E2C37">
        <w:rPr>
          <w:rFonts w:cstheme="minorHAnsi"/>
          <w:sz w:val="22"/>
          <w:szCs w:val="22"/>
        </w:rPr>
        <w:t xml:space="preserve"> buffered saline (</w:t>
      </w:r>
      <w:r w:rsidR="00AB7334" w:rsidRPr="009E2C37">
        <w:rPr>
          <w:rFonts w:cstheme="minorHAnsi"/>
          <w:sz w:val="22"/>
          <w:szCs w:val="22"/>
        </w:rPr>
        <w:t>PBS; pH</w:t>
      </w:r>
      <w:r w:rsidR="00772F48" w:rsidRPr="009E2C37">
        <w:rPr>
          <w:rFonts w:cstheme="minorHAnsi"/>
          <w:sz w:val="22"/>
          <w:szCs w:val="22"/>
        </w:rPr>
        <w:t xml:space="preserve"> 7.4) to </w:t>
      </w:r>
      <w:r w:rsidR="009E4BC5" w:rsidRPr="009E2C37">
        <w:rPr>
          <w:rFonts w:cstheme="minorHAnsi"/>
          <w:sz w:val="22"/>
          <w:szCs w:val="22"/>
        </w:rPr>
        <w:t>10</w:t>
      </w:r>
      <w:r w:rsidR="00764323" w:rsidRPr="009E2C37">
        <w:rPr>
          <w:rFonts w:cstheme="minorHAnsi"/>
          <w:sz w:val="22"/>
          <w:szCs w:val="22"/>
        </w:rPr>
        <w:t>% of the</w:t>
      </w:r>
      <w:r w:rsidR="00772F48" w:rsidRPr="009E2C37">
        <w:rPr>
          <w:rFonts w:cstheme="minorHAnsi"/>
          <w:sz w:val="22"/>
          <w:szCs w:val="22"/>
        </w:rPr>
        <w:t xml:space="preserve"> </w:t>
      </w:r>
      <w:r w:rsidR="000E55BA" w:rsidRPr="009E2C37">
        <w:rPr>
          <w:rFonts w:cstheme="minorHAnsi"/>
          <w:sz w:val="22"/>
          <w:szCs w:val="22"/>
        </w:rPr>
        <w:t xml:space="preserve">original </w:t>
      </w:r>
      <w:r w:rsidR="00AB7334" w:rsidRPr="009E2C37">
        <w:rPr>
          <w:rFonts w:cstheme="minorHAnsi"/>
          <w:sz w:val="22"/>
          <w:szCs w:val="22"/>
        </w:rPr>
        <w:t>suspension volume</w:t>
      </w:r>
      <w:r w:rsidR="00772F48" w:rsidRPr="009E2C37">
        <w:rPr>
          <w:rFonts w:cstheme="minorHAnsi"/>
          <w:sz w:val="22"/>
          <w:szCs w:val="22"/>
        </w:rPr>
        <w:t>.</w:t>
      </w:r>
      <w:r w:rsidR="009E4BC5" w:rsidRPr="009E2C37">
        <w:rPr>
          <w:rFonts w:cstheme="minorHAnsi"/>
          <w:sz w:val="22"/>
          <w:szCs w:val="22"/>
        </w:rPr>
        <w:t xml:space="preserve"> </w:t>
      </w:r>
      <w:r w:rsidR="001F38B3" w:rsidRPr="009E2C37">
        <w:rPr>
          <w:rFonts w:cstheme="minorHAnsi"/>
          <w:sz w:val="22"/>
          <w:szCs w:val="22"/>
        </w:rPr>
        <w:t>Aliquots</w:t>
      </w:r>
      <w:r w:rsidR="00EE1851" w:rsidRPr="009E2C37">
        <w:rPr>
          <w:rFonts w:cstheme="minorHAnsi"/>
          <w:sz w:val="22"/>
          <w:szCs w:val="22"/>
        </w:rPr>
        <w:t xml:space="preserve"> </w:t>
      </w:r>
      <w:r w:rsidR="001F38B3" w:rsidRPr="009E2C37">
        <w:rPr>
          <w:rFonts w:cstheme="minorHAnsi"/>
          <w:sz w:val="22"/>
          <w:szCs w:val="22"/>
        </w:rPr>
        <w:t>were</w:t>
      </w:r>
      <w:r w:rsidR="009E4BC5" w:rsidRPr="009E2C37">
        <w:rPr>
          <w:rFonts w:cstheme="minorHAnsi"/>
          <w:sz w:val="22"/>
          <w:szCs w:val="22"/>
        </w:rPr>
        <w:t xml:space="preserve"> </w:t>
      </w:r>
      <w:r w:rsidR="00772F48" w:rsidRPr="009E2C37">
        <w:rPr>
          <w:rFonts w:cstheme="minorHAnsi"/>
          <w:sz w:val="22"/>
          <w:szCs w:val="22"/>
        </w:rPr>
        <w:t>stored at -80</w:t>
      </w:r>
      <w:r w:rsidR="008004D0" w:rsidRPr="009E2C37">
        <w:rPr>
          <w:rFonts w:cstheme="minorHAnsi"/>
          <w:sz w:val="22"/>
          <w:szCs w:val="22"/>
        </w:rPr>
        <w:t xml:space="preserve"> </w:t>
      </w:r>
      <w:r w:rsidR="00772F48" w:rsidRPr="009E2C37">
        <w:rPr>
          <w:rFonts w:cstheme="minorHAnsi"/>
          <w:sz w:val="22"/>
          <w:szCs w:val="22"/>
        </w:rPr>
        <w:t>°C unt</w:t>
      </w:r>
      <w:r w:rsidR="008004D0" w:rsidRPr="009E2C37">
        <w:rPr>
          <w:rFonts w:cstheme="minorHAnsi"/>
          <w:sz w:val="22"/>
          <w:szCs w:val="22"/>
        </w:rPr>
        <w:t>il use on the respective study dates</w:t>
      </w:r>
      <w:r w:rsidR="00772F48" w:rsidRPr="009E2C37">
        <w:rPr>
          <w:rFonts w:cstheme="minorHAnsi"/>
          <w:sz w:val="22"/>
          <w:szCs w:val="22"/>
        </w:rPr>
        <w:t xml:space="preserve">. </w:t>
      </w:r>
      <w:r w:rsidR="00FE3727" w:rsidRPr="009E2C37">
        <w:rPr>
          <w:rFonts w:cstheme="minorHAnsi"/>
          <w:sz w:val="22"/>
          <w:szCs w:val="22"/>
        </w:rPr>
        <w:t xml:space="preserve">Virus stock titers were </w:t>
      </w:r>
      <w:r w:rsidR="002E4F29" w:rsidRPr="009E2C37">
        <w:rPr>
          <w:rFonts w:cstheme="minorHAnsi"/>
          <w:sz w:val="22"/>
          <w:szCs w:val="22"/>
        </w:rPr>
        <w:t>determined</w:t>
      </w:r>
      <w:r w:rsidR="00FE3727" w:rsidRPr="009E2C37">
        <w:rPr>
          <w:rFonts w:cstheme="minorHAnsi"/>
          <w:sz w:val="22"/>
          <w:szCs w:val="22"/>
        </w:rPr>
        <w:t xml:space="preserve"> prior to the study</w:t>
      </w:r>
      <w:r w:rsidR="009773D6" w:rsidRPr="009E2C37">
        <w:rPr>
          <w:rFonts w:cstheme="minorHAnsi"/>
          <w:sz w:val="22"/>
          <w:szCs w:val="22"/>
        </w:rPr>
        <w:t xml:space="preserve"> by </w:t>
      </w:r>
      <w:r w:rsidR="002E4F29" w:rsidRPr="009E2C37">
        <w:rPr>
          <w:rFonts w:cstheme="minorHAnsi"/>
          <w:sz w:val="22"/>
          <w:szCs w:val="22"/>
        </w:rPr>
        <w:t>thaw</w:t>
      </w:r>
      <w:r w:rsidR="009773D6" w:rsidRPr="009E2C37">
        <w:rPr>
          <w:rFonts w:cstheme="minorHAnsi"/>
          <w:sz w:val="22"/>
          <w:szCs w:val="22"/>
        </w:rPr>
        <w:t>ing</w:t>
      </w:r>
      <w:r w:rsidR="002E4F29" w:rsidRPr="009E2C37">
        <w:rPr>
          <w:rFonts w:cstheme="minorHAnsi"/>
          <w:sz w:val="22"/>
          <w:szCs w:val="22"/>
        </w:rPr>
        <w:t xml:space="preserve"> and </w:t>
      </w:r>
      <w:r w:rsidR="001F38B3" w:rsidRPr="009E2C37">
        <w:rPr>
          <w:rFonts w:cstheme="minorHAnsi"/>
          <w:sz w:val="22"/>
          <w:szCs w:val="22"/>
        </w:rPr>
        <w:t>dilut</w:t>
      </w:r>
      <w:r w:rsidR="009773D6" w:rsidRPr="009E2C37">
        <w:rPr>
          <w:rFonts w:cstheme="minorHAnsi"/>
          <w:sz w:val="22"/>
          <w:szCs w:val="22"/>
        </w:rPr>
        <w:t xml:space="preserve">ing </w:t>
      </w:r>
      <w:r w:rsidR="000A319B" w:rsidRPr="009E2C37">
        <w:rPr>
          <w:rFonts w:cstheme="minorHAnsi"/>
          <w:sz w:val="22"/>
          <w:szCs w:val="22"/>
        </w:rPr>
        <w:t>(1:10)</w:t>
      </w:r>
      <w:r w:rsidR="00D77371" w:rsidRPr="009E2C37">
        <w:rPr>
          <w:rFonts w:cstheme="minorHAnsi"/>
          <w:sz w:val="22"/>
          <w:szCs w:val="22"/>
        </w:rPr>
        <w:t xml:space="preserve"> a stock vial</w:t>
      </w:r>
      <w:r w:rsidR="000A319B" w:rsidRPr="009E2C37">
        <w:rPr>
          <w:rFonts w:cstheme="minorHAnsi"/>
          <w:sz w:val="22"/>
          <w:szCs w:val="22"/>
        </w:rPr>
        <w:t xml:space="preserve"> </w:t>
      </w:r>
      <w:r w:rsidR="00FE3727" w:rsidRPr="009E2C37">
        <w:rPr>
          <w:rFonts w:cstheme="minorHAnsi"/>
          <w:sz w:val="22"/>
          <w:szCs w:val="22"/>
        </w:rPr>
        <w:t>using</w:t>
      </w:r>
      <w:r w:rsidR="001F38B3" w:rsidRPr="009E2C37">
        <w:rPr>
          <w:rFonts w:cstheme="minorHAnsi"/>
          <w:sz w:val="22"/>
          <w:szCs w:val="22"/>
        </w:rPr>
        <w:t xml:space="preserve"> 0% </w:t>
      </w:r>
      <w:r w:rsidR="0002043A" w:rsidRPr="009E2C37">
        <w:rPr>
          <w:rFonts w:cstheme="minorHAnsi"/>
          <w:sz w:val="22"/>
          <w:szCs w:val="22"/>
        </w:rPr>
        <w:t>fetal bovine sera (</w:t>
      </w:r>
      <w:r w:rsidR="0002043A" w:rsidRPr="000F1D4F">
        <w:rPr>
          <w:rFonts w:cstheme="minorHAnsi"/>
          <w:color w:val="FF0000"/>
          <w:sz w:val="22"/>
          <w:szCs w:val="22"/>
        </w:rPr>
        <w:t>FB</w:t>
      </w:r>
      <w:r w:rsidR="000F1D4F" w:rsidRPr="000F1D4F">
        <w:rPr>
          <w:rFonts w:cstheme="minorHAnsi"/>
          <w:color w:val="FF0000"/>
          <w:sz w:val="22"/>
          <w:szCs w:val="22"/>
        </w:rPr>
        <w:t>S</w:t>
      </w:r>
      <w:r w:rsidR="0002043A" w:rsidRPr="009E2C37">
        <w:rPr>
          <w:rFonts w:cstheme="minorHAnsi"/>
          <w:sz w:val="22"/>
          <w:szCs w:val="22"/>
        </w:rPr>
        <w:t>) in minimal essential media</w:t>
      </w:r>
      <w:r w:rsidR="001F38B3" w:rsidRPr="009E2C37">
        <w:rPr>
          <w:rFonts w:cstheme="minorHAnsi"/>
          <w:sz w:val="22"/>
          <w:szCs w:val="22"/>
        </w:rPr>
        <w:t xml:space="preserve"> </w:t>
      </w:r>
      <w:r w:rsidR="0002043A" w:rsidRPr="009E2C37">
        <w:rPr>
          <w:rFonts w:cstheme="minorHAnsi"/>
          <w:sz w:val="22"/>
          <w:szCs w:val="22"/>
        </w:rPr>
        <w:t>(</w:t>
      </w:r>
      <w:r w:rsidR="001F38B3" w:rsidRPr="009E2C37">
        <w:rPr>
          <w:rFonts w:cstheme="minorHAnsi"/>
          <w:sz w:val="22"/>
          <w:szCs w:val="22"/>
        </w:rPr>
        <w:t>MEM</w:t>
      </w:r>
      <w:r w:rsidR="0002043A" w:rsidRPr="009E2C37">
        <w:rPr>
          <w:rFonts w:cstheme="minorHAnsi"/>
          <w:sz w:val="22"/>
          <w:szCs w:val="22"/>
        </w:rPr>
        <w:t>)</w:t>
      </w:r>
      <w:r w:rsidR="001F38B3" w:rsidRPr="009E2C37">
        <w:rPr>
          <w:rFonts w:cstheme="minorHAnsi"/>
          <w:sz w:val="22"/>
          <w:szCs w:val="22"/>
        </w:rPr>
        <w:t xml:space="preserve">.  Dilutions were plated in replicates of six onto </w:t>
      </w:r>
      <w:r w:rsidR="008004D0" w:rsidRPr="009E2C37">
        <w:rPr>
          <w:rFonts w:cstheme="minorHAnsi"/>
          <w:sz w:val="22"/>
          <w:szCs w:val="22"/>
        </w:rPr>
        <w:t>MRC-5 monolayers</w:t>
      </w:r>
      <w:r w:rsidR="001F38B3" w:rsidRPr="009E2C37">
        <w:rPr>
          <w:rFonts w:cstheme="minorHAnsi"/>
          <w:sz w:val="22"/>
          <w:szCs w:val="22"/>
        </w:rPr>
        <w:t xml:space="preserve"> prepared in</w:t>
      </w:r>
      <w:r w:rsidR="002E4F29" w:rsidRPr="009E2C37">
        <w:rPr>
          <w:rFonts w:cstheme="minorHAnsi"/>
          <w:sz w:val="22"/>
          <w:szCs w:val="22"/>
        </w:rPr>
        <w:t xml:space="preserve"> multi-well </w:t>
      </w:r>
      <w:r w:rsidR="00955E39" w:rsidRPr="009E2C37">
        <w:rPr>
          <w:rFonts w:cstheme="minorHAnsi"/>
          <w:sz w:val="22"/>
          <w:szCs w:val="22"/>
        </w:rPr>
        <w:t>trays and</w:t>
      </w:r>
      <w:r w:rsidR="002E4F29" w:rsidRPr="009E2C37">
        <w:rPr>
          <w:rFonts w:cstheme="minorHAnsi"/>
          <w:sz w:val="22"/>
          <w:szCs w:val="22"/>
        </w:rPr>
        <w:t xml:space="preserve"> </w:t>
      </w:r>
      <w:r w:rsidR="001F38B3" w:rsidRPr="009E2C37">
        <w:rPr>
          <w:rFonts w:cstheme="minorHAnsi"/>
          <w:sz w:val="22"/>
          <w:szCs w:val="22"/>
        </w:rPr>
        <w:t>incubat</w:t>
      </w:r>
      <w:r w:rsidR="002E4F29" w:rsidRPr="009E2C37">
        <w:rPr>
          <w:rFonts w:cstheme="minorHAnsi"/>
          <w:sz w:val="22"/>
          <w:szCs w:val="22"/>
        </w:rPr>
        <w:t>ed</w:t>
      </w:r>
      <w:r w:rsidR="001F38B3" w:rsidRPr="009E2C37">
        <w:rPr>
          <w:rFonts w:cstheme="minorHAnsi"/>
          <w:sz w:val="22"/>
          <w:szCs w:val="22"/>
        </w:rPr>
        <w:t xml:space="preserve"> for seven days </w:t>
      </w:r>
      <w:r w:rsidR="002E4F29" w:rsidRPr="009E2C37">
        <w:rPr>
          <w:rFonts w:cstheme="minorHAnsi"/>
          <w:sz w:val="22"/>
          <w:szCs w:val="22"/>
        </w:rPr>
        <w:t>(</w:t>
      </w:r>
      <w:r w:rsidR="001F38B3" w:rsidRPr="009E2C37">
        <w:rPr>
          <w:rFonts w:cstheme="minorHAnsi"/>
          <w:sz w:val="22"/>
          <w:szCs w:val="22"/>
        </w:rPr>
        <w:t>35 °C</w:t>
      </w:r>
      <w:r w:rsidR="002E4F29" w:rsidRPr="009E2C37">
        <w:rPr>
          <w:rFonts w:cstheme="minorHAnsi"/>
          <w:sz w:val="22"/>
          <w:szCs w:val="22"/>
        </w:rPr>
        <w:t>)</w:t>
      </w:r>
      <w:r w:rsidR="001F38B3" w:rsidRPr="009E2C37">
        <w:rPr>
          <w:rFonts w:cstheme="minorHAnsi"/>
          <w:sz w:val="22"/>
          <w:szCs w:val="22"/>
        </w:rPr>
        <w:t xml:space="preserve"> in a 5% CO</w:t>
      </w:r>
      <w:r w:rsidR="001F38B3" w:rsidRPr="009E2C37">
        <w:rPr>
          <w:rFonts w:cstheme="minorHAnsi"/>
          <w:sz w:val="22"/>
          <w:szCs w:val="22"/>
          <w:vertAlign w:val="subscript"/>
        </w:rPr>
        <w:t>2</w:t>
      </w:r>
      <w:r w:rsidR="00795F63" w:rsidRPr="009E2C37">
        <w:rPr>
          <w:rFonts w:cstheme="minorHAnsi"/>
          <w:sz w:val="22"/>
          <w:szCs w:val="22"/>
        </w:rPr>
        <w:t xml:space="preserve"> </w:t>
      </w:r>
      <w:r w:rsidR="001F38B3" w:rsidRPr="009E2C37">
        <w:rPr>
          <w:rFonts w:cstheme="minorHAnsi"/>
          <w:sz w:val="22"/>
          <w:szCs w:val="22"/>
        </w:rPr>
        <w:t>atmosphere</w:t>
      </w:r>
      <w:r w:rsidR="002E4F29" w:rsidRPr="009E2C37">
        <w:rPr>
          <w:rFonts w:cstheme="minorHAnsi"/>
          <w:sz w:val="22"/>
          <w:szCs w:val="22"/>
        </w:rPr>
        <w:t>.</w:t>
      </w:r>
      <w:r w:rsidR="001F38B3" w:rsidRPr="009E2C37">
        <w:rPr>
          <w:rFonts w:cstheme="minorHAnsi"/>
          <w:sz w:val="22"/>
          <w:szCs w:val="22"/>
        </w:rPr>
        <w:t xml:space="preserve"> </w:t>
      </w:r>
      <w:r w:rsidR="002E4F29" w:rsidRPr="009E2C37">
        <w:rPr>
          <w:rFonts w:cstheme="minorHAnsi"/>
          <w:sz w:val="22"/>
          <w:szCs w:val="22"/>
        </w:rPr>
        <w:t>W</w:t>
      </w:r>
      <w:r w:rsidR="001F38B3" w:rsidRPr="009E2C37">
        <w:rPr>
          <w:rFonts w:cstheme="minorHAnsi"/>
          <w:sz w:val="22"/>
          <w:szCs w:val="22"/>
        </w:rPr>
        <w:t xml:space="preserve">ells were scored for </w:t>
      </w:r>
      <w:r w:rsidR="00FE3727" w:rsidRPr="009E2C37">
        <w:rPr>
          <w:rFonts w:cstheme="minorHAnsi"/>
          <w:sz w:val="22"/>
          <w:szCs w:val="22"/>
        </w:rPr>
        <w:t>cytopathogenic effect</w:t>
      </w:r>
      <w:r w:rsidR="00FE3727" w:rsidRPr="003328E0">
        <w:rPr>
          <w:rFonts w:cstheme="minorHAnsi"/>
          <w:sz w:val="22"/>
          <w:szCs w:val="22"/>
        </w:rPr>
        <w:t>s</w:t>
      </w:r>
      <w:r w:rsidR="00EE1851" w:rsidRPr="003328E0">
        <w:rPr>
          <w:rFonts w:cstheme="minorHAnsi"/>
          <w:strike/>
          <w:sz w:val="22"/>
          <w:szCs w:val="22"/>
        </w:rPr>
        <w:t>.</w:t>
      </w:r>
      <w:r w:rsidR="001F38B3" w:rsidRPr="003328E0">
        <w:rPr>
          <w:rFonts w:cstheme="minorHAnsi"/>
          <w:sz w:val="22"/>
          <w:szCs w:val="22"/>
        </w:rPr>
        <w:t xml:space="preserve"> </w:t>
      </w:r>
      <w:r w:rsidR="00EE1851" w:rsidRPr="009E2C37">
        <w:rPr>
          <w:rFonts w:cstheme="minorHAnsi"/>
          <w:sz w:val="22"/>
          <w:szCs w:val="22"/>
        </w:rPr>
        <w:t>T</w:t>
      </w:r>
      <w:r w:rsidR="001F38B3" w:rsidRPr="009E2C37">
        <w:rPr>
          <w:rFonts w:cstheme="minorHAnsi"/>
          <w:sz w:val="22"/>
          <w:szCs w:val="22"/>
        </w:rPr>
        <w:t xml:space="preserve">he tissue </w:t>
      </w:r>
      <w:r w:rsidR="00AB7334" w:rsidRPr="009E2C37">
        <w:rPr>
          <w:rFonts w:cstheme="minorHAnsi"/>
          <w:sz w:val="22"/>
          <w:szCs w:val="22"/>
        </w:rPr>
        <w:t>culture infectious dose</w:t>
      </w:r>
      <w:r w:rsidR="00772F48" w:rsidRPr="009E2C37">
        <w:rPr>
          <w:rFonts w:cstheme="minorHAnsi"/>
          <w:sz w:val="22"/>
          <w:szCs w:val="22"/>
        </w:rPr>
        <w:t xml:space="preserve"> </w:t>
      </w:r>
      <w:r w:rsidR="001F38B3" w:rsidRPr="009E2C37">
        <w:rPr>
          <w:rFonts w:cstheme="minorHAnsi"/>
          <w:sz w:val="22"/>
          <w:szCs w:val="22"/>
        </w:rPr>
        <w:t xml:space="preserve">at the </w:t>
      </w:r>
      <w:r w:rsidR="00772F48" w:rsidRPr="009E2C37">
        <w:rPr>
          <w:rFonts w:cstheme="minorHAnsi"/>
          <w:sz w:val="22"/>
          <w:szCs w:val="22"/>
        </w:rPr>
        <w:t xml:space="preserve">50% </w:t>
      </w:r>
      <w:r w:rsidR="001F38B3" w:rsidRPr="009E2C37">
        <w:rPr>
          <w:rFonts w:cstheme="minorHAnsi"/>
          <w:sz w:val="22"/>
          <w:szCs w:val="22"/>
        </w:rPr>
        <w:t>endpoint</w:t>
      </w:r>
      <w:r w:rsidR="00772F48" w:rsidRPr="009E2C37">
        <w:rPr>
          <w:rFonts w:cstheme="minorHAnsi"/>
          <w:sz w:val="22"/>
          <w:szCs w:val="22"/>
        </w:rPr>
        <w:t xml:space="preserve"> (TCID</w:t>
      </w:r>
      <w:r w:rsidR="00772F48" w:rsidRPr="009E2C37">
        <w:rPr>
          <w:rFonts w:cstheme="minorHAnsi"/>
          <w:sz w:val="22"/>
          <w:szCs w:val="22"/>
          <w:vertAlign w:val="subscript"/>
        </w:rPr>
        <w:t>50</w:t>
      </w:r>
      <w:r w:rsidR="00772F48" w:rsidRPr="009E2C37">
        <w:rPr>
          <w:rFonts w:cstheme="minorHAnsi"/>
          <w:sz w:val="22"/>
          <w:szCs w:val="22"/>
        </w:rPr>
        <w:t>)</w:t>
      </w:r>
      <w:r w:rsidR="009E4BC5" w:rsidRPr="009E2C37">
        <w:rPr>
          <w:rFonts w:cstheme="minorHAnsi"/>
          <w:sz w:val="22"/>
          <w:szCs w:val="22"/>
        </w:rPr>
        <w:t xml:space="preserve"> </w:t>
      </w:r>
      <w:r w:rsidR="00FE3727" w:rsidRPr="009E2C37">
        <w:rPr>
          <w:rFonts w:cstheme="minorHAnsi"/>
          <w:sz w:val="22"/>
          <w:szCs w:val="22"/>
        </w:rPr>
        <w:t xml:space="preserve">per mL </w:t>
      </w:r>
    </w:p>
    <w:p w14:paraId="25C36900" w14:textId="25983DFF" w:rsidR="009E2C37" w:rsidRDefault="00F842F4" w:rsidP="009E2C37">
      <w:pPr>
        <w:spacing w:after="0" w:line="480" w:lineRule="auto"/>
        <w:rPr>
          <w:rFonts w:cstheme="minorHAnsi"/>
        </w:rPr>
      </w:pPr>
      <w:r w:rsidRPr="009E2C37">
        <w:rPr>
          <w:rFonts w:cstheme="minorHAnsi"/>
          <w:b/>
          <w:bCs/>
        </w:rPr>
        <w:t>Pre- and Post-Experiment Hand Decontamination</w:t>
      </w:r>
      <w:r w:rsidR="00867140" w:rsidRPr="009E2C37">
        <w:rPr>
          <w:rFonts w:cstheme="minorHAnsi"/>
        </w:rPr>
        <w:t xml:space="preserve"> </w:t>
      </w:r>
    </w:p>
    <w:p w14:paraId="647F7EFE" w14:textId="7552B2DF" w:rsidR="00867140" w:rsidRPr="009E2C37" w:rsidRDefault="009E4BC5" w:rsidP="007745B3">
      <w:pPr>
        <w:spacing w:after="0" w:line="480" w:lineRule="auto"/>
        <w:ind w:firstLine="720"/>
        <w:rPr>
          <w:rFonts w:cstheme="minorHAnsi"/>
        </w:rPr>
      </w:pPr>
      <w:r w:rsidRPr="009E2C37">
        <w:rPr>
          <w:rFonts w:cstheme="minorHAnsi"/>
        </w:rPr>
        <w:t>The subject was</w:t>
      </w:r>
      <w:r w:rsidR="00867140" w:rsidRPr="009E2C37">
        <w:rPr>
          <w:rFonts w:cstheme="minorHAnsi"/>
        </w:rPr>
        <w:t xml:space="preserve"> a healthy </w:t>
      </w:r>
      <w:r w:rsidR="00EB4814" w:rsidRPr="009E2C37">
        <w:rPr>
          <w:rFonts w:cstheme="minorHAnsi"/>
        </w:rPr>
        <w:t>75-year-old</w:t>
      </w:r>
      <w:r w:rsidR="00867140" w:rsidRPr="009E2C37">
        <w:rPr>
          <w:rFonts w:cstheme="minorHAnsi"/>
        </w:rPr>
        <w:t xml:space="preserve"> male</w:t>
      </w:r>
      <w:r w:rsidR="001F38B3" w:rsidRPr="009E2C37">
        <w:rPr>
          <w:rFonts w:cstheme="minorHAnsi"/>
        </w:rPr>
        <w:t xml:space="preserve"> whose hands lacked visible cracks, abrasions</w:t>
      </w:r>
      <w:r w:rsidR="00EB4814" w:rsidRPr="009E2C37">
        <w:rPr>
          <w:rFonts w:cstheme="minorHAnsi"/>
        </w:rPr>
        <w:t>, cuts, or other compromising skin conditions.</w:t>
      </w:r>
      <w:r w:rsidR="00867140" w:rsidRPr="009E2C37">
        <w:rPr>
          <w:rFonts w:cstheme="minorHAnsi"/>
        </w:rPr>
        <w:t xml:space="preserve"> </w:t>
      </w:r>
      <w:r w:rsidR="00843B92" w:rsidRPr="009E2C37">
        <w:rPr>
          <w:rFonts w:cstheme="minorHAnsi"/>
        </w:rPr>
        <w:t>Permission</w:t>
      </w:r>
      <w:r w:rsidR="00867140" w:rsidRPr="009E2C37">
        <w:rPr>
          <w:rFonts w:cstheme="minorHAnsi"/>
        </w:rPr>
        <w:t xml:space="preserve"> was obtained </w:t>
      </w:r>
      <w:r w:rsidR="00C06244" w:rsidRPr="009E2C37">
        <w:rPr>
          <w:rFonts w:cstheme="minorHAnsi"/>
        </w:rPr>
        <w:t>and the protocol was approved by</w:t>
      </w:r>
      <w:r w:rsidR="00867140" w:rsidRPr="009E2C37">
        <w:rPr>
          <w:rFonts w:cstheme="minorHAnsi"/>
        </w:rPr>
        <w:t xml:space="preserve"> </w:t>
      </w:r>
      <w:r w:rsidR="00843B92" w:rsidRPr="009E2C37">
        <w:rPr>
          <w:rFonts w:cstheme="minorHAnsi"/>
        </w:rPr>
        <w:t xml:space="preserve">University of Arizona </w:t>
      </w:r>
      <w:r w:rsidR="009673BE" w:rsidRPr="009E2C37">
        <w:rPr>
          <w:rFonts w:cstheme="minorHAnsi"/>
        </w:rPr>
        <w:t>Institutional</w:t>
      </w:r>
      <w:r w:rsidR="00843B92" w:rsidRPr="009E2C37">
        <w:rPr>
          <w:rFonts w:cstheme="minorHAnsi"/>
        </w:rPr>
        <w:t xml:space="preserve"> </w:t>
      </w:r>
      <w:r w:rsidR="00EB4814" w:rsidRPr="009E2C37">
        <w:rPr>
          <w:rFonts w:cstheme="minorHAnsi"/>
        </w:rPr>
        <w:t>Research Board prior</w:t>
      </w:r>
      <w:r w:rsidR="00843B92" w:rsidRPr="009E2C37">
        <w:rPr>
          <w:rFonts w:cstheme="minorHAnsi"/>
        </w:rPr>
        <w:t xml:space="preserve"> </w:t>
      </w:r>
      <w:r w:rsidR="005E350D" w:rsidRPr="009E2C37">
        <w:rPr>
          <w:rFonts w:cstheme="minorHAnsi"/>
        </w:rPr>
        <w:t xml:space="preserve">to </w:t>
      </w:r>
      <w:r w:rsidR="00843B92" w:rsidRPr="009E2C37">
        <w:rPr>
          <w:rFonts w:cstheme="minorHAnsi"/>
        </w:rPr>
        <w:t>conduct of the study</w:t>
      </w:r>
      <w:r w:rsidR="005E350D" w:rsidRPr="009E2C37">
        <w:rPr>
          <w:rFonts w:cstheme="minorHAnsi"/>
        </w:rPr>
        <w:t>;</w:t>
      </w:r>
      <w:r w:rsidR="00C06244" w:rsidRPr="009E2C37">
        <w:rPr>
          <w:rFonts w:cstheme="minorHAnsi"/>
        </w:rPr>
        <w:t xml:space="preserve"> </w:t>
      </w:r>
      <w:r w:rsidR="00490FB9" w:rsidRPr="009E2C37">
        <w:rPr>
          <w:rFonts w:cstheme="minorHAnsi"/>
        </w:rPr>
        <w:t>a human subject</w:t>
      </w:r>
      <w:r w:rsidR="00EB4814" w:rsidRPr="009E2C37">
        <w:rPr>
          <w:rFonts w:cstheme="minorHAnsi"/>
        </w:rPr>
        <w:t>s</w:t>
      </w:r>
      <w:r w:rsidR="00490FB9" w:rsidRPr="009E2C37">
        <w:rPr>
          <w:rFonts w:cstheme="minorHAnsi"/>
        </w:rPr>
        <w:t xml:space="preserve"> </w:t>
      </w:r>
      <w:r w:rsidR="00490FB9" w:rsidRPr="009E2C37">
        <w:rPr>
          <w:rFonts w:cstheme="minorHAnsi"/>
        </w:rPr>
        <w:lastRenderedPageBreak/>
        <w:t>review</w:t>
      </w:r>
      <w:r w:rsidR="00C06244" w:rsidRPr="009E2C37">
        <w:rPr>
          <w:rFonts w:cstheme="minorHAnsi"/>
        </w:rPr>
        <w:t xml:space="preserve"> was not required</w:t>
      </w:r>
      <w:r w:rsidR="00490FB9" w:rsidRPr="009E2C37">
        <w:rPr>
          <w:rFonts w:cstheme="minorHAnsi"/>
        </w:rPr>
        <w:t xml:space="preserve">. </w:t>
      </w:r>
      <w:r w:rsidR="00843B92" w:rsidRPr="009E2C37">
        <w:rPr>
          <w:rFonts w:cstheme="minorHAnsi"/>
        </w:rPr>
        <w:t>Prior to all experiments, the subject’s hands were washed</w:t>
      </w:r>
      <w:r w:rsidR="00312FD7" w:rsidRPr="009E2C37">
        <w:rPr>
          <w:rFonts w:cstheme="minorHAnsi"/>
        </w:rPr>
        <w:t xml:space="preserve"> using </w:t>
      </w:r>
      <w:r w:rsidR="00E138A6" w:rsidRPr="009E2C37">
        <w:rPr>
          <w:rFonts w:cstheme="minorHAnsi"/>
        </w:rPr>
        <w:t>an</w:t>
      </w:r>
      <w:r w:rsidR="005C1654" w:rsidRPr="009E2C37">
        <w:rPr>
          <w:rFonts w:cstheme="minorHAnsi"/>
        </w:rPr>
        <w:t xml:space="preserve"> antibacterial liquid hand soap </w:t>
      </w:r>
      <w:r w:rsidR="00843B92" w:rsidRPr="009E2C37">
        <w:rPr>
          <w:rFonts w:cstheme="minorHAnsi"/>
        </w:rPr>
        <w:t>for 45 s</w:t>
      </w:r>
      <w:r w:rsidRPr="009E2C37">
        <w:rPr>
          <w:rFonts w:cstheme="minorHAnsi"/>
        </w:rPr>
        <w:t>econds</w:t>
      </w:r>
      <w:r w:rsidR="00843B92" w:rsidRPr="009E2C37">
        <w:rPr>
          <w:rFonts w:cstheme="minorHAnsi"/>
        </w:rPr>
        <w:t xml:space="preserve">, rinsed with </w:t>
      </w:r>
      <w:r w:rsidR="00EB4814" w:rsidRPr="009E2C37">
        <w:rPr>
          <w:rFonts w:cstheme="minorHAnsi"/>
        </w:rPr>
        <w:t xml:space="preserve">de-ionized (DI) </w:t>
      </w:r>
      <w:r w:rsidR="00843B92" w:rsidRPr="009E2C37">
        <w:rPr>
          <w:rFonts w:cstheme="minorHAnsi"/>
        </w:rPr>
        <w:t xml:space="preserve">water, and </w:t>
      </w:r>
      <w:r w:rsidR="00EB4814" w:rsidRPr="009E2C37">
        <w:rPr>
          <w:rFonts w:cstheme="minorHAnsi"/>
        </w:rPr>
        <w:t>dried</w:t>
      </w:r>
      <w:r w:rsidR="00843B92" w:rsidRPr="009E2C37">
        <w:rPr>
          <w:rFonts w:cstheme="minorHAnsi"/>
        </w:rPr>
        <w:t xml:space="preserve"> </w:t>
      </w:r>
      <w:r w:rsidR="00EB4814" w:rsidRPr="009E2C37">
        <w:rPr>
          <w:rFonts w:cstheme="minorHAnsi"/>
        </w:rPr>
        <w:t>using</w:t>
      </w:r>
      <w:r w:rsidR="00843B92" w:rsidRPr="009E2C37">
        <w:rPr>
          <w:rFonts w:cstheme="minorHAnsi"/>
        </w:rPr>
        <w:t xml:space="preserve"> paper towels. Each hand was then sprayed twice with 70% ethanol</w:t>
      </w:r>
      <w:r w:rsidR="00F568EB" w:rsidRPr="009E2C37">
        <w:rPr>
          <w:rFonts w:cstheme="minorHAnsi"/>
        </w:rPr>
        <w:t xml:space="preserve"> and rubbed </w:t>
      </w:r>
      <w:r w:rsidR="00843B92" w:rsidRPr="009E2C37">
        <w:rPr>
          <w:rFonts w:cstheme="minorHAnsi"/>
        </w:rPr>
        <w:t>over the hands and wrists for 15 s</w:t>
      </w:r>
      <w:r w:rsidRPr="009E2C37">
        <w:rPr>
          <w:rFonts w:cstheme="minorHAnsi"/>
        </w:rPr>
        <w:t>econds</w:t>
      </w:r>
      <w:r w:rsidR="00EB4814" w:rsidRPr="009E2C37">
        <w:rPr>
          <w:rFonts w:cstheme="minorHAnsi"/>
        </w:rPr>
        <w:t xml:space="preserve"> followed by</w:t>
      </w:r>
      <w:r w:rsidR="00843B92" w:rsidRPr="009E2C37">
        <w:rPr>
          <w:rFonts w:cstheme="minorHAnsi"/>
        </w:rPr>
        <w:t xml:space="preserve"> air dr</w:t>
      </w:r>
      <w:r w:rsidR="00EB4814" w:rsidRPr="009E2C37">
        <w:rPr>
          <w:rFonts w:cstheme="minorHAnsi"/>
        </w:rPr>
        <w:t>ying</w:t>
      </w:r>
      <w:r w:rsidR="005E350D" w:rsidRPr="009E2C37">
        <w:rPr>
          <w:rFonts w:cstheme="minorHAnsi"/>
        </w:rPr>
        <w:t xml:space="preserve"> for a minimum of five minutes</w:t>
      </w:r>
      <w:r w:rsidR="00843B92" w:rsidRPr="009E2C37">
        <w:rPr>
          <w:rFonts w:cstheme="minorHAnsi"/>
        </w:rPr>
        <w:t xml:space="preserve">. After conducting fomite-to-finger </w:t>
      </w:r>
      <w:r w:rsidR="00EB4814" w:rsidRPr="009E2C37">
        <w:rPr>
          <w:rFonts w:cstheme="minorHAnsi"/>
        </w:rPr>
        <w:t xml:space="preserve">viral </w:t>
      </w:r>
      <w:r w:rsidR="00843B92" w:rsidRPr="009E2C37">
        <w:rPr>
          <w:rFonts w:cstheme="minorHAnsi"/>
        </w:rPr>
        <w:t>transfer experiments</w:t>
      </w:r>
      <w:r w:rsidR="00EB4814" w:rsidRPr="009E2C37">
        <w:rPr>
          <w:rFonts w:cstheme="minorHAnsi"/>
        </w:rPr>
        <w:t xml:space="preserve">, the subject’s </w:t>
      </w:r>
      <w:r w:rsidR="00843B92" w:rsidRPr="009E2C37">
        <w:rPr>
          <w:rFonts w:cstheme="minorHAnsi"/>
        </w:rPr>
        <w:t>finger</w:t>
      </w:r>
      <w:r w:rsidR="00EB4814" w:rsidRPr="009E2C37">
        <w:rPr>
          <w:rFonts w:cstheme="minorHAnsi"/>
        </w:rPr>
        <w:t xml:space="preserve"> pads</w:t>
      </w:r>
      <w:r w:rsidR="00843B92" w:rsidRPr="009E2C37">
        <w:rPr>
          <w:rFonts w:cstheme="minorHAnsi"/>
        </w:rPr>
        <w:t xml:space="preserve"> were </w:t>
      </w:r>
      <w:r w:rsidR="00EB4814" w:rsidRPr="009E2C37">
        <w:rPr>
          <w:rFonts w:cstheme="minorHAnsi"/>
        </w:rPr>
        <w:t xml:space="preserve">sprayed </w:t>
      </w:r>
      <w:r w:rsidR="00843B92" w:rsidRPr="009E2C37">
        <w:rPr>
          <w:rFonts w:cstheme="minorHAnsi"/>
        </w:rPr>
        <w:t>twice</w:t>
      </w:r>
      <w:r w:rsidR="00EB4814" w:rsidRPr="009E2C37">
        <w:rPr>
          <w:rFonts w:cstheme="minorHAnsi"/>
        </w:rPr>
        <w:t xml:space="preserve"> using</w:t>
      </w:r>
      <w:r w:rsidR="00843B92" w:rsidRPr="009E2C37">
        <w:rPr>
          <w:rFonts w:cstheme="minorHAnsi"/>
        </w:rPr>
        <w:t xml:space="preserve"> 70% ethanol</w:t>
      </w:r>
      <w:r w:rsidR="00665B52" w:rsidRPr="009E2C37">
        <w:rPr>
          <w:rFonts w:cstheme="minorHAnsi"/>
        </w:rPr>
        <w:t xml:space="preserve">, and the </w:t>
      </w:r>
      <w:r w:rsidR="00EB4814" w:rsidRPr="009E2C37">
        <w:rPr>
          <w:rFonts w:cstheme="minorHAnsi"/>
        </w:rPr>
        <w:t xml:space="preserve">entirety of each hand was </w:t>
      </w:r>
      <w:r w:rsidR="00843B92" w:rsidRPr="009E2C37">
        <w:rPr>
          <w:rFonts w:cstheme="minorHAnsi"/>
        </w:rPr>
        <w:t>wrapped wit</w:t>
      </w:r>
      <w:r w:rsidR="00EB4814" w:rsidRPr="009E2C37">
        <w:rPr>
          <w:rFonts w:cstheme="minorHAnsi"/>
        </w:rPr>
        <w:t xml:space="preserve">hin </w:t>
      </w:r>
      <w:r w:rsidR="00843B92" w:rsidRPr="009E2C37">
        <w:rPr>
          <w:rFonts w:cstheme="minorHAnsi"/>
        </w:rPr>
        <w:t>70% ethanol-saturated paper towel</w:t>
      </w:r>
      <w:r w:rsidR="00EB4814" w:rsidRPr="009E2C37">
        <w:rPr>
          <w:rFonts w:cstheme="minorHAnsi"/>
        </w:rPr>
        <w:t>s</w:t>
      </w:r>
      <w:r w:rsidR="00843B92" w:rsidRPr="009E2C37">
        <w:rPr>
          <w:rFonts w:cstheme="minorHAnsi"/>
        </w:rPr>
        <w:t xml:space="preserve"> for 30 s</w:t>
      </w:r>
      <w:r w:rsidR="00EB4814" w:rsidRPr="009E2C37">
        <w:rPr>
          <w:rFonts w:cstheme="minorHAnsi"/>
        </w:rPr>
        <w:t xml:space="preserve">econds.  The hands were then </w:t>
      </w:r>
      <w:r w:rsidR="00843B92" w:rsidRPr="009E2C37">
        <w:rPr>
          <w:rFonts w:cstheme="minorHAnsi"/>
        </w:rPr>
        <w:t>wash</w:t>
      </w:r>
      <w:r w:rsidR="00EB4814" w:rsidRPr="009E2C37">
        <w:rPr>
          <w:rFonts w:cstheme="minorHAnsi"/>
        </w:rPr>
        <w:t>ed</w:t>
      </w:r>
      <w:r w:rsidR="00312FD7" w:rsidRPr="009E2C37">
        <w:rPr>
          <w:rFonts w:cstheme="minorHAnsi"/>
        </w:rPr>
        <w:t>, rinsed, and dried as previously described</w:t>
      </w:r>
      <w:r w:rsidR="000F1D4F">
        <w:rPr>
          <w:rFonts w:cstheme="minorHAnsi"/>
        </w:rPr>
        <w:t>.</w:t>
      </w:r>
    </w:p>
    <w:p w14:paraId="15E6F379" w14:textId="6475B2E4" w:rsidR="009E2C37" w:rsidRDefault="00FE15B3" w:rsidP="009E2C37">
      <w:pPr>
        <w:spacing w:after="0" w:line="480" w:lineRule="auto"/>
        <w:rPr>
          <w:rFonts w:cstheme="minorHAnsi"/>
          <w:b/>
          <w:bCs/>
        </w:rPr>
      </w:pPr>
      <w:r w:rsidRPr="009E2C37">
        <w:rPr>
          <w:rFonts w:cstheme="minorHAnsi"/>
          <w:b/>
          <w:bCs/>
        </w:rPr>
        <w:t>Test Carrier Preparation</w:t>
      </w:r>
      <w:r w:rsidR="004F3F28" w:rsidRPr="009E2C37">
        <w:rPr>
          <w:rFonts w:cstheme="minorHAnsi"/>
          <w:b/>
          <w:bCs/>
        </w:rPr>
        <w:t xml:space="preserve"> and Inoculation with HCoV 229E</w:t>
      </w:r>
      <w:r w:rsidR="00892BDD" w:rsidRPr="009E2C37">
        <w:rPr>
          <w:rFonts w:cstheme="minorHAnsi"/>
          <w:b/>
          <w:bCs/>
        </w:rPr>
        <w:t xml:space="preserve"> </w:t>
      </w:r>
    </w:p>
    <w:p w14:paraId="1B6D95EB" w14:textId="3AD65915" w:rsidR="00FE15B3" w:rsidRPr="009E2C37" w:rsidRDefault="00892BDD" w:rsidP="007745B3">
      <w:pPr>
        <w:spacing w:after="0" w:line="480" w:lineRule="auto"/>
        <w:ind w:firstLine="720"/>
        <w:rPr>
          <w:rFonts w:cstheme="minorHAnsi"/>
          <w:b/>
          <w:bCs/>
        </w:rPr>
      </w:pPr>
      <w:r w:rsidRPr="009E2C37">
        <w:rPr>
          <w:rFonts w:cstheme="minorHAnsi"/>
        </w:rPr>
        <w:t>On the test</w:t>
      </w:r>
      <w:r w:rsidR="00375456" w:rsidRPr="009E2C37">
        <w:rPr>
          <w:rFonts w:cstheme="minorHAnsi"/>
        </w:rPr>
        <w:t xml:space="preserve"> dates</w:t>
      </w:r>
      <w:r w:rsidRPr="009E2C37">
        <w:rPr>
          <w:rFonts w:cstheme="minorHAnsi"/>
        </w:rPr>
        <w:t>, a vial o</w:t>
      </w:r>
      <w:r w:rsidR="00A962FF" w:rsidRPr="009E2C37">
        <w:rPr>
          <w:rFonts w:cstheme="minorHAnsi"/>
        </w:rPr>
        <w:t xml:space="preserve">f </w:t>
      </w:r>
      <w:r w:rsidRPr="009E2C37">
        <w:rPr>
          <w:rFonts w:cstheme="minorHAnsi"/>
        </w:rPr>
        <w:t>stock virus was thaw</w:t>
      </w:r>
      <w:r w:rsidR="00375456" w:rsidRPr="009E2C37">
        <w:rPr>
          <w:rFonts w:cstheme="minorHAnsi"/>
        </w:rPr>
        <w:t>ed</w:t>
      </w:r>
      <w:r w:rsidR="00C42EFD" w:rsidRPr="009E2C37">
        <w:rPr>
          <w:rFonts w:cstheme="minorHAnsi"/>
        </w:rPr>
        <w:t xml:space="preserve"> and </w:t>
      </w:r>
      <w:r w:rsidRPr="009E2C37">
        <w:rPr>
          <w:rFonts w:cstheme="minorHAnsi"/>
        </w:rPr>
        <w:t xml:space="preserve">amended with </w:t>
      </w:r>
      <w:r w:rsidR="000F1D4F" w:rsidRPr="000F1D4F">
        <w:rPr>
          <w:rFonts w:cstheme="minorHAnsi"/>
          <w:color w:val="FF0000"/>
        </w:rPr>
        <w:t xml:space="preserve">FBS </w:t>
      </w:r>
      <w:r w:rsidRPr="000F1D4F">
        <w:rPr>
          <w:rFonts w:cstheme="minorHAnsi"/>
          <w:strike/>
          <w:color w:val="FF0000"/>
        </w:rPr>
        <w:t>fetal bovine serum</w:t>
      </w:r>
      <w:r w:rsidRPr="000F1D4F">
        <w:rPr>
          <w:rFonts w:cstheme="minorHAnsi"/>
          <w:color w:val="FF0000"/>
        </w:rPr>
        <w:t xml:space="preserve"> </w:t>
      </w:r>
      <w:r w:rsidRPr="009E2C37">
        <w:rPr>
          <w:rFonts w:cstheme="minorHAnsi"/>
        </w:rPr>
        <w:t>to achieve a</w:t>
      </w:r>
      <w:r w:rsidR="009773D6" w:rsidRPr="009E2C37">
        <w:rPr>
          <w:rFonts w:cstheme="minorHAnsi"/>
        </w:rPr>
        <w:t xml:space="preserve">n </w:t>
      </w:r>
      <w:r w:rsidRPr="009E2C37">
        <w:rPr>
          <w:rFonts w:cstheme="minorHAnsi"/>
        </w:rPr>
        <w:t xml:space="preserve">organic load of 5% (v/v).  </w:t>
      </w:r>
      <w:r w:rsidR="00CA3876" w:rsidRPr="009E2C37">
        <w:rPr>
          <w:rFonts w:cstheme="minorHAnsi"/>
        </w:rPr>
        <w:t>C</w:t>
      </w:r>
      <w:r w:rsidR="009773D6" w:rsidRPr="009E2C37">
        <w:rPr>
          <w:rFonts w:cstheme="minorHAnsi"/>
        </w:rPr>
        <w:t>leaned</w:t>
      </w:r>
      <w:r w:rsidR="00D77371" w:rsidRPr="009E2C37">
        <w:rPr>
          <w:rFonts w:cstheme="minorHAnsi"/>
        </w:rPr>
        <w:t xml:space="preserve">, </w:t>
      </w:r>
      <w:r w:rsidR="009773D6" w:rsidRPr="009E2C37">
        <w:rPr>
          <w:rFonts w:cstheme="minorHAnsi"/>
        </w:rPr>
        <w:t xml:space="preserve">sanitized </w:t>
      </w:r>
      <w:r w:rsidRPr="009E2C37">
        <w:rPr>
          <w:rFonts w:cstheme="minorHAnsi"/>
        </w:rPr>
        <w:t xml:space="preserve">test carriers </w:t>
      </w:r>
      <w:r w:rsidR="003328E0" w:rsidRPr="003328E0">
        <w:rPr>
          <w:rFonts w:cstheme="minorHAnsi"/>
          <w:color w:val="FF0000"/>
        </w:rPr>
        <w:t xml:space="preserve">(Table 1) </w:t>
      </w:r>
      <w:r w:rsidRPr="009E2C37">
        <w:rPr>
          <w:rFonts w:cstheme="minorHAnsi"/>
        </w:rPr>
        <w:t xml:space="preserve">were inoculated with 10 </w:t>
      </w:r>
      <m:oMath>
        <m:r>
          <w:rPr>
            <w:rFonts w:ascii="Cambria Math" w:hAnsi="Cambria Math" w:cstheme="minorHAnsi"/>
            <w:color w:val="FF0000"/>
          </w:rPr>
          <m:t>µ</m:t>
        </m:r>
      </m:oMath>
      <w:r w:rsidRPr="00525421">
        <w:rPr>
          <w:rFonts w:cstheme="minorHAnsi"/>
          <w:color w:val="FF0000"/>
        </w:rPr>
        <w:t>L</w:t>
      </w:r>
      <w:r w:rsidRPr="009E2C37">
        <w:rPr>
          <w:rFonts w:cstheme="minorHAnsi"/>
        </w:rPr>
        <w:t xml:space="preserve"> of </w:t>
      </w:r>
      <w:r w:rsidR="00C06244" w:rsidRPr="009E2C37">
        <w:rPr>
          <w:rFonts w:cstheme="minorHAnsi"/>
        </w:rPr>
        <w:t>virus</w:t>
      </w:r>
      <w:r w:rsidRPr="009E2C37">
        <w:rPr>
          <w:rFonts w:cstheme="minorHAnsi"/>
        </w:rPr>
        <w:t>, which was spread over an area of 1-cm</w:t>
      </w:r>
      <w:r w:rsidRPr="009E2C37">
        <w:rPr>
          <w:rFonts w:cstheme="minorHAnsi"/>
          <w:vertAlign w:val="superscript"/>
        </w:rPr>
        <w:t>2</w:t>
      </w:r>
      <w:r w:rsidRPr="009E2C37">
        <w:rPr>
          <w:rFonts w:cstheme="minorHAnsi"/>
        </w:rPr>
        <w:t xml:space="preserve"> using a bent pipette tip.  The carriers were dried under controlled conditions</w:t>
      </w:r>
      <w:r w:rsidR="009773D6" w:rsidRPr="009E2C37">
        <w:rPr>
          <w:rFonts w:cstheme="minorHAnsi"/>
        </w:rPr>
        <w:t xml:space="preserve"> [</w:t>
      </w:r>
      <w:r w:rsidRPr="009E2C37">
        <w:rPr>
          <w:rFonts w:cstheme="minorHAnsi"/>
        </w:rPr>
        <w:t xml:space="preserve">(22 ± 1 </w:t>
      </w:r>
      <w:r w:rsidRPr="009E2C37">
        <w:rPr>
          <w:rFonts w:cstheme="minorHAnsi"/>
          <w:vertAlign w:val="superscript"/>
        </w:rPr>
        <w:t>o</w:t>
      </w:r>
      <w:r w:rsidRPr="009E2C37">
        <w:rPr>
          <w:rFonts w:cstheme="minorHAnsi"/>
        </w:rPr>
        <w:t>C; 40% ± 5% relative humidity</w:t>
      </w:r>
      <w:r w:rsidR="009773D6" w:rsidRPr="009E2C37">
        <w:rPr>
          <w:rFonts w:cstheme="minorHAnsi"/>
        </w:rPr>
        <w:t xml:space="preserve"> (RH</w:t>
      </w:r>
      <w:r w:rsidRPr="009E2C37">
        <w:rPr>
          <w:rFonts w:cstheme="minorHAnsi"/>
        </w:rPr>
        <w:t>)</w:t>
      </w:r>
      <w:r w:rsidR="009773D6" w:rsidRPr="009E2C37">
        <w:rPr>
          <w:rFonts w:cstheme="minorHAnsi"/>
        </w:rPr>
        <w:t>]</w:t>
      </w:r>
      <w:r w:rsidRPr="009E2C37">
        <w:rPr>
          <w:rFonts w:cstheme="minorHAnsi"/>
        </w:rPr>
        <w:t xml:space="preserve"> for ~30 minutes with the Petri dish lids on. </w:t>
      </w:r>
      <w:r w:rsidR="004051AB" w:rsidRPr="009E2C37">
        <w:rPr>
          <w:rFonts w:cstheme="minorHAnsi"/>
        </w:rPr>
        <w:t>A</w:t>
      </w:r>
      <w:r w:rsidRPr="009E2C37">
        <w:rPr>
          <w:rFonts w:cstheme="minorHAnsi"/>
        </w:rPr>
        <w:t xml:space="preserve"> triplicate set of carriers was </w:t>
      </w:r>
      <w:r w:rsidR="009773D6" w:rsidRPr="009E2C37">
        <w:rPr>
          <w:rFonts w:cstheme="minorHAnsi"/>
        </w:rPr>
        <w:t xml:space="preserve">immediately </w:t>
      </w:r>
      <w:r w:rsidRPr="009E2C37">
        <w:rPr>
          <w:rFonts w:cstheme="minorHAnsi"/>
        </w:rPr>
        <w:t>harvested to determine levels of infectious</w:t>
      </w:r>
      <w:r w:rsidR="009773D6" w:rsidRPr="009E2C37">
        <w:rPr>
          <w:rFonts w:cstheme="minorHAnsi"/>
        </w:rPr>
        <w:t xml:space="preserve"> virus </w:t>
      </w:r>
      <w:r w:rsidR="00375456" w:rsidRPr="009E2C37">
        <w:rPr>
          <w:rFonts w:cstheme="minorHAnsi"/>
        </w:rPr>
        <w:t xml:space="preserve">per carrier </w:t>
      </w:r>
      <w:r w:rsidR="00C42EFD" w:rsidRPr="009E2C37">
        <w:rPr>
          <w:rFonts w:cstheme="minorHAnsi"/>
        </w:rPr>
        <w:t>just prior to the transfer experiments</w:t>
      </w:r>
      <w:r w:rsidRPr="009E2C37">
        <w:rPr>
          <w:rFonts w:cstheme="minorHAnsi"/>
        </w:rPr>
        <w:t>.</w:t>
      </w:r>
      <w:r w:rsidR="0006514C" w:rsidRPr="009E2C37">
        <w:rPr>
          <w:rFonts w:cstheme="minorHAnsi"/>
        </w:rPr>
        <w:t xml:space="preserve"> </w:t>
      </w:r>
      <w:r w:rsidR="009773D6" w:rsidRPr="009E2C37">
        <w:rPr>
          <w:rFonts w:cstheme="minorHAnsi"/>
        </w:rPr>
        <w:t>C</w:t>
      </w:r>
      <w:r w:rsidR="0006514C" w:rsidRPr="009E2C37">
        <w:rPr>
          <w:rFonts w:cstheme="minorHAnsi"/>
        </w:rPr>
        <w:t>arrier</w:t>
      </w:r>
      <w:r w:rsidR="009773D6" w:rsidRPr="009E2C37">
        <w:rPr>
          <w:rFonts w:cstheme="minorHAnsi"/>
        </w:rPr>
        <w:t>s</w:t>
      </w:r>
      <w:r w:rsidR="0006514C" w:rsidRPr="009E2C37">
        <w:rPr>
          <w:rFonts w:cstheme="minorHAnsi"/>
        </w:rPr>
        <w:t xml:space="preserve"> w</w:t>
      </w:r>
      <w:r w:rsidR="009773D6" w:rsidRPr="009E2C37">
        <w:rPr>
          <w:rFonts w:cstheme="minorHAnsi"/>
        </w:rPr>
        <w:t>ere</w:t>
      </w:r>
      <w:r w:rsidR="0006514C" w:rsidRPr="009E2C37">
        <w:rPr>
          <w:rFonts w:cstheme="minorHAnsi"/>
        </w:rPr>
        <w:t xml:space="preserve"> rinsed with 1 mL of </w:t>
      </w:r>
      <w:r w:rsidR="002F1D1A" w:rsidRPr="009E2C37">
        <w:rPr>
          <w:rFonts w:cstheme="minorHAnsi"/>
        </w:rPr>
        <w:t>0</w:t>
      </w:r>
      <w:r w:rsidR="0006514C" w:rsidRPr="009E2C37">
        <w:rPr>
          <w:rFonts w:cstheme="minorHAnsi"/>
        </w:rPr>
        <w:t>% FBS MEM</w:t>
      </w:r>
      <w:r w:rsidR="00C06244" w:rsidRPr="009E2C37">
        <w:rPr>
          <w:rFonts w:cstheme="minorHAnsi"/>
        </w:rPr>
        <w:t xml:space="preserve"> </w:t>
      </w:r>
      <w:r w:rsidR="002F1D1A" w:rsidRPr="00097C9D">
        <w:rPr>
          <w:rFonts w:cstheme="minorHAnsi"/>
          <w:color w:val="FF0000"/>
        </w:rPr>
        <w:t>w</w:t>
      </w:r>
      <w:r w:rsidR="00097C9D" w:rsidRPr="00097C9D">
        <w:rPr>
          <w:rFonts w:cstheme="minorHAnsi"/>
          <w:color w:val="FF0000"/>
        </w:rPr>
        <w:t xml:space="preserve">ith </w:t>
      </w:r>
      <w:r w:rsidR="002F1D1A" w:rsidRPr="009E2C37">
        <w:rPr>
          <w:rFonts w:cstheme="minorHAnsi"/>
        </w:rPr>
        <w:t xml:space="preserve">antibiotics </w:t>
      </w:r>
      <w:r w:rsidR="0006514C" w:rsidRPr="009E2C37">
        <w:rPr>
          <w:rFonts w:cstheme="minorHAnsi"/>
        </w:rPr>
        <w:t>three to five times</w:t>
      </w:r>
      <w:r w:rsidR="00CA3876" w:rsidRPr="009E2C37">
        <w:rPr>
          <w:rFonts w:cstheme="minorHAnsi"/>
        </w:rPr>
        <w:t xml:space="preserve"> and t</w:t>
      </w:r>
      <w:r w:rsidR="00A962FF" w:rsidRPr="009E2C37">
        <w:rPr>
          <w:rFonts w:cstheme="minorHAnsi"/>
        </w:rPr>
        <w:t xml:space="preserve">reated with a </w:t>
      </w:r>
      <w:r w:rsidR="0006514C" w:rsidRPr="009E2C37">
        <w:rPr>
          <w:rFonts w:cstheme="minorHAnsi"/>
        </w:rPr>
        <w:t xml:space="preserve">sterile cell scraper to further facilitate virus detachment. </w:t>
      </w:r>
      <w:r w:rsidR="002F1D1A" w:rsidRPr="009E2C37">
        <w:rPr>
          <w:rFonts w:cstheme="minorHAnsi"/>
        </w:rPr>
        <w:t>Dilutions and plating onto MRC-5 cell monolayers followed as previously described.</w:t>
      </w:r>
    </w:p>
    <w:p w14:paraId="0D53B5D7" w14:textId="125CC274" w:rsidR="009E2C37" w:rsidRDefault="00F842F4" w:rsidP="009E2C37">
      <w:pPr>
        <w:spacing w:after="0" w:line="480" w:lineRule="auto"/>
        <w:rPr>
          <w:rFonts w:cstheme="minorHAnsi"/>
          <w:b/>
          <w:bCs/>
        </w:rPr>
      </w:pPr>
      <w:r w:rsidRPr="009E2C37">
        <w:rPr>
          <w:rFonts w:cstheme="minorHAnsi"/>
          <w:b/>
          <w:bCs/>
        </w:rPr>
        <w:t xml:space="preserve">Fomite-to Finger pad </w:t>
      </w:r>
      <w:r w:rsidR="00EB4814" w:rsidRPr="009E2C37">
        <w:rPr>
          <w:rFonts w:cstheme="minorHAnsi"/>
          <w:b/>
          <w:bCs/>
        </w:rPr>
        <w:t xml:space="preserve">Transfer </w:t>
      </w:r>
      <w:r w:rsidRPr="009E2C37">
        <w:rPr>
          <w:rFonts w:cstheme="minorHAnsi"/>
          <w:b/>
          <w:bCs/>
        </w:rPr>
        <w:t>E</w:t>
      </w:r>
      <w:r w:rsidR="00EB4814" w:rsidRPr="009E2C37">
        <w:rPr>
          <w:rFonts w:cstheme="minorHAnsi"/>
          <w:b/>
          <w:bCs/>
        </w:rPr>
        <w:t>xperiment</w:t>
      </w:r>
      <w:r w:rsidRPr="009E2C37">
        <w:rPr>
          <w:rFonts w:cstheme="minorHAnsi"/>
          <w:b/>
          <w:bCs/>
        </w:rPr>
        <w:t>s</w:t>
      </w:r>
      <w:r w:rsidR="00EB4814" w:rsidRPr="009E2C37">
        <w:rPr>
          <w:rFonts w:cstheme="minorHAnsi"/>
          <w:b/>
          <w:bCs/>
        </w:rPr>
        <w:t xml:space="preserve"> </w:t>
      </w:r>
    </w:p>
    <w:p w14:paraId="52BA5753" w14:textId="581734DC" w:rsidR="00EB4814" w:rsidRPr="009E2C37" w:rsidRDefault="00A44372" w:rsidP="007745B3">
      <w:pPr>
        <w:spacing w:after="0" w:line="480" w:lineRule="auto"/>
        <w:ind w:firstLine="720"/>
        <w:rPr>
          <w:rFonts w:cstheme="minorHAnsi"/>
          <w:color w:val="C45911" w:themeColor="accent2" w:themeShade="BF"/>
        </w:rPr>
      </w:pPr>
      <w:r w:rsidRPr="009E2C37">
        <w:rPr>
          <w:rFonts w:cstheme="minorHAnsi"/>
        </w:rPr>
        <w:t xml:space="preserve">The remaining carriers underwent fomite-to finger pad transfers within 15 minutes after drying. </w:t>
      </w:r>
      <w:r w:rsidR="00EB4814" w:rsidRPr="009E2C37">
        <w:rPr>
          <w:rFonts w:cstheme="minorHAnsi"/>
        </w:rPr>
        <w:t>The study was conducted</w:t>
      </w:r>
      <w:r w:rsidR="00C06244" w:rsidRPr="009E2C37">
        <w:rPr>
          <w:rFonts w:cstheme="minorHAnsi"/>
        </w:rPr>
        <w:t xml:space="preserve"> </w:t>
      </w:r>
      <w:r w:rsidR="00BD2247" w:rsidRPr="00525421">
        <w:rPr>
          <w:rFonts w:cstheme="minorHAnsi"/>
          <w:strike/>
          <w:color w:val="FF0000"/>
        </w:rPr>
        <w:t xml:space="preserve">at </w:t>
      </w:r>
      <w:r w:rsidR="00A962FF" w:rsidRPr="009E2C37">
        <w:rPr>
          <w:rFonts w:cstheme="minorHAnsi"/>
        </w:rPr>
        <w:t>under controlled conditions</w:t>
      </w:r>
      <w:r w:rsidR="00BD2247" w:rsidRPr="009E2C37">
        <w:rPr>
          <w:rFonts w:cstheme="minorHAnsi"/>
        </w:rPr>
        <w:t xml:space="preserve"> (22 ± 1 </w:t>
      </w:r>
      <w:r w:rsidR="00BD2247" w:rsidRPr="009E2C37">
        <w:rPr>
          <w:rFonts w:cstheme="minorHAnsi"/>
          <w:vertAlign w:val="superscript"/>
        </w:rPr>
        <w:t>o</w:t>
      </w:r>
      <w:r w:rsidR="00BD2247" w:rsidRPr="009E2C37">
        <w:rPr>
          <w:rFonts w:cstheme="minorHAnsi"/>
        </w:rPr>
        <w:t>C</w:t>
      </w:r>
      <w:r w:rsidR="009773D6" w:rsidRPr="009E2C37">
        <w:rPr>
          <w:rFonts w:cstheme="minorHAnsi"/>
        </w:rPr>
        <w:t xml:space="preserve"> </w:t>
      </w:r>
      <w:r w:rsidR="0077473F" w:rsidRPr="009E2C37">
        <w:rPr>
          <w:rFonts w:cstheme="minorHAnsi"/>
        </w:rPr>
        <w:t>5</w:t>
      </w:r>
      <w:r w:rsidR="00021984" w:rsidRPr="009E2C37">
        <w:rPr>
          <w:rFonts w:cstheme="minorHAnsi"/>
        </w:rPr>
        <w:t>5</w:t>
      </w:r>
      <w:r w:rsidR="0077473F" w:rsidRPr="009E2C37">
        <w:rPr>
          <w:rFonts w:cstheme="minorHAnsi"/>
        </w:rPr>
        <w:t xml:space="preserve">% ± </w:t>
      </w:r>
      <w:r w:rsidR="00EB4814" w:rsidRPr="009E2C37">
        <w:rPr>
          <w:rFonts w:cstheme="minorHAnsi"/>
        </w:rPr>
        <w:t>5%</w:t>
      </w:r>
      <w:r w:rsidR="009773D6" w:rsidRPr="009E2C37">
        <w:rPr>
          <w:rFonts w:cstheme="minorHAnsi"/>
        </w:rPr>
        <w:t xml:space="preserve"> RH</w:t>
      </w:r>
      <w:r w:rsidR="0077473F" w:rsidRPr="009E2C37">
        <w:rPr>
          <w:rFonts w:cstheme="minorHAnsi"/>
        </w:rPr>
        <w:t>)</w:t>
      </w:r>
      <w:r w:rsidR="00EB4814" w:rsidRPr="009E2C37">
        <w:rPr>
          <w:rFonts w:cstheme="minorHAnsi"/>
        </w:rPr>
        <w:t>.</w:t>
      </w:r>
      <w:r w:rsidR="00021984" w:rsidRPr="009E2C37">
        <w:rPr>
          <w:rFonts w:cstheme="minorHAnsi"/>
        </w:rPr>
        <w:t xml:space="preserve"> </w:t>
      </w:r>
      <w:r w:rsidR="00EB4814" w:rsidRPr="009E2C37">
        <w:rPr>
          <w:rFonts w:cstheme="minorHAnsi"/>
        </w:rPr>
        <w:t xml:space="preserve">One transfer trial consisted of </w:t>
      </w:r>
      <w:r w:rsidR="00375456" w:rsidRPr="009E2C37">
        <w:rPr>
          <w:rFonts w:cstheme="minorHAnsi"/>
        </w:rPr>
        <w:t xml:space="preserve">six </w:t>
      </w:r>
      <w:r w:rsidR="00EB4814" w:rsidRPr="009E2C37">
        <w:rPr>
          <w:rFonts w:cstheme="minorHAnsi"/>
        </w:rPr>
        <w:t>transfer events using the index, middle, and ring fingers of</w:t>
      </w:r>
      <w:r w:rsidR="00375456" w:rsidRPr="009E2C37">
        <w:rPr>
          <w:rFonts w:cstheme="minorHAnsi"/>
        </w:rPr>
        <w:t xml:space="preserve"> both</w:t>
      </w:r>
      <w:r w:rsidR="0077473F" w:rsidRPr="009E2C37">
        <w:rPr>
          <w:rFonts w:cstheme="minorHAnsi"/>
        </w:rPr>
        <w:t xml:space="preserve"> hand</w:t>
      </w:r>
      <w:r w:rsidR="00375456" w:rsidRPr="009E2C37">
        <w:rPr>
          <w:rFonts w:cstheme="minorHAnsi"/>
        </w:rPr>
        <w:t>s</w:t>
      </w:r>
      <w:r w:rsidR="0077473F" w:rsidRPr="009E2C37">
        <w:rPr>
          <w:rFonts w:cstheme="minorHAnsi"/>
        </w:rPr>
        <w:t xml:space="preserve"> </w:t>
      </w:r>
      <w:r w:rsidR="00EB4814" w:rsidRPr="009E2C37">
        <w:rPr>
          <w:rFonts w:cstheme="minorHAnsi"/>
        </w:rPr>
        <w:t xml:space="preserve">for each surface type. </w:t>
      </w:r>
      <w:r w:rsidR="0077473F" w:rsidRPr="009E2C37">
        <w:rPr>
          <w:rFonts w:cstheme="minorHAnsi"/>
        </w:rPr>
        <w:t>The</w:t>
      </w:r>
      <w:r w:rsidR="00742D2D" w:rsidRPr="009E2C37">
        <w:rPr>
          <w:rFonts w:cstheme="minorHAnsi"/>
        </w:rPr>
        <w:t xml:space="preserve"> </w:t>
      </w:r>
      <w:r w:rsidR="0077473F" w:rsidRPr="009E2C37">
        <w:rPr>
          <w:rFonts w:cstheme="minorHAnsi"/>
        </w:rPr>
        <w:t>transfer</w:t>
      </w:r>
      <w:r w:rsidR="00EB4814" w:rsidRPr="009E2C37">
        <w:rPr>
          <w:rFonts w:cstheme="minorHAnsi"/>
        </w:rPr>
        <w:t xml:space="preserve"> protocol </w:t>
      </w:r>
      <w:r w:rsidR="0077473F" w:rsidRPr="009E2C37">
        <w:rPr>
          <w:rFonts w:cstheme="minorHAnsi"/>
        </w:rPr>
        <w:t xml:space="preserve">was conducted according to </w:t>
      </w:r>
      <w:r w:rsidR="002F1D1A" w:rsidRPr="009E2C37">
        <w:rPr>
          <w:rFonts w:cstheme="minorHAnsi"/>
        </w:rPr>
        <w:t>Lopez</w:t>
      </w:r>
      <w:r w:rsidR="00EB4814" w:rsidRPr="009E2C37">
        <w:rPr>
          <w:rFonts w:cstheme="minorHAnsi"/>
        </w:rPr>
        <w:t xml:space="preserve"> et al.</w:t>
      </w:r>
      <w:r w:rsidR="003A1ED1" w:rsidRPr="009E2C37">
        <w:rPr>
          <w:rStyle w:val="EndnoteReference"/>
          <w:rFonts w:cstheme="minorHAnsi"/>
        </w:rPr>
        <w:t>4</w:t>
      </w:r>
      <w:r w:rsidR="00680F70" w:rsidRPr="009E2C37">
        <w:rPr>
          <w:rFonts w:cstheme="minorHAnsi"/>
        </w:rPr>
        <w:t xml:space="preserve"> </w:t>
      </w:r>
      <w:r w:rsidR="00EB4814" w:rsidRPr="009E2C37">
        <w:rPr>
          <w:rFonts w:cstheme="minorHAnsi"/>
        </w:rPr>
        <w:t>by placing the finger</w:t>
      </w:r>
      <w:r w:rsidR="00435EA8" w:rsidRPr="009E2C37">
        <w:rPr>
          <w:rFonts w:cstheme="minorHAnsi"/>
        </w:rPr>
        <w:t xml:space="preserve"> pad </w:t>
      </w:r>
      <w:r w:rsidR="00680F70" w:rsidRPr="009E2C37">
        <w:rPr>
          <w:rFonts w:cstheme="minorHAnsi"/>
        </w:rPr>
        <w:t xml:space="preserve">directly </w:t>
      </w:r>
      <w:r w:rsidR="00435EA8" w:rsidRPr="009E2C37">
        <w:rPr>
          <w:rFonts w:cstheme="minorHAnsi"/>
        </w:rPr>
        <w:t>onto the contaminated carrier, achieving full contact with the 1-cm</w:t>
      </w:r>
      <w:r w:rsidR="00435EA8" w:rsidRPr="009E2C37">
        <w:rPr>
          <w:rFonts w:cstheme="minorHAnsi"/>
          <w:vertAlign w:val="superscript"/>
        </w:rPr>
        <w:t>2</w:t>
      </w:r>
      <w:r w:rsidR="00435EA8" w:rsidRPr="009E2C37">
        <w:rPr>
          <w:rFonts w:cstheme="minorHAnsi"/>
        </w:rPr>
        <w:t xml:space="preserve"> i</w:t>
      </w:r>
      <w:r w:rsidR="00EB4814" w:rsidRPr="009E2C37">
        <w:rPr>
          <w:rFonts w:cstheme="minorHAnsi"/>
        </w:rPr>
        <w:t>nocu</w:t>
      </w:r>
      <w:r w:rsidR="00435EA8" w:rsidRPr="009E2C37">
        <w:rPr>
          <w:rFonts w:cstheme="minorHAnsi"/>
        </w:rPr>
        <w:t xml:space="preserve">lum zone for 10 seconds at </w:t>
      </w:r>
      <w:r w:rsidR="00EB4814" w:rsidRPr="009E2C37">
        <w:rPr>
          <w:rFonts w:cstheme="minorHAnsi"/>
        </w:rPr>
        <w:t>1.0 kg/cm</w:t>
      </w:r>
      <w:r w:rsidR="00EB4814" w:rsidRPr="009E2C37">
        <w:rPr>
          <w:rFonts w:cstheme="minorHAnsi"/>
          <w:vertAlign w:val="superscript"/>
        </w:rPr>
        <w:t>2</w:t>
      </w:r>
      <w:r w:rsidR="00435EA8" w:rsidRPr="009E2C37">
        <w:rPr>
          <w:rFonts w:cstheme="minorHAnsi"/>
          <w:vertAlign w:val="superscript"/>
        </w:rPr>
        <w:t xml:space="preserve"> </w:t>
      </w:r>
      <w:r w:rsidR="00EB4814" w:rsidRPr="009E2C37">
        <w:rPr>
          <w:rFonts w:cstheme="minorHAnsi"/>
        </w:rPr>
        <w:t>of average pressure (range, 900 g/cm</w:t>
      </w:r>
      <w:r w:rsidR="00EB4814" w:rsidRPr="009E2C37">
        <w:rPr>
          <w:rFonts w:cstheme="minorHAnsi"/>
          <w:vertAlign w:val="superscript"/>
        </w:rPr>
        <w:t xml:space="preserve">2 </w:t>
      </w:r>
      <w:r w:rsidR="00EB4814" w:rsidRPr="009E2C37">
        <w:rPr>
          <w:rFonts w:cstheme="minorHAnsi"/>
        </w:rPr>
        <w:t>to 1,200 g/cm</w:t>
      </w:r>
      <w:r w:rsidR="00EB4814" w:rsidRPr="009E2C37">
        <w:rPr>
          <w:rFonts w:cstheme="minorHAnsi"/>
          <w:vertAlign w:val="superscript"/>
        </w:rPr>
        <w:t>2</w:t>
      </w:r>
      <w:r w:rsidR="002F1D1A" w:rsidRPr="009E2C37">
        <w:rPr>
          <w:rFonts w:cstheme="minorHAnsi"/>
        </w:rPr>
        <w:t>).</w:t>
      </w:r>
      <w:r w:rsidR="00EB4814" w:rsidRPr="009E2C37">
        <w:rPr>
          <w:rFonts w:cstheme="minorHAnsi"/>
        </w:rPr>
        <w:t xml:space="preserve"> </w:t>
      </w:r>
    </w:p>
    <w:p w14:paraId="7382A3DE" w14:textId="0B9C85A8" w:rsidR="009E2C37" w:rsidRDefault="009673BE" w:rsidP="009E2C37">
      <w:pPr>
        <w:spacing w:after="0" w:line="480" w:lineRule="auto"/>
        <w:rPr>
          <w:rFonts w:cstheme="minorHAnsi"/>
        </w:rPr>
      </w:pPr>
      <w:r w:rsidRPr="009E2C37">
        <w:rPr>
          <w:rFonts w:cstheme="minorHAnsi"/>
          <w:b/>
          <w:bCs/>
        </w:rPr>
        <w:t>Finger sampling</w:t>
      </w:r>
      <w:r w:rsidRPr="009E2C37">
        <w:rPr>
          <w:rFonts w:cstheme="minorHAnsi"/>
        </w:rPr>
        <w:t xml:space="preserve"> </w:t>
      </w:r>
    </w:p>
    <w:p w14:paraId="7F004F69" w14:textId="086A0B6B" w:rsidR="001A2B28" w:rsidRPr="009E2C37" w:rsidRDefault="008B7DEF" w:rsidP="007745B3">
      <w:pPr>
        <w:spacing w:after="0" w:line="480" w:lineRule="auto"/>
        <w:ind w:firstLine="720"/>
        <w:rPr>
          <w:rFonts w:cstheme="minorHAnsi"/>
          <w:b/>
          <w:bCs/>
        </w:rPr>
      </w:pPr>
      <w:r w:rsidRPr="009E2C37">
        <w:rPr>
          <w:rFonts w:cstheme="minorHAnsi"/>
        </w:rPr>
        <w:lastRenderedPageBreak/>
        <w:t xml:space="preserve">HCoV 229E was </w:t>
      </w:r>
      <w:r w:rsidR="00A5608F" w:rsidRPr="009E2C37">
        <w:rPr>
          <w:rFonts w:cstheme="minorHAnsi"/>
        </w:rPr>
        <w:t xml:space="preserve">initially </w:t>
      </w:r>
      <w:r w:rsidRPr="009E2C37">
        <w:rPr>
          <w:rFonts w:cstheme="minorHAnsi"/>
        </w:rPr>
        <w:t xml:space="preserve">recovered from contaminated finger pads </w:t>
      </w:r>
      <w:r w:rsidR="00A5608F" w:rsidRPr="009E2C37">
        <w:rPr>
          <w:rFonts w:cstheme="minorHAnsi"/>
        </w:rPr>
        <w:t>using the nylon swab method described by Rusin et al.</w:t>
      </w:r>
      <w:r w:rsidR="00CB1533" w:rsidRPr="009E2C37">
        <w:rPr>
          <w:rStyle w:val="EndnoteReference"/>
          <w:rFonts w:cstheme="minorHAnsi"/>
        </w:rPr>
        <w:endnoteReference w:id="5"/>
      </w:r>
      <w:r w:rsidR="00C724C4" w:rsidRPr="009E2C37">
        <w:rPr>
          <w:rFonts w:cstheme="minorHAnsi"/>
        </w:rPr>
        <w:t xml:space="preserve">; however, </w:t>
      </w:r>
      <w:r w:rsidR="00021EFB" w:rsidRPr="009E2C37">
        <w:rPr>
          <w:rFonts w:cstheme="minorHAnsi"/>
        </w:rPr>
        <w:t xml:space="preserve">low </w:t>
      </w:r>
      <w:r w:rsidR="00C724C4" w:rsidRPr="009E2C37">
        <w:rPr>
          <w:rFonts w:cstheme="minorHAnsi"/>
        </w:rPr>
        <w:t xml:space="preserve">viral </w:t>
      </w:r>
      <w:r w:rsidR="00021EFB" w:rsidRPr="009E2C37">
        <w:rPr>
          <w:rFonts w:cstheme="minorHAnsi"/>
        </w:rPr>
        <w:t>recoveries</w:t>
      </w:r>
      <w:r w:rsidR="001A2B28" w:rsidRPr="009E2C37">
        <w:rPr>
          <w:rFonts w:cstheme="minorHAnsi"/>
        </w:rPr>
        <w:t xml:space="preserve"> </w:t>
      </w:r>
      <w:r w:rsidR="00C724C4" w:rsidRPr="009E2C37">
        <w:rPr>
          <w:rFonts w:cstheme="minorHAnsi"/>
        </w:rPr>
        <w:t>were achieved</w:t>
      </w:r>
      <w:r w:rsidR="00A5608F" w:rsidRPr="009E2C37">
        <w:rPr>
          <w:rFonts w:cstheme="minorHAnsi"/>
        </w:rPr>
        <w:t xml:space="preserve">. An alternative </w:t>
      </w:r>
      <w:r w:rsidR="00021EFB" w:rsidRPr="009E2C37">
        <w:rPr>
          <w:rFonts w:cstheme="minorHAnsi"/>
        </w:rPr>
        <w:t xml:space="preserve">method was </w:t>
      </w:r>
      <w:r w:rsidR="00C724C4" w:rsidRPr="009E2C37">
        <w:rPr>
          <w:rFonts w:cstheme="minorHAnsi"/>
        </w:rPr>
        <w:t xml:space="preserve">then </w:t>
      </w:r>
      <w:r w:rsidR="00021EFB" w:rsidRPr="009E2C37">
        <w:rPr>
          <w:rFonts w:cstheme="minorHAnsi"/>
        </w:rPr>
        <w:t>employed during which the contaminated finger pads were</w:t>
      </w:r>
      <w:r w:rsidRPr="009E2C37">
        <w:rPr>
          <w:rFonts w:cstheme="minorHAnsi"/>
        </w:rPr>
        <w:t xml:space="preserve"> </w:t>
      </w:r>
      <w:r w:rsidR="00C724C4" w:rsidRPr="009E2C37">
        <w:rPr>
          <w:rFonts w:cstheme="minorHAnsi"/>
        </w:rPr>
        <w:t xml:space="preserve">washed in </w:t>
      </w:r>
      <w:r w:rsidR="004051AB" w:rsidRPr="009E2C37">
        <w:rPr>
          <w:rFonts w:cstheme="minorHAnsi"/>
        </w:rPr>
        <w:t xml:space="preserve">1 mL of </w:t>
      </w:r>
      <w:r w:rsidRPr="009E2C37">
        <w:rPr>
          <w:rFonts w:cstheme="minorHAnsi"/>
        </w:rPr>
        <w:t xml:space="preserve">0% FBS </w:t>
      </w:r>
      <w:r w:rsidR="00157B40" w:rsidRPr="009E2C37">
        <w:rPr>
          <w:rFonts w:cstheme="minorHAnsi"/>
        </w:rPr>
        <w:t>MEM</w:t>
      </w:r>
      <w:r w:rsidR="00C724C4" w:rsidRPr="009E2C37">
        <w:rPr>
          <w:rFonts w:cstheme="minorHAnsi"/>
        </w:rPr>
        <w:t xml:space="preserve"> </w:t>
      </w:r>
      <w:r w:rsidR="00C06244" w:rsidRPr="00097C9D">
        <w:rPr>
          <w:rFonts w:cstheme="minorHAnsi"/>
          <w:color w:val="FF0000"/>
        </w:rPr>
        <w:t>w</w:t>
      </w:r>
      <w:r w:rsidR="00097C9D" w:rsidRPr="00097C9D">
        <w:rPr>
          <w:rFonts w:cstheme="minorHAnsi"/>
          <w:color w:val="FF0000"/>
        </w:rPr>
        <w:t xml:space="preserve">ith </w:t>
      </w:r>
      <w:r w:rsidRPr="009E2C37">
        <w:rPr>
          <w:rFonts w:cstheme="minorHAnsi"/>
        </w:rPr>
        <w:t>antibiotics</w:t>
      </w:r>
      <w:r w:rsidR="00157B40" w:rsidRPr="009E2C37">
        <w:rPr>
          <w:rFonts w:cstheme="minorHAnsi"/>
        </w:rPr>
        <w:t xml:space="preserve"> </w:t>
      </w:r>
      <w:r w:rsidRPr="009E2C37">
        <w:rPr>
          <w:rFonts w:cstheme="minorHAnsi"/>
        </w:rPr>
        <w:t xml:space="preserve">within a sterile Petri dish. </w:t>
      </w:r>
      <w:r w:rsidR="00021EFB" w:rsidRPr="009E2C37">
        <w:rPr>
          <w:rFonts w:cstheme="minorHAnsi"/>
        </w:rPr>
        <w:t>The f</w:t>
      </w:r>
      <w:r w:rsidR="00371E83" w:rsidRPr="009E2C37">
        <w:rPr>
          <w:rFonts w:cstheme="minorHAnsi"/>
        </w:rPr>
        <w:t>inger</w:t>
      </w:r>
      <w:r w:rsidRPr="009E2C37">
        <w:rPr>
          <w:rFonts w:cstheme="minorHAnsi"/>
        </w:rPr>
        <w:t xml:space="preserve"> pads were</w:t>
      </w:r>
      <w:r w:rsidR="001037C5" w:rsidRPr="009E2C37">
        <w:rPr>
          <w:rFonts w:cstheme="minorHAnsi"/>
        </w:rPr>
        <w:t xml:space="preserve"> rubbed in</w:t>
      </w:r>
      <w:r w:rsidRPr="009E2C37">
        <w:rPr>
          <w:rFonts w:cstheme="minorHAnsi"/>
        </w:rPr>
        <w:t>to</w:t>
      </w:r>
      <w:r w:rsidR="001037C5" w:rsidRPr="009E2C37">
        <w:rPr>
          <w:rFonts w:cstheme="minorHAnsi"/>
        </w:rPr>
        <w:t xml:space="preserve"> the liquid for 10 seconds</w:t>
      </w:r>
      <w:r w:rsidRPr="009E2C37">
        <w:rPr>
          <w:rFonts w:cstheme="minorHAnsi"/>
        </w:rPr>
        <w:t xml:space="preserve"> to facilitate viral remova</w:t>
      </w:r>
      <w:r w:rsidR="00021EFB" w:rsidRPr="009E2C37">
        <w:rPr>
          <w:rFonts w:cstheme="minorHAnsi"/>
        </w:rPr>
        <w:t>l, and the</w:t>
      </w:r>
      <w:r w:rsidR="000A319B" w:rsidRPr="009E2C37">
        <w:rPr>
          <w:rFonts w:cstheme="minorHAnsi"/>
        </w:rPr>
        <w:t xml:space="preserve"> suspensions </w:t>
      </w:r>
      <w:r w:rsidR="00021EFB" w:rsidRPr="009E2C37">
        <w:rPr>
          <w:rFonts w:cstheme="minorHAnsi"/>
        </w:rPr>
        <w:t xml:space="preserve">were </w:t>
      </w:r>
      <w:r w:rsidR="000A319B" w:rsidRPr="009E2C37">
        <w:rPr>
          <w:rFonts w:cstheme="minorHAnsi"/>
        </w:rPr>
        <w:t>dilut</w:t>
      </w:r>
      <w:r w:rsidR="00021EFB" w:rsidRPr="009E2C37">
        <w:rPr>
          <w:rFonts w:cstheme="minorHAnsi"/>
        </w:rPr>
        <w:t xml:space="preserve">ed </w:t>
      </w:r>
      <w:r w:rsidR="00C724C4" w:rsidRPr="009E2C37">
        <w:rPr>
          <w:rFonts w:cstheme="minorHAnsi"/>
        </w:rPr>
        <w:t>(</w:t>
      </w:r>
      <w:r w:rsidR="00021EFB" w:rsidRPr="009E2C37">
        <w:rPr>
          <w:rFonts w:cstheme="minorHAnsi"/>
        </w:rPr>
        <w:t>1:10</w:t>
      </w:r>
      <w:r w:rsidR="00C724C4" w:rsidRPr="009E2C37">
        <w:rPr>
          <w:rFonts w:cstheme="minorHAnsi"/>
        </w:rPr>
        <w:t>)</w:t>
      </w:r>
      <w:r w:rsidR="00021EFB" w:rsidRPr="009E2C37">
        <w:rPr>
          <w:rFonts w:cstheme="minorHAnsi"/>
        </w:rPr>
        <w:t xml:space="preserve"> using</w:t>
      </w:r>
      <w:r w:rsidR="00A5608F" w:rsidRPr="009E2C37">
        <w:rPr>
          <w:rFonts w:cstheme="minorHAnsi"/>
        </w:rPr>
        <w:t xml:space="preserve"> </w:t>
      </w:r>
      <w:r w:rsidR="000A319B" w:rsidRPr="009E2C37">
        <w:rPr>
          <w:rFonts w:cstheme="minorHAnsi"/>
        </w:rPr>
        <w:t>0% FBS MEM</w:t>
      </w:r>
      <w:r w:rsidR="00A5608F" w:rsidRPr="009E2C37">
        <w:rPr>
          <w:rFonts w:cstheme="minorHAnsi"/>
        </w:rPr>
        <w:t xml:space="preserve"> </w:t>
      </w:r>
      <w:r w:rsidR="00A5608F" w:rsidRPr="00097C9D">
        <w:rPr>
          <w:rFonts w:cstheme="minorHAnsi"/>
          <w:color w:val="FF0000"/>
        </w:rPr>
        <w:t>w</w:t>
      </w:r>
      <w:r w:rsidR="00097C9D" w:rsidRPr="00097C9D">
        <w:rPr>
          <w:rFonts w:cstheme="minorHAnsi"/>
          <w:color w:val="FF0000"/>
        </w:rPr>
        <w:t>ith</w:t>
      </w:r>
      <w:r w:rsidR="00A5608F" w:rsidRPr="009E2C37">
        <w:rPr>
          <w:rFonts w:cstheme="minorHAnsi"/>
        </w:rPr>
        <w:t xml:space="preserve"> antibiotics</w:t>
      </w:r>
      <w:r w:rsidR="000A319B" w:rsidRPr="009E2C37">
        <w:rPr>
          <w:rFonts w:cstheme="minorHAnsi"/>
        </w:rPr>
        <w:t xml:space="preserve">.  </w:t>
      </w:r>
      <w:r w:rsidR="004051AB" w:rsidRPr="009E2C37">
        <w:rPr>
          <w:rFonts w:cstheme="minorHAnsi"/>
        </w:rPr>
        <w:t>Dilutions and plating onto confluent MRC-5 host cell monolayers followed as previously described.</w:t>
      </w:r>
    </w:p>
    <w:p w14:paraId="75F77176" w14:textId="77777777" w:rsidR="00866D2C" w:rsidRPr="009E2C37" w:rsidRDefault="00866D2C" w:rsidP="009E2C37">
      <w:pPr>
        <w:spacing w:after="0" w:line="480" w:lineRule="auto"/>
        <w:rPr>
          <w:rFonts w:cstheme="minorHAnsi"/>
          <w:b/>
          <w:bCs/>
        </w:rPr>
      </w:pPr>
    </w:p>
    <w:p w14:paraId="59D4AEE3" w14:textId="746F8969" w:rsidR="009673BE" w:rsidRPr="009E2C37" w:rsidRDefault="00251B52" w:rsidP="009E2C37">
      <w:pPr>
        <w:spacing w:after="0" w:line="480" w:lineRule="auto"/>
        <w:rPr>
          <w:rFonts w:cstheme="minorHAnsi"/>
          <w:b/>
          <w:bCs/>
        </w:rPr>
      </w:pPr>
      <w:r w:rsidRPr="009E2C37">
        <w:rPr>
          <w:rFonts w:cstheme="minorHAnsi"/>
          <w:b/>
          <w:bCs/>
        </w:rPr>
        <w:t>Results</w:t>
      </w:r>
    </w:p>
    <w:p w14:paraId="62675C57" w14:textId="46B96C8F" w:rsidR="00D77371" w:rsidRPr="009E2C37" w:rsidRDefault="00881818" w:rsidP="007745B3">
      <w:pPr>
        <w:spacing w:after="0" w:line="480" w:lineRule="auto"/>
        <w:ind w:firstLine="720"/>
        <w:rPr>
          <w:rFonts w:cstheme="minorHAnsi"/>
        </w:rPr>
      </w:pPr>
      <w:r w:rsidRPr="009E2C37">
        <w:rPr>
          <w:rFonts w:cstheme="minorHAnsi"/>
        </w:rPr>
        <w:t xml:space="preserve">The swab method for </w:t>
      </w:r>
      <w:r w:rsidR="00251B52" w:rsidRPr="009E2C37">
        <w:rPr>
          <w:rFonts w:cstheme="minorHAnsi"/>
        </w:rPr>
        <w:t xml:space="preserve">sampling </w:t>
      </w:r>
      <w:r w:rsidRPr="009E2C37">
        <w:rPr>
          <w:rFonts w:cstheme="minorHAnsi"/>
        </w:rPr>
        <w:t xml:space="preserve">HCoV 229E </w:t>
      </w:r>
      <w:r w:rsidR="00C724C4" w:rsidRPr="009E2C37">
        <w:rPr>
          <w:rFonts w:cstheme="minorHAnsi"/>
        </w:rPr>
        <w:t xml:space="preserve">transferred to the finger pads </w:t>
      </w:r>
      <w:r w:rsidR="00251B52" w:rsidRPr="009E2C37">
        <w:rPr>
          <w:rFonts w:cstheme="minorHAnsi"/>
        </w:rPr>
        <w:t xml:space="preserve">yielded lower numbers than </w:t>
      </w:r>
      <w:r w:rsidRPr="009E2C37">
        <w:rPr>
          <w:rFonts w:cstheme="minorHAnsi"/>
        </w:rPr>
        <w:t>directly</w:t>
      </w:r>
      <w:r w:rsidR="00251B52" w:rsidRPr="009E2C37">
        <w:rPr>
          <w:rFonts w:cstheme="minorHAnsi"/>
        </w:rPr>
        <w:t xml:space="preserve"> rubbing the fingers in</w:t>
      </w:r>
      <w:r w:rsidRPr="009E2C37">
        <w:rPr>
          <w:rFonts w:cstheme="minorHAnsi"/>
        </w:rPr>
        <w:t>to 1 mL of 0%</w:t>
      </w:r>
      <w:r w:rsidR="00251B52" w:rsidRPr="009E2C37">
        <w:rPr>
          <w:rFonts w:cstheme="minorHAnsi"/>
        </w:rPr>
        <w:t xml:space="preserve"> MEM</w:t>
      </w:r>
      <w:r w:rsidR="00E7247E" w:rsidRPr="009E2C37">
        <w:rPr>
          <w:rFonts w:cstheme="minorHAnsi"/>
        </w:rPr>
        <w:t xml:space="preserve"> </w:t>
      </w:r>
      <w:r w:rsidRPr="009E2C37">
        <w:rPr>
          <w:rFonts w:cstheme="minorHAnsi"/>
        </w:rPr>
        <w:t>w</w:t>
      </w:r>
      <w:r w:rsidR="00097C9D">
        <w:rPr>
          <w:rFonts w:cstheme="minorHAnsi"/>
        </w:rPr>
        <w:t>ith</w:t>
      </w:r>
      <w:r w:rsidRPr="009E2C37">
        <w:rPr>
          <w:rFonts w:cstheme="minorHAnsi"/>
        </w:rPr>
        <w:t xml:space="preserve"> antibiotics </w:t>
      </w:r>
      <w:r w:rsidR="00E7247E" w:rsidRPr="009E2C37">
        <w:rPr>
          <w:rFonts w:cstheme="minorHAnsi"/>
        </w:rPr>
        <w:t>(</w:t>
      </w:r>
      <w:r w:rsidR="00E7247E" w:rsidRPr="003328E0">
        <w:rPr>
          <w:rFonts w:cstheme="minorHAnsi"/>
          <w:color w:val="FF0000"/>
        </w:rPr>
        <w:t xml:space="preserve">Table </w:t>
      </w:r>
      <w:r w:rsidR="003328E0" w:rsidRPr="003328E0">
        <w:rPr>
          <w:rFonts w:cstheme="minorHAnsi"/>
          <w:color w:val="FF0000"/>
        </w:rPr>
        <w:t>2</w:t>
      </w:r>
      <w:r w:rsidR="00E7247E" w:rsidRPr="009E2C37">
        <w:rPr>
          <w:rFonts w:cstheme="minorHAnsi"/>
        </w:rPr>
        <w:t>)</w:t>
      </w:r>
      <w:r w:rsidR="00251B52" w:rsidRPr="009E2C37">
        <w:rPr>
          <w:rFonts w:cstheme="minorHAnsi"/>
        </w:rPr>
        <w:t>.</w:t>
      </w:r>
      <w:r w:rsidR="00E7247E" w:rsidRPr="009E2C37">
        <w:rPr>
          <w:rFonts w:cstheme="minorHAnsi"/>
        </w:rPr>
        <w:t xml:space="preserve"> </w:t>
      </w:r>
      <w:r w:rsidRPr="009E2C37">
        <w:rPr>
          <w:rFonts w:cstheme="minorHAnsi"/>
        </w:rPr>
        <w:t>Overall, t</w:t>
      </w:r>
      <w:r w:rsidR="00E7247E" w:rsidRPr="009E2C37">
        <w:rPr>
          <w:rFonts w:cstheme="minorHAnsi"/>
        </w:rPr>
        <w:t xml:space="preserve">he </w:t>
      </w:r>
      <w:r w:rsidRPr="009E2C37">
        <w:rPr>
          <w:rFonts w:cstheme="minorHAnsi"/>
        </w:rPr>
        <w:t>highest numbers</w:t>
      </w:r>
      <w:r w:rsidR="00E7247E" w:rsidRPr="009E2C37">
        <w:rPr>
          <w:rFonts w:cstheme="minorHAnsi"/>
        </w:rPr>
        <w:t xml:space="preserve"> of </w:t>
      </w:r>
      <w:r w:rsidRPr="009E2C37">
        <w:rPr>
          <w:rFonts w:cstheme="minorHAnsi"/>
        </w:rPr>
        <w:t>HCoV 229E</w:t>
      </w:r>
      <w:r w:rsidR="00156B9D" w:rsidRPr="009E2C37">
        <w:rPr>
          <w:rFonts w:cstheme="minorHAnsi"/>
        </w:rPr>
        <w:t xml:space="preserve"> w</w:t>
      </w:r>
      <w:r w:rsidRPr="009E2C37">
        <w:rPr>
          <w:rFonts w:cstheme="minorHAnsi"/>
        </w:rPr>
        <w:t>ere transferred</w:t>
      </w:r>
      <w:r w:rsidR="00156B9D" w:rsidRPr="009E2C37">
        <w:rPr>
          <w:rFonts w:cstheme="minorHAnsi"/>
        </w:rPr>
        <w:t xml:space="preserve"> from glazed porcelain </w:t>
      </w:r>
      <w:r w:rsidR="0033545D" w:rsidRPr="0033545D">
        <w:rPr>
          <w:rFonts w:cstheme="minorHAnsi"/>
          <w:color w:val="FF0000"/>
        </w:rPr>
        <w:t xml:space="preserve">(49.07%) </w:t>
      </w:r>
      <w:r w:rsidRPr="009E2C37">
        <w:rPr>
          <w:rFonts w:cstheme="minorHAnsi"/>
        </w:rPr>
        <w:t xml:space="preserve">to the finger pads </w:t>
      </w:r>
      <w:r w:rsidR="00021EFB" w:rsidRPr="009E2C37">
        <w:rPr>
          <w:rFonts w:cstheme="minorHAnsi"/>
        </w:rPr>
        <w:t xml:space="preserve">compared to </w:t>
      </w:r>
      <w:r w:rsidR="00156B9D" w:rsidRPr="009E2C37">
        <w:rPr>
          <w:rFonts w:cstheme="minorHAnsi"/>
        </w:rPr>
        <w:t>stainless steel</w:t>
      </w:r>
      <w:r w:rsidR="0033545D">
        <w:rPr>
          <w:rFonts w:cstheme="minorHAnsi"/>
        </w:rPr>
        <w:t xml:space="preserve"> </w:t>
      </w:r>
      <w:r w:rsidR="0033545D" w:rsidRPr="0033545D">
        <w:rPr>
          <w:rFonts w:cstheme="minorHAnsi"/>
          <w:color w:val="FF0000"/>
        </w:rPr>
        <w:t>(&lt;1%)</w:t>
      </w:r>
      <w:r w:rsidRPr="009E2C37">
        <w:rPr>
          <w:rFonts w:cstheme="minorHAnsi"/>
        </w:rPr>
        <w:t>, which demonstrated the lowest mean transfer efficiency</w:t>
      </w:r>
      <w:r w:rsidR="00156B9D" w:rsidRPr="009E2C37">
        <w:rPr>
          <w:rFonts w:cstheme="minorHAnsi"/>
        </w:rPr>
        <w:t xml:space="preserve"> </w:t>
      </w:r>
      <w:r w:rsidR="00021EFB" w:rsidRPr="009E2C37">
        <w:rPr>
          <w:rFonts w:cstheme="minorHAnsi"/>
        </w:rPr>
        <w:t xml:space="preserve">of HCoV 229E </w:t>
      </w:r>
      <w:r w:rsidR="00156B9D" w:rsidRPr="009E2C37">
        <w:rPr>
          <w:rFonts w:cstheme="minorHAnsi"/>
        </w:rPr>
        <w:t xml:space="preserve">(Table </w:t>
      </w:r>
      <w:r w:rsidRPr="009E2C37">
        <w:rPr>
          <w:rFonts w:cstheme="minorHAnsi"/>
        </w:rPr>
        <w:t>2</w:t>
      </w:r>
      <w:r w:rsidR="00156B9D" w:rsidRPr="009E2C37">
        <w:rPr>
          <w:rFonts w:cstheme="minorHAnsi"/>
        </w:rPr>
        <w:t xml:space="preserve">). </w:t>
      </w:r>
    </w:p>
    <w:p w14:paraId="7C15F278" w14:textId="77777777" w:rsidR="00291639" w:rsidRDefault="00291639" w:rsidP="009E2C37">
      <w:pPr>
        <w:rPr>
          <w:rFonts w:cstheme="minorHAnsi"/>
          <w:b/>
          <w:bCs/>
        </w:rPr>
      </w:pPr>
    </w:p>
    <w:p w14:paraId="254ED38E" w14:textId="0EC02346" w:rsidR="009E2C37" w:rsidRPr="009E2C37" w:rsidRDefault="009E2C37" w:rsidP="009E2C37">
      <w:pPr>
        <w:rPr>
          <w:rFonts w:cstheme="minorHAnsi"/>
          <w:b/>
          <w:bCs/>
        </w:rPr>
      </w:pPr>
      <w:r w:rsidRPr="009E2C37">
        <w:rPr>
          <w:rFonts w:cstheme="minorHAnsi"/>
          <w:b/>
          <w:bCs/>
        </w:rPr>
        <w:t>Discussion</w:t>
      </w:r>
    </w:p>
    <w:p w14:paraId="5C16B6E4" w14:textId="326952F1" w:rsidR="009E2C37" w:rsidRPr="009E2C37" w:rsidRDefault="009E2C37" w:rsidP="007745B3">
      <w:pPr>
        <w:spacing w:after="0" w:line="480" w:lineRule="auto"/>
        <w:ind w:firstLine="720"/>
        <w:rPr>
          <w:rFonts w:cstheme="minorHAnsi"/>
        </w:rPr>
      </w:pPr>
      <w:r w:rsidRPr="009E2C37">
        <w:rPr>
          <w:rFonts w:cstheme="minorHAnsi"/>
        </w:rPr>
        <w:t xml:space="preserve">Fomite-to-finger pad transfer data has been published for non-enveloped viruses; however, it cannot be extrapolated to enveloped viruses due to differences in viral structure and methodologies. The transfer efficiencies presented herein for HCoV 229E are </w:t>
      </w:r>
      <w:proofErr w:type="gramStart"/>
      <w:r w:rsidRPr="009E2C37">
        <w:rPr>
          <w:rFonts w:cstheme="minorHAnsi"/>
        </w:rPr>
        <w:t>similar to</w:t>
      </w:r>
      <w:proofErr w:type="gramEnd"/>
      <w:r w:rsidRPr="009E2C37">
        <w:rPr>
          <w:rFonts w:cstheme="minorHAnsi"/>
        </w:rPr>
        <w:t xml:space="preserve"> non-enveloped viruses, although they may be greater for glazed porcelain.  </w:t>
      </w:r>
      <w:r w:rsidR="00B85967" w:rsidRPr="00B85967">
        <w:rPr>
          <w:rFonts w:cstheme="minorHAnsi"/>
          <w:color w:val="FF0000"/>
        </w:rPr>
        <w:t xml:space="preserve">The reason for greater </w:t>
      </w:r>
      <w:r w:rsidR="00EF7033">
        <w:rPr>
          <w:rFonts w:cstheme="minorHAnsi"/>
          <w:color w:val="FF0000"/>
        </w:rPr>
        <w:t xml:space="preserve">fomite-to-finger </w:t>
      </w:r>
      <w:r w:rsidR="00B85967" w:rsidRPr="00B85967">
        <w:rPr>
          <w:rFonts w:cstheme="minorHAnsi"/>
          <w:color w:val="FF0000"/>
        </w:rPr>
        <w:t xml:space="preserve">transfer from glass and glazed porcelain is unknown but may be attributable to the </w:t>
      </w:r>
      <w:r w:rsidR="00DE125F">
        <w:rPr>
          <w:rFonts w:cstheme="minorHAnsi"/>
          <w:color w:val="FF0000"/>
        </w:rPr>
        <w:t xml:space="preserve">microscopically </w:t>
      </w:r>
      <w:r w:rsidR="00B85967" w:rsidRPr="00B85967">
        <w:rPr>
          <w:rFonts w:cstheme="minorHAnsi"/>
          <w:color w:val="FF0000"/>
        </w:rPr>
        <w:t>smoother surface</w:t>
      </w:r>
      <w:r w:rsidR="00F06296">
        <w:rPr>
          <w:rFonts w:cstheme="minorHAnsi"/>
          <w:color w:val="FF0000"/>
        </w:rPr>
        <w:t xml:space="preserve"> </w:t>
      </w:r>
      <w:r w:rsidR="00B85967" w:rsidRPr="00B85967">
        <w:rPr>
          <w:rFonts w:cstheme="minorHAnsi"/>
          <w:color w:val="FF0000"/>
        </w:rPr>
        <w:t xml:space="preserve">of these fomites </w:t>
      </w:r>
      <w:r w:rsidR="00BD1F3E">
        <w:rPr>
          <w:rFonts w:cstheme="minorHAnsi"/>
          <w:color w:val="FF0000"/>
        </w:rPr>
        <w:t xml:space="preserve">compared to others (e.g., stainless steel) </w:t>
      </w:r>
      <w:r w:rsidR="00B85967" w:rsidRPr="00B85967">
        <w:rPr>
          <w:rFonts w:cstheme="minorHAnsi"/>
          <w:color w:val="FF0000"/>
        </w:rPr>
        <w:t xml:space="preserve">or </w:t>
      </w:r>
      <w:r w:rsidR="00EF7033">
        <w:rPr>
          <w:rFonts w:cstheme="minorHAnsi"/>
          <w:color w:val="FF0000"/>
        </w:rPr>
        <w:t xml:space="preserve">the </w:t>
      </w:r>
      <w:r w:rsidR="00B85967" w:rsidRPr="00B85967">
        <w:rPr>
          <w:rFonts w:cstheme="minorHAnsi"/>
          <w:color w:val="FF0000"/>
        </w:rPr>
        <w:t>hydrophobicity</w:t>
      </w:r>
      <w:r w:rsidR="00EF7033">
        <w:rPr>
          <w:rFonts w:cstheme="minorHAnsi"/>
          <w:color w:val="FF0000"/>
        </w:rPr>
        <w:t xml:space="preserve"> of the surfaces</w:t>
      </w:r>
      <w:r w:rsidR="00B85967" w:rsidRPr="00B85967">
        <w:rPr>
          <w:rFonts w:cstheme="minorHAnsi"/>
          <w:color w:val="FF0000"/>
        </w:rPr>
        <w:t>.</w:t>
      </w:r>
      <w:r w:rsidR="00B85967">
        <w:rPr>
          <w:rFonts w:cstheme="minorHAnsi"/>
        </w:rPr>
        <w:t xml:space="preserve"> </w:t>
      </w:r>
      <w:r w:rsidRPr="009E2C37">
        <w:rPr>
          <w:rFonts w:cstheme="minorHAnsi"/>
        </w:rPr>
        <w:t>Lopez et al. (2013) demonstrated a 7.1% transfer of MS-2 from ceramic tiles, and both MS-2 and PRD-1 phages were transferred from glass at efficiencies of 19.3% and 33.47%, respectively.</w:t>
      </w:r>
      <w:r w:rsidRPr="009E2C37">
        <w:rPr>
          <w:rStyle w:val="EndnoteReference"/>
          <w:rFonts w:cstheme="minorHAnsi"/>
        </w:rPr>
        <w:t>5</w:t>
      </w:r>
      <w:r w:rsidRPr="009E2C37">
        <w:rPr>
          <w:rFonts w:cstheme="minorHAnsi"/>
        </w:rPr>
        <w:t xml:space="preserve"> Ansari et al.</w:t>
      </w:r>
      <w:r w:rsidRPr="009E2C37">
        <w:rPr>
          <w:rStyle w:val="EndnoteReference"/>
          <w:rFonts w:cstheme="minorHAnsi"/>
        </w:rPr>
        <w:t>3</w:t>
      </w:r>
      <w:r w:rsidRPr="009E2C37">
        <w:rPr>
          <w:rFonts w:cstheme="minorHAnsi"/>
        </w:rPr>
        <w:t xml:space="preserve">  measured a mean transfer efficiency of rotavirus from stainless steel of 16.8%. </w:t>
      </w:r>
    </w:p>
    <w:p w14:paraId="6E732D87" w14:textId="154685E3" w:rsidR="009E2C37" w:rsidRPr="009E2C37" w:rsidRDefault="009E2C37" w:rsidP="007745B3">
      <w:pPr>
        <w:spacing w:after="0" w:line="480" w:lineRule="auto"/>
        <w:ind w:firstLine="720"/>
        <w:rPr>
          <w:rFonts w:cstheme="minorHAnsi"/>
        </w:rPr>
      </w:pPr>
      <w:r w:rsidRPr="009E2C37">
        <w:rPr>
          <w:rFonts w:cstheme="minorHAnsi"/>
        </w:rPr>
        <w:lastRenderedPageBreak/>
        <w:t xml:space="preserve">Respiratory viruses such as </w:t>
      </w:r>
      <w:r w:rsidRPr="00097C9D">
        <w:rPr>
          <w:rFonts w:cstheme="minorHAnsi"/>
          <w:color w:val="FF0000"/>
        </w:rPr>
        <w:t>infl</w:t>
      </w:r>
      <w:r w:rsidR="00097C9D" w:rsidRPr="00097C9D">
        <w:rPr>
          <w:rFonts w:cstheme="minorHAnsi"/>
          <w:color w:val="FF0000"/>
        </w:rPr>
        <w:t>ue</w:t>
      </w:r>
      <w:r w:rsidRPr="00097C9D">
        <w:rPr>
          <w:rFonts w:cstheme="minorHAnsi"/>
          <w:color w:val="FF0000"/>
        </w:rPr>
        <w:t>nza</w:t>
      </w:r>
      <w:r w:rsidRPr="009E2C37">
        <w:rPr>
          <w:rFonts w:cstheme="minorHAnsi"/>
        </w:rPr>
        <w:t>, rhinoviruses, and respiratory syncytial virus, and coronavirus can be transmitted</w:t>
      </w:r>
      <w:r w:rsidR="00B85967" w:rsidRPr="00B85967">
        <w:rPr>
          <w:rFonts w:cstheme="minorHAnsi"/>
          <w:color w:val="FF0000"/>
        </w:rPr>
        <w:t>, in part</w:t>
      </w:r>
      <w:r w:rsidR="00B85967">
        <w:rPr>
          <w:rFonts w:cstheme="minorHAnsi"/>
        </w:rPr>
        <w:t>,</w:t>
      </w:r>
      <w:r w:rsidRPr="009E2C37">
        <w:rPr>
          <w:rFonts w:cstheme="minorHAnsi"/>
        </w:rPr>
        <w:t xml:space="preserve"> by inoculation of the nose, mouth, or eyes</w:t>
      </w:r>
      <w:r w:rsidR="00B85967">
        <w:rPr>
          <w:rFonts w:cstheme="minorHAnsi"/>
        </w:rPr>
        <w:t xml:space="preserve"> </w:t>
      </w:r>
      <w:r w:rsidR="00B85967" w:rsidRPr="00B85967">
        <w:rPr>
          <w:rFonts w:cstheme="minorHAnsi"/>
          <w:color w:val="FF0000"/>
        </w:rPr>
        <w:t>via contaminated hands</w:t>
      </w:r>
      <w:r w:rsidRPr="00B85967">
        <w:rPr>
          <w:rFonts w:cstheme="minorHAnsi"/>
          <w:color w:val="FF0000"/>
        </w:rPr>
        <w:t>.</w:t>
      </w:r>
      <w:r w:rsidRPr="009E2C37">
        <w:rPr>
          <w:rFonts w:cstheme="minorHAnsi"/>
        </w:rPr>
        <w:t xml:space="preserve"> </w:t>
      </w:r>
      <w:r w:rsidR="009954E2">
        <w:rPr>
          <w:rFonts w:cstheme="minorHAnsi"/>
          <w:color w:val="FF0000"/>
        </w:rPr>
        <w:t>Thus, f</w:t>
      </w:r>
      <w:r w:rsidR="00B85967" w:rsidRPr="00F95E35">
        <w:rPr>
          <w:rFonts w:cstheme="minorHAnsi"/>
          <w:color w:val="FF0000"/>
        </w:rPr>
        <w:t xml:space="preserve">omites may play a role in the transmission of these viruses including coronavirus. For this reason, </w:t>
      </w:r>
      <w:r w:rsidR="00FB6F46">
        <w:rPr>
          <w:rFonts w:cstheme="minorHAnsi"/>
          <w:color w:val="FF0000"/>
        </w:rPr>
        <w:t xml:space="preserve">infection prevention </w:t>
      </w:r>
      <w:r w:rsidR="00B85967" w:rsidRPr="00F95E35">
        <w:rPr>
          <w:rFonts w:cstheme="minorHAnsi"/>
          <w:color w:val="FF0000"/>
        </w:rPr>
        <w:t>measures recommended to preclude the transmission from an environmental surface or object by hands to the nose, mouth or eyes</w:t>
      </w:r>
      <w:r w:rsidR="00F95E35" w:rsidRPr="00F95E35">
        <w:rPr>
          <w:rFonts w:cstheme="minorHAnsi"/>
          <w:color w:val="FF0000"/>
        </w:rPr>
        <w:t xml:space="preserve"> include disinfection of surfaces and hand hygiene.</w:t>
      </w:r>
      <w:r w:rsidR="00F95E35" w:rsidRPr="00F95E35">
        <w:rPr>
          <w:rFonts w:cstheme="minorHAnsi"/>
          <w:color w:val="FF0000"/>
          <w:vertAlign w:val="superscript"/>
        </w:rPr>
        <w:t>3-5</w:t>
      </w:r>
      <w:r w:rsidR="00F95E35" w:rsidRPr="00F95E35">
        <w:rPr>
          <w:rFonts w:cstheme="minorHAnsi"/>
          <w:color w:val="FF0000"/>
        </w:rPr>
        <w:t xml:space="preserve"> </w:t>
      </w:r>
      <w:r w:rsidRPr="009E2C37">
        <w:rPr>
          <w:rFonts w:cstheme="minorHAnsi"/>
        </w:rPr>
        <w:t xml:space="preserve">In the case of rhinoviruses and respiratory syncytial virus, </w:t>
      </w:r>
      <w:r w:rsidR="00F95E35" w:rsidRPr="00F95E35">
        <w:rPr>
          <w:rFonts w:cstheme="minorHAnsi"/>
          <w:color w:val="FF0000"/>
        </w:rPr>
        <w:t>inoculation of the nose, mouth or eyes</w:t>
      </w:r>
      <w:r w:rsidRPr="00F95E35">
        <w:rPr>
          <w:rFonts w:cstheme="minorHAnsi"/>
          <w:color w:val="FF0000"/>
        </w:rPr>
        <w:t xml:space="preserve"> </w:t>
      </w:r>
      <w:r w:rsidRPr="009E2C37">
        <w:rPr>
          <w:rFonts w:cstheme="minorHAnsi"/>
        </w:rPr>
        <w:t>may be the major route of transmission.</w:t>
      </w:r>
      <w:r w:rsidRPr="009E2C37">
        <w:rPr>
          <w:rStyle w:val="EndnoteReference"/>
          <w:rFonts w:cstheme="minorHAnsi"/>
        </w:rPr>
        <w:endnoteReference w:id="6"/>
      </w:r>
      <w:r w:rsidRPr="009E2C37">
        <w:rPr>
          <w:rFonts w:cstheme="minorHAnsi"/>
        </w:rPr>
        <w:t xml:space="preserve"> </w:t>
      </w:r>
      <w:r w:rsidRPr="009E2C37">
        <w:rPr>
          <w:rStyle w:val="EndnoteReference"/>
          <w:rFonts w:cstheme="minorHAnsi"/>
        </w:rPr>
        <w:endnoteReference w:id="7"/>
      </w:r>
      <w:r w:rsidRPr="009E2C37">
        <w:rPr>
          <w:rFonts w:cstheme="minorHAnsi"/>
        </w:rPr>
        <w:t xml:space="preserve"> While transmission of infl</w:t>
      </w:r>
      <w:r w:rsidR="00097C9D">
        <w:rPr>
          <w:rFonts w:cstheme="minorHAnsi"/>
        </w:rPr>
        <w:t>ue</w:t>
      </w:r>
      <w:r w:rsidRPr="009E2C37">
        <w:rPr>
          <w:rFonts w:cstheme="minorHAnsi"/>
        </w:rPr>
        <w:t>nza via fomites depends on touching frequency and other factors in indoor environments.</w:t>
      </w:r>
      <w:r w:rsidRPr="009E2C37">
        <w:rPr>
          <w:rStyle w:val="EndnoteReference"/>
          <w:rFonts w:cstheme="minorHAnsi"/>
        </w:rPr>
        <w:endnoteReference w:id="8"/>
      </w:r>
      <w:r w:rsidRPr="009E2C37">
        <w:rPr>
          <w:rFonts w:cstheme="minorHAnsi"/>
        </w:rPr>
        <w:t xml:space="preserve"> Human coronavirus 229E can be transmitted by placement on the nose in humans </w:t>
      </w:r>
      <w:r w:rsidRPr="009E2C37">
        <w:rPr>
          <w:rStyle w:val="EndnoteReference"/>
          <w:rFonts w:cstheme="minorHAnsi"/>
        </w:rPr>
        <w:endnoteReference w:id="9"/>
      </w:r>
      <w:r w:rsidRPr="009E2C37">
        <w:rPr>
          <w:rFonts w:cstheme="minorHAnsi"/>
        </w:rPr>
        <w:t xml:space="preserve"> and transmission of SARS-CoV-2 has been demonstrated by intranasal inoculation.</w:t>
      </w:r>
      <w:r w:rsidRPr="009E2C37">
        <w:rPr>
          <w:rFonts w:cstheme="minorHAnsi"/>
          <w:vertAlign w:val="superscript"/>
        </w:rPr>
        <w:t>10</w:t>
      </w:r>
      <w:r w:rsidRPr="009E2C37">
        <w:rPr>
          <w:rFonts w:cstheme="minorHAnsi"/>
        </w:rPr>
        <w:t xml:space="preserve"> The role of fomites in the transmission of coronavirus SARS-CoV-2 is not currently known. However, this study has demonstrated the potential for coronaviruses </w:t>
      </w:r>
      <w:r w:rsidR="0033545D" w:rsidRPr="0033545D">
        <w:rPr>
          <w:rFonts w:cstheme="minorHAnsi"/>
          <w:color w:val="FF0000"/>
        </w:rPr>
        <w:t xml:space="preserve">(such as SARS-CoV-2) </w:t>
      </w:r>
      <w:r w:rsidRPr="009E2C37">
        <w:rPr>
          <w:rFonts w:cstheme="minorHAnsi"/>
        </w:rPr>
        <w:t xml:space="preserve">to be transferred from various fomites to the fingers.  </w:t>
      </w:r>
    </w:p>
    <w:p w14:paraId="61724D7E" w14:textId="77777777" w:rsidR="0006115F" w:rsidRPr="009E2C37" w:rsidRDefault="0006115F" w:rsidP="00603C36">
      <w:pPr>
        <w:rPr>
          <w:rFonts w:cstheme="minorHAnsi"/>
        </w:rPr>
      </w:pPr>
    </w:p>
    <w:p w14:paraId="39829C62" w14:textId="77777777" w:rsidR="00F37766" w:rsidRDefault="00F37766" w:rsidP="00603C36">
      <w:pPr>
        <w:rPr>
          <w:rFonts w:ascii="Calibri" w:hAnsi="Calibri" w:cs="Calibri"/>
        </w:rPr>
      </w:pPr>
    </w:p>
    <w:p w14:paraId="7F41CEDB" w14:textId="77777777" w:rsidR="00F37766" w:rsidRDefault="00F37766" w:rsidP="00603C36">
      <w:pPr>
        <w:rPr>
          <w:rFonts w:ascii="Calibri" w:hAnsi="Calibri" w:cs="Calibri"/>
        </w:rPr>
      </w:pPr>
    </w:p>
    <w:p w14:paraId="7696380A" w14:textId="77777777" w:rsidR="00F37766" w:rsidRDefault="00F37766" w:rsidP="00603C36">
      <w:pPr>
        <w:rPr>
          <w:rFonts w:ascii="Calibri" w:hAnsi="Calibri" w:cs="Calibri"/>
        </w:rPr>
      </w:pPr>
    </w:p>
    <w:p w14:paraId="5FAF346B" w14:textId="77777777" w:rsidR="00F37766" w:rsidRDefault="00F37766" w:rsidP="00603C36">
      <w:pPr>
        <w:rPr>
          <w:rFonts w:ascii="Calibri" w:hAnsi="Calibri" w:cs="Calibri"/>
        </w:rPr>
      </w:pPr>
    </w:p>
    <w:p w14:paraId="0711642B" w14:textId="77777777" w:rsidR="00F37766" w:rsidRDefault="00F37766" w:rsidP="00603C36">
      <w:pPr>
        <w:rPr>
          <w:rFonts w:ascii="Calibri" w:hAnsi="Calibri" w:cs="Calibri"/>
        </w:rPr>
      </w:pPr>
    </w:p>
    <w:p w14:paraId="4854C1E0" w14:textId="77777777" w:rsidR="00F37766" w:rsidRDefault="00F37766" w:rsidP="00603C36">
      <w:pPr>
        <w:rPr>
          <w:rFonts w:ascii="Calibri" w:hAnsi="Calibri" w:cs="Calibri"/>
        </w:rPr>
      </w:pPr>
    </w:p>
    <w:p w14:paraId="3983872C" w14:textId="77777777" w:rsidR="00F37766" w:rsidRDefault="00F37766" w:rsidP="00603C36">
      <w:pPr>
        <w:rPr>
          <w:rFonts w:ascii="Calibri" w:hAnsi="Calibri" w:cs="Calibri"/>
        </w:rPr>
      </w:pPr>
    </w:p>
    <w:p w14:paraId="4F460415" w14:textId="77777777" w:rsidR="00F37766" w:rsidRDefault="00F37766" w:rsidP="00603C36">
      <w:pPr>
        <w:rPr>
          <w:rFonts w:ascii="Calibri" w:hAnsi="Calibri" w:cs="Calibri"/>
        </w:rPr>
      </w:pPr>
    </w:p>
    <w:p w14:paraId="3D33B78E" w14:textId="77777777" w:rsidR="00F37766" w:rsidRDefault="00F37766" w:rsidP="00603C36">
      <w:pPr>
        <w:rPr>
          <w:rFonts w:ascii="Calibri" w:hAnsi="Calibri" w:cs="Calibri"/>
        </w:rPr>
      </w:pPr>
    </w:p>
    <w:p w14:paraId="4CEDC9F5" w14:textId="77777777" w:rsidR="00F37766" w:rsidRDefault="00F37766" w:rsidP="00603C36">
      <w:pPr>
        <w:rPr>
          <w:rFonts w:ascii="Calibri" w:hAnsi="Calibri" w:cs="Calibri"/>
        </w:rPr>
      </w:pPr>
    </w:p>
    <w:p w14:paraId="441C0054" w14:textId="77777777" w:rsidR="00F37766" w:rsidRDefault="00F37766" w:rsidP="00603C36">
      <w:pPr>
        <w:rPr>
          <w:rFonts w:ascii="Calibri" w:hAnsi="Calibri" w:cs="Calibri"/>
        </w:rPr>
      </w:pPr>
    </w:p>
    <w:p w14:paraId="6016A32D" w14:textId="77777777" w:rsidR="00F37766" w:rsidRDefault="00F37766" w:rsidP="00603C36">
      <w:pPr>
        <w:rPr>
          <w:rFonts w:ascii="Calibri" w:hAnsi="Calibri" w:cs="Calibri"/>
        </w:rPr>
      </w:pPr>
    </w:p>
    <w:p w14:paraId="22E45347" w14:textId="77777777" w:rsidR="00F37766" w:rsidRDefault="00F37766" w:rsidP="00603C36">
      <w:pPr>
        <w:rPr>
          <w:rFonts w:ascii="Calibri" w:hAnsi="Calibri" w:cs="Calibri"/>
        </w:rPr>
      </w:pPr>
    </w:p>
    <w:p w14:paraId="4EE23966" w14:textId="77777777" w:rsidR="00F37766" w:rsidRDefault="00F37766" w:rsidP="00603C36">
      <w:pPr>
        <w:rPr>
          <w:rFonts w:ascii="Calibri" w:hAnsi="Calibri" w:cs="Calibri"/>
        </w:rPr>
      </w:pPr>
    </w:p>
    <w:p w14:paraId="1DAB4C68" w14:textId="77777777" w:rsidR="00F37766" w:rsidRDefault="00F37766" w:rsidP="00603C36">
      <w:pPr>
        <w:rPr>
          <w:rFonts w:ascii="Calibri" w:hAnsi="Calibri" w:cs="Calibri"/>
        </w:rPr>
      </w:pPr>
    </w:p>
    <w:p w14:paraId="2099A673" w14:textId="77777777" w:rsidR="00F37766" w:rsidRDefault="00F37766" w:rsidP="00603C36">
      <w:pPr>
        <w:rPr>
          <w:rFonts w:ascii="Calibri" w:hAnsi="Calibri" w:cs="Calibri"/>
        </w:rPr>
      </w:pPr>
    </w:p>
    <w:p w14:paraId="4A034861" w14:textId="77777777" w:rsidR="00F37766" w:rsidRDefault="00F37766" w:rsidP="00603C36">
      <w:pPr>
        <w:rPr>
          <w:rFonts w:ascii="Calibri" w:hAnsi="Calibri" w:cs="Calibri"/>
        </w:rPr>
      </w:pPr>
    </w:p>
    <w:p w14:paraId="4425BECF" w14:textId="77777777" w:rsidR="00F37766" w:rsidRDefault="00F37766" w:rsidP="00603C36">
      <w:pPr>
        <w:rPr>
          <w:rFonts w:ascii="Calibri" w:hAnsi="Calibri" w:cs="Calibri"/>
        </w:rPr>
      </w:pPr>
    </w:p>
    <w:p w14:paraId="3A1E3CB0" w14:textId="77777777" w:rsidR="00291639" w:rsidRDefault="00291639" w:rsidP="00603C36">
      <w:pPr>
        <w:rPr>
          <w:rFonts w:ascii="Calibri" w:hAnsi="Calibri" w:cs="Calibri"/>
          <w:b/>
          <w:bCs/>
        </w:rPr>
      </w:pPr>
    </w:p>
    <w:p w14:paraId="0464E3E6" w14:textId="77777777" w:rsidR="00291639" w:rsidRDefault="00291639" w:rsidP="00603C36">
      <w:pPr>
        <w:rPr>
          <w:rFonts w:ascii="Calibri" w:hAnsi="Calibri" w:cs="Calibri"/>
          <w:b/>
          <w:bCs/>
        </w:rPr>
      </w:pPr>
    </w:p>
    <w:p w14:paraId="46462B41" w14:textId="77777777" w:rsidR="00291639" w:rsidRDefault="00291639" w:rsidP="00603C36">
      <w:pPr>
        <w:rPr>
          <w:rFonts w:ascii="Calibri" w:hAnsi="Calibri" w:cs="Calibri"/>
          <w:b/>
          <w:bCs/>
        </w:rPr>
      </w:pPr>
    </w:p>
    <w:p w14:paraId="59CAF1E2" w14:textId="77777777" w:rsidR="00291639" w:rsidRDefault="00291639" w:rsidP="00603C36">
      <w:pPr>
        <w:rPr>
          <w:rFonts w:ascii="Calibri" w:hAnsi="Calibri" w:cs="Calibri"/>
          <w:b/>
          <w:bCs/>
        </w:rPr>
      </w:pPr>
    </w:p>
    <w:p w14:paraId="00A8DEB5" w14:textId="0CF623E0" w:rsidR="001037C5" w:rsidRPr="00F37766" w:rsidRDefault="0030776F" w:rsidP="00603C36">
      <w:pPr>
        <w:rPr>
          <w:rFonts w:ascii="Calibri" w:hAnsi="Calibri" w:cs="Calibri"/>
          <w:b/>
          <w:bCs/>
        </w:rPr>
      </w:pPr>
      <w:r w:rsidRPr="00F37766">
        <w:rPr>
          <w:rFonts w:ascii="Calibri" w:hAnsi="Calibri" w:cs="Calibri"/>
          <w:b/>
          <w:bCs/>
        </w:rPr>
        <w:t>T</w:t>
      </w:r>
      <w:r w:rsidR="003C5A47" w:rsidRPr="00F37766">
        <w:rPr>
          <w:rFonts w:ascii="Calibri" w:hAnsi="Calibri" w:cs="Calibri"/>
          <w:b/>
          <w:bCs/>
        </w:rPr>
        <w:t>able</w:t>
      </w:r>
      <w:r w:rsidRPr="00F37766">
        <w:rPr>
          <w:rFonts w:ascii="Calibri" w:hAnsi="Calibri" w:cs="Calibri"/>
          <w:b/>
          <w:bCs/>
        </w:rPr>
        <w:t xml:space="preserve"> 1. Fomites</w:t>
      </w:r>
      <w:r w:rsidR="001A2B28" w:rsidRPr="00F37766">
        <w:rPr>
          <w:rFonts w:ascii="Calibri" w:hAnsi="Calibri" w:cs="Calibri"/>
          <w:b/>
          <w:bCs/>
        </w:rPr>
        <w:t>/surface types</w:t>
      </w:r>
      <w:r w:rsidRPr="00F37766">
        <w:rPr>
          <w:rFonts w:ascii="Calibri" w:hAnsi="Calibri" w:cs="Calibri"/>
          <w:b/>
          <w:bCs/>
        </w:rPr>
        <w:t xml:space="preserve"> tested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37C5" w:rsidRPr="009E2C37" w14:paraId="7220A700" w14:textId="77777777" w:rsidTr="00014421">
        <w:tc>
          <w:tcPr>
            <w:tcW w:w="3116" w:type="dxa"/>
            <w:tcBorders>
              <w:bottom w:val="single" w:sz="4" w:space="0" w:color="auto"/>
            </w:tcBorders>
          </w:tcPr>
          <w:p w14:paraId="7B4B3501" w14:textId="4FF52619" w:rsidR="001037C5" w:rsidRPr="009E2C37" w:rsidRDefault="001037C5" w:rsidP="00F37766">
            <w:pPr>
              <w:spacing w:line="480" w:lineRule="auto"/>
              <w:rPr>
                <w:rFonts w:ascii="Calibri" w:hAnsi="Calibri" w:cs="Calibri"/>
                <w:b/>
                <w:bCs/>
              </w:rPr>
            </w:pPr>
            <w:r w:rsidRPr="009E2C37">
              <w:rPr>
                <w:rFonts w:ascii="Calibri" w:hAnsi="Calibri" w:cs="Calibri"/>
                <w:b/>
                <w:bCs/>
              </w:rPr>
              <w:t>Fomite</w:t>
            </w:r>
            <w:r w:rsidR="001A2B28" w:rsidRPr="009E2C37">
              <w:rPr>
                <w:rFonts w:ascii="Calibri" w:hAnsi="Calibri" w:cs="Calibri"/>
                <w:b/>
                <w:bCs/>
              </w:rPr>
              <w:t>/Surface Type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F3D5D9A" w14:textId="7B345061" w:rsidR="001037C5" w:rsidRPr="009E2C37" w:rsidRDefault="001037C5" w:rsidP="00F37766">
            <w:pPr>
              <w:spacing w:line="480" w:lineRule="auto"/>
              <w:rPr>
                <w:rFonts w:ascii="Calibri" w:hAnsi="Calibri" w:cs="Calibri"/>
                <w:b/>
                <w:bCs/>
              </w:rPr>
            </w:pPr>
            <w:r w:rsidRPr="009E2C37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03CA8B3" w14:textId="601CB6D5" w:rsidR="001037C5" w:rsidRPr="009E2C37" w:rsidRDefault="001037C5" w:rsidP="00F37766">
            <w:pPr>
              <w:spacing w:line="480" w:lineRule="auto"/>
              <w:rPr>
                <w:rFonts w:ascii="Calibri" w:hAnsi="Calibri" w:cs="Calibri"/>
                <w:b/>
                <w:bCs/>
              </w:rPr>
            </w:pPr>
            <w:r w:rsidRPr="009E2C37">
              <w:rPr>
                <w:rFonts w:ascii="Calibri" w:hAnsi="Calibri" w:cs="Calibri"/>
                <w:b/>
                <w:bCs/>
              </w:rPr>
              <w:t>Manufacturer or Source</w:t>
            </w:r>
          </w:p>
        </w:tc>
      </w:tr>
      <w:tr w:rsidR="001037C5" w:rsidRPr="009E2C37" w14:paraId="4CE55761" w14:textId="77777777" w:rsidTr="00014421">
        <w:tc>
          <w:tcPr>
            <w:tcW w:w="3116" w:type="dxa"/>
          </w:tcPr>
          <w:p w14:paraId="08C0650B" w14:textId="105302CE" w:rsidR="001037C5" w:rsidRPr="009E2C37" w:rsidRDefault="001037C5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Stainless steel</w:t>
            </w:r>
          </w:p>
        </w:tc>
        <w:tc>
          <w:tcPr>
            <w:tcW w:w="3117" w:type="dxa"/>
          </w:tcPr>
          <w:p w14:paraId="57F10CDE" w14:textId="15D2A96F" w:rsidR="001037C5" w:rsidRPr="009E2C37" w:rsidRDefault="001037C5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Gauge 304</w:t>
            </w:r>
          </w:p>
        </w:tc>
        <w:tc>
          <w:tcPr>
            <w:tcW w:w="3117" w:type="dxa"/>
          </w:tcPr>
          <w:p w14:paraId="5587917D" w14:textId="09050A88" w:rsidR="001037C5" w:rsidRPr="009E2C37" w:rsidRDefault="008D52F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AK Steel Corporation</w:t>
            </w:r>
          </w:p>
        </w:tc>
      </w:tr>
      <w:tr w:rsidR="001037C5" w:rsidRPr="009E2C37" w14:paraId="5A546301" w14:textId="77777777" w:rsidTr="00014421">
        <w:tc>
          <w:tcPr>
            <w:tcW w:w="3116" w:type="dxa"/>
          </w:tcPr>
          <w:p w14:paraId="1555FE74" w14:textId="3CC1C534" w:rsidR="001037C5" w:rsidRPr="009E2C37" w:rsidRDefault="001037C5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Glass</w:t>
            </w:r>
          </w:p>
        </w:tc>
        <w:tc>
          <w:tcPr>
            <w:tcW w:w="3117" w:type="dxa"/>
          </w:tcPr>
          <w:p w14:paraId="1F0F764B" w14:textId="2597AC7E" w:rsidR="001037C5" w:rsidRPr="009E2C37" w:rsidRDefault="001037C5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Slides</w:t>
            </w:r>
          </w:p>
        </w:tc>
        <w:tc>
          <w:tcPr>
            <w:tcW w:w="3117" w:type="dxa"/>
          </w:tcPr>
          <w:p w14:paraId="2F39E008" w14:textId="46ECF36B" w:rsidR="001037C5" w:rsidRPr="009E2C37" w:rsidRDefault="001037C5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 xml:space="preserve">VWR, Mississauga, Ontario, </w:t>
            </w:r>
          </w:p>
        </w:tc>
      </w:tr>
      <w:tr w:rsidR="001037C5" w:rsidRPr="009E2C37" w14:paraId="58B7719B" w14:textId="77777777" w:rsidTr="00014421">
        <w:tc>
          <w:tcPr>
            <w:tcW w:w="3116" w:type="dxa"/>
          </w:tcPr>
          <w:p w14:paraId="7266FDDE" w14:textId="211ADD1F" w:rsidR="001037C5" w:rsidRPr="009E2C37" w:rsidRDefault="0084475E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 xml:space="preserve">Glazed </w:t>
            </w:r>
            <w:r w:rsidR="001B0F39" w:rsidRPr="009E2C37">
              <w:rPr>
                <w:rFonts w:ascii="Calibri" w:hAnsi="Calibri" w:cs="Calibri"/>
              </w:rPr>
              <w:t>porcelain</w:t>
            </w:r>
          </w:p>
        </w:tc>
        <w:tc>
          <w:tcPr>
            <w:tcW w:w="3117" w:type="dxa"/>
          </w:tcPr>
          <w:p w14:paraId="74262C0D" w14:textId="2F9D8254" w:rsidR="001037C5" w:rsidRPr="009E2C37" w:rsidRDefault="008D52F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Porcelain</w:t>
            </w:r>
          </w:p>
        </w:tc>
        <w:tc>
          <w:tcPr>
            <w:tcW w:w="3117" w:type="dxa"/>
          </w:tcPr>
          <w:p w14:paraId="7774D90B" w14:textId="6490AB09" w:rsidR="001037C5" w:rsidRPr="009E2C37" w:rsidRDefault="008D52F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 xml:space="preserve">Home Depot, Atlanta, GA </w:t>
            </w:r>
          </w:p>
        </w:tc>
      </w:tr>
      <w:tr w:rsidR="001037C5" w:rsidRPr="009E2C37" w14:paraId="5B72094E" w14:textId="77777777" w:rsidTr="00014421">
        <w:tc>
          <w:tcPr>
            <w:tcW w:w="3116" w:type="dxa"/>
          </w:tcPr>
          <w:p w14:paraId="108E35D5" w14:textId="78498D75" w:rsidR="001037C5" w:rsidRPr="009E2C37" w:rsidRDefault="008D52F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Laminate</w:t>
            </w:r>
          </w:p>
        </w:tc>
        <w:tc>
          <w:tcPr>
            <w:tcW w:w="3117" w:type="dxa"/>
          </w:tcPr>
          <w:p w14:paraId="3AB3DCC9" w14:textId="12A25152" w:rsidR="001037C5" w:rsidRPr="009E2C37" w:rsidRDefault="008D52F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Vinyl floor tile</w:t>
            </w:r>
          </w:p>
        </w:tc>
        <w:tc>
          <w:tcPr>
            <w:tcW w:w="3117" w:type="dxa"/>
          </w:tcPr>
          <w:p w14:paraId="2129CB89" w14:textId="5E0AC418" w:rsidR="001037C5" w:rsidRPr="009E2C37" w:rsidRDefault="008D52F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Home Depot, Atlanta, GA</w:t>
            </w:r>
          </w:p>
        </w:tc>
      </w:tr>
      <w:tr w:rsidR="001037C5" w:rsidRPr="009E2C37" w14:paraId="5DB5BB68" w14:textId="77777777" w:rsidTr="00014421">
        <w:tc>
          <w:tcPr>
            <w:tcW w:w="3116" w:type="dxa"/>
            <w:tcBorders>
              <w:bottom w:val="single" w:sz="4" w:space="0" w:color="auto"/>
            </w:tcBorders>
          </w:tcPr>
          <w:p w14:paraId="27C36D86" w14:textId="1202E63B" w:rsidR="001037C5" w:rsidRPr="009E2C37" w:rsidRDefault="00C43C27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 xml:space="preserve">Formica 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F4D8772" w14:textId="3B7AADD2" w:rsidR="001037C5" w:rsidRPr="009E2C37" w:rsidRDefault="00014C96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Countertop</w:t>
            </w:r>
            <w:r w:rsidR="00C43C27" w:rsidRPr="009E2C37">
              <w:rPr>
                <w:rFonts w:ascii="Calibri" w:hAnsi="Calibri" w:cs="Calibri"/>
              </w:rPr>
              <w:t xml:space="preserve"> tiles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C51EB1E" w14:textId="7CB84372" w:rsidR="001037C5" w:rsidRPr="009E2C37" w:rsidRDefault="00C43C27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 xml:space="preserve">Home Depot, Atlanta, GA </w:t>
            </w:r>
          </w:p>
        </w:tc>
      </w:tr>
    </w:tbl>
    <w:p w14:paraId="4923E464" w14:textId="051065BF" w:rsidR="00465584" w:rsidRDefault="00465584" w:rsidP="00F37766">
      <w:pPr>
        <w:spacing w:after="0" w:line="480" w:lineRule="auto"/>
        <w:rPr>
          <w:rFonts w:ascii="Calibri" w:hAnsi="Calibri" w:cs="Calibri"/>
        </w:rPr>
      </w:pPr>
    </w:p>
    <w:p w14:paraId="611BF7B9" w14:textId="08FB5BE9" w:rsidR="009E2C37" w:rsidRDefault="009E2C37" w:rsidP="00F37766">
      <w:pPr>
        <w:spacing w:after="0" w:line="480" w:lineRule="auto"/>
        <w:rPr>
          <w:rFonts w:ascii="Calibri" w:hAnsi="Calibri" w:cs="Calibri"/>
        </w:rPr>
      </w:pPr>
    </w:p>
    <w:p w14:paraId="2E01BC1B" w14:textId="139A3612" w:rsidR="009E2C37" w:rsidRDefault="009E2C37" w:rsidP="00603C36">
      <w:pPr>
        <w:rPr>
          <w:rFonts w:ascii="Calibri" w:hAnsi="Calibri" w:cs="Calibri"/>
        </w:rPr>
      </w:pPr>
    </w:p>
    <w:p w14:paraId="1E191759" w14:textId="43A17DC2" w:rsidR="009E2C37" w:rsidRDefault="009E2C37" w:rsidP="00603C36">
      <w:pPr>
        <w:rPr>
          <w:rFonts w:ascii="Calibri" w:hAnsi="Calibri" w:cs="Calibri"/>
        </w:rPr>
      </w:pPr>
    </w:p>
    <w:p w14:paraId="25625FCF" w14:textId="4A0243FE" w:rsidR="009E2C37" w:rsidRDefault="009E2C37" w:rsidP="00603C36">
      <w:pPr>
        <w:rPr>
          <w:rFonts w:ascii="Calibri" w:hAnsi="Calibri" w:cs="Calibri"/>
        </w:rPr>
      </w:pPr>
    </w:p>
    <w:p w14:paraId="53F73F2A" w14:textId="4F3F0A92" w:rsidR="009E2C37" w:rsidRDefault="009E2C37" w:rsidP="00603C36">
      <w:pPr>
        <w:rPr>
          <w:rFonts w:ascii="Calibri" w:hAnsi="Calibri" w:cs="Calibri"/>
        </w:rPr>
      </w:pPr>
    </w:p>
    <w:p w14:paraId="4085547D" w14:textId="560703E5" w:rsidR="009E2C37" w:rsidRDefault="009E2C37" w:rsidP="00603C36">
      <w:pPr>
        <w:rPr>
          <w:rFonts w:ascii="Calibri" w:hAnsi="Calibri" w:cs="Calibri"/>
        </w:rPr>
      </w:pPr>
    </w:p>
    <w:p w14:paraId="662D42C7" w14:textId="7167BD48" w:rsidR="009E2C37" w:rsidRDefault="009E2C37" w:rsidP="00603C36">
      <w:pPr>
        <w:rPr>
          <w:rFonts w:ascii="Calibri" w:hAnsi="Calibri" w:cs="Calibri"/>
        </w:rPr>
      </w:pPr>
    </w:p>
    <w:p w14:paraId="33D57010" w14:textId="1E38E7DD" w:rsidR="009E2C37" w:rsidRDefault="009E2C37" w:rsidP="00603C36">
      <w:pPr>
        <w:rPr>
          <w:rFonts w:ascii="Calibri" w:hAnsi="Calibri" w:cs="Calibri"/>
        </w:rPr>
      </w:pPr>
    </w:p>
    <w:p w14:paraId="0823B8CB" w14:textId="5D74FD5D" w:rsidR="009E2C37" w:rsidRDefault="009E2C37" w:rsidP="00603C36">
      <w:pPr>
        <w:rPr>
          <w:rFonts w:ascii="Calibri" w:hAnsi="Calibri" w:cs="Calibri"/>
        </w:rPr>
      </w:pPr>
    </w:p>
    <w:p w14:paraId="6C28CCC6" w14:textId="7444A8A9" w:rsidR="009E2C37" w:rsidRDefault="009E2C37" w:rsidP="00603C36">
      <w:pPr>
        <w:rPr>
          <w:rFonts w:ascii="Calibri" w:hAnsi="Calibri" w:cs="Calibri"/>
        </w:rPr>
      </w:pPr>
    </w:p>
    <w:p w14:paraId="0907486B" w14:textId="7771EF6F" w:rsidR="009E2C37" w:rsidRDefault="009E2C37" w:rsidP="00603C36">
      <w:pPr>
        <w:rPr>
          <w:rFonts w:ascii="Calibri" w:hAnsi="Calibri" w:cs="Calibri"/>
        </w:rPr>
      </w:pPr>
    </w:p>
    <w:p w14:paraId="53374FF3" w14:textId="3ABB93DA" w:rsidR="009673BE" w:rsidRPr="00F37766" w:rsidRDefault="009673BE" w:rsidP="00603C36">
      <w:pPr>
        <w:rPr>
          <w:rFonts w:ascii="Calibri" w:hAnsi="Calibri" w:cs="Calibri"/>
          <w:b/>
          <w:bCs/>
        </w:rPr>
      </w:pPr>
      <w:r w:rsidRPr="00F37766">
        <w:rPr>
          <w:rFonts w:ascii="Calibri" w:hAnsi="Calibri" w:cs="Calibri"/>
          <w:b/>
          <w:bCs/>
        </w:rPr>
        <w:t xml:space="preserve">Table </w:t>
      </w:r>
      <w:r w:rsidR="0030776F" w:rsidRPr="00F37766">
        <w:rPr>
          <w:rFonts w:ascii="Calibri" w:hAnsi="Calibri" w:cs="Calibri"/>
          <w:b/>
          <w:bCs/>
        </w:rPr>
        <w:t>2</w:t>
      </w:r>
      <w:r w:rsidR="008D7D75" w:rsidRPr="00F37766">
        <w:rPr>
          <w:rFonts w:ascii="Calibri" w:hAnsi="Calibri" w:cs="Calibri"/>
          <w:b/>
          <w:bCs/>
        </w:rPr>
        <w:t>.</w:t>
      </w:r>
      <w:r w:rsidRPr="00F37766">
        <w:rPr>
          <w:rFonts w:ascii="Calibri" w:hAnsi="Calibri" w:cs="Calibri"/>
          <w:b/>
          <w:bCs/>
        </w:rPr>
        <w:t xml:space="preserve"> </w:t>
      </w:r>
      <w:r w:rsidR="0030776F" w:rsidRPr="00F37766">
        <w:rPr>
          <w:rFonts w:ascii="Calibri" w:hAnsi="Calibri" w:cs="Calibri"/>
          <w:b/>
          <w:bCs/>
        </w:rPr>
        <w:t>Fomite</w:t>
      </w:r>
      <w:r w:rsidR="008D7D75" w:rsidRPr="00F37766">
        <w:rPr>
          <w:rFonts w:ascii="Calibri" w:hAnsi="Calibri" w:cs="Calibri"/>
          <w:b/>
          <w:bCs/>
        </w:rPr>
        <w:t>-</w:t>
      </w:r>
      <w:r w:rsidR="0030776F" w:rsidRPr="00F37766">
        <w:rPr>
          <w:rFonts w:ascii="Calibri" w:hAnsi="Calibri" w:cs="Calibri"/>
          <w:b/>
          <w:bCs/>
        </w:rPr>
        <w:t>to</w:t>
      </w:r>
      <w:r w:rsidR="008D7D75" w:rsidRPr="00F37766">
        <w:rPr>
          <w:rFonts w:ascii="Calibri" w:hAnsi="Calibri" w:cs="Calibri"/>
          <w:b/>
          <w:bCs/>
        </w:rPr>
        <w:t>-</w:t>
      </w:r>
      <w:r w:rsidR="0030776F" w:rsidRPr="00F37766">
        <w:rPr>
          <w:rFonts w:ascii="Calibri" w:hAnsi="Calibri" w:cs="Calibri"/>
          <w:b/>
          <w:bCs/>
        </w:rPr>
        <w:t>finger</w:t>
      </w:r>
      <w:r w:rsidR="008D7D75" w:rsidRPr="00F37766">
        <w:rPr>
          <w:rFonts w:ascii="Calibri" w:hAnsi="Calibri" w:cs="Calibri"/>
          <w:b/>
          <w:bCs/>
        </w:rPr>
        <w:t xml:space="preserve"> pad</w:t>
      </w:r>
      <w:r w:rsidR="0030776F" w:rsidRPr="00F37766">
        <w:rPr>
          <w:rFonts w:ascii="Calibri" w:hAnsi="Calibri" w:cs="Calibri"/>
          <w:b/>
          <w:bCs/>
        </w:rPr>
        <w:t xml:space="preserve"> transfer </w:t>
      </w:r>
      <w:r w:rsidR="008D7D75" w:rsidRPr="00F37766">
        <w:rPr>
          <w:rFonts w:ascii="Calibri" w:hAnsi="Calibri" w:cs="Calibri"/>
          <w:b/>
          <w:bCs/>
        </w:rPr>
        <w:t xml:space="preserve">efficiencies </w:t>
      </w:r>
      <w:r w:rsidR="0030776F" w:rsidRPr="00F37766">
        <w:rPr>
          <w:rFonts w:ascii="Calibri" w:hAnsi="Calibri" w:cs="Calibri"/>
          <w:b/>
          <w:bCs/>
        </w:rPr>
        <w:t xml:space="preserve">of </w:t>
      </w:r>
      <w:r w:rsidR="008D7D75" w:rsidRPr="00F37766">
        <w:rPr>
          <w:rFonts w:ascii="Calibri" w:hAnsi="Calibri" w:cs="Calibri"/>
          <w:b/>
          <w:bCs/>
        </w:rPr>
        <w:t xml:space="preserve">human </w:t>
      </w:r>
      <w:r w:rsidR="0030776F" w:rsidRPr="00F37766">
        <w:rPr>
          <w:rFonts w:ascii="Calibri" w:hAnsi="Calibri" w:cs="Calibri"/>
          <w:b/>
          <w:bCs/>
        </w:rPr>
        <w:t>coronavirus 229E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701"/>
        <w:gridCol w:w="1738"/>
        <w:gridCol w:w="2492"/>
      </w:tblGrid>
      <w:tr w:rsidR="002833EC" w:rsidRPr="009E2C37" w14:paraId="3BAD0C8F" w14:textId="77777777" w:rsidTr="002833EC"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47C0CCC9" w14:textId="3FBCC387" w:rsidR="002833EC" w:rsidRPr="009E2C37" w:rsidRDefault="001A2B28" w:rsidP="00F37766">
            <w:pPr>
              <w:spacing w:line="480" w:lineRule="auto"/>
              <w:rPr>
                <w:rFonts w:ascii="Calibri" w:hAnsi="Calibri" w:cs="Calibri"/>
                <w:b/>
                <w:bCs/>
              </w:rPr>
            </w:pPr>
            <w:r w:rsidRPr="009E2C37">
              <w:rPr>
                <w:rFonts w:ascii="Calibri" w:hAnsi="Calibri" w:cs="Calibri"/>
                <w:b/>
                <w:bCs/>
              </w:rPr>
              <w:t>Fomite/</w:t>
            </w:r>
            <w:r w:rsidR="002833EC" w:rsidRPr="009E2C37">
              <w:rPr>
                <w:rFonts w:ascii="Calibri" w:hAnsi="Calibri" w:cs="Calibri"/>
                <w:b/>
                <w:bCs/>
              </w:rPr>
              <w:t>Surface Type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00AE6825" w14:textId="602C4BD6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  <w:b/>
                <w:bCs/>
              </w:rPr>
            </w:pPr>
            <w:r w:rsidRPr="009E2C37">
              <w:rPr>
                <w:rFonts w:ascii="Calibri" w:hAnsi="Calibri" w:cs="Calibri"/>
                <w:b/>
                <w:bCs/>
              </w:rPr>
              <w:t xml:space="preserve">Mean Pre-Transfer </w:t>
            </w:r>
            <w:r w:rsidR="00F568EB" w:rsidRPr="009E2C37">
              <w:rPr>
                <w:rFonts w:ascii="Calibri" w:hAnsi="Calibri" w:cs="Calibri"/>
                <w:b/>
                <w:bCs/>
              </w:rPr>
              <w:t xml:space="preserve">Surface </w:t>
            </w:r>
            <w:r w:rsidRPr="009E2C37">
              <w:rPr>
                <w:rFonts w:ascii="Calibri" w:hAnsi="Calibri" w:cs="Calibri"/>
                <w:b/>
                <w:bCs/>
              </w:rPr>
              <w:t>Viral Titer</w:t>
            </w:r>
          </w:p>
          <w:p w14:paraId="0D12181D" w14:textId="74F98BAF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  <w:b/>
                <w:bCs/>
              </w:rPr>
            </w:pPr>
            <w:r w:rsidRPr="009E2C37">
              <w:rPr>
                <w:rFonts w:ascii="Calibri" w:hAnsi="Calibri" w:cs="Calibri"/>
                <w:b/>
                <w:bCs/>
              </w:rPr>
              <w:t>Log</w:t>
            </w:r>
            <w:r w:rsidRPr="009E2C37">
              <w:rPr>
                <w:rFonts w:ascii="Calibri" w:hAnsi="Calibri" w:cs="Calibri"/>
                <w:b/>
                <w:bCs/>
                <w:vertAlign w:val="subscript"/>
              </w:rPr>
              <w:t>10</w:t>
            </w:r>
            <w:r w:rsidRPr="009E2C37">
              <w:rPr>
                <w:rFonts w:ascii="Calibri" w:hAnsi="Calibri" w:cs="Calibri"/>
                <w:b/>
                <w:bCs/>
              </w:rPr>
              <w:t xml:space="preserve"> ± S.D. (n=3)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528D0A94" w14:textId="592067AD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  <w:b/>
                <w:bCs/>
              </w:rPr>
            </w:pPr>
            <w:r w:rsidRPr="009E2C37">
              <w:rPr>
                <w:rFonts w:ascii="Calibri" w:hAnsi="Calibri" w:cs="Calibri"/>
                <w:b/>
                <w:bCs/>
              </w:rPr>
              <w:t xml:space="preserve">Transfer Replicates </w:t>
            </w:r>
          </w:p>
          <w:p w14:paraId="01D37C88" w14:textId="350D1936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  <w:b/>
                <w:bCs/>
              </w:rPr>
            </w:pPr>
            <w:r w:rsidRPr="009E2C37">
              <w:rPr>
                <w:rFonts w:ascii="Calibri" w:hAnsi="Calibri" w:cs="Calibri"/>
                <w:b/>
                <w:bCs/>
              </w:rPr>
              <w:t>(n)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vAlign w:val="center"/>
          </w:tcPr>
          <w:p w14:paraId="4A7D1575" w14:textId="46E45220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  <w:b/>
                <w:bCs/>
              </w:rPr>
            </w:pPr>
            <w:r w:rsidRPr="009E2C37">
              <w:rPr>
                <w:rFonts w:ascii="Calibri" w:hAnsi="Calibri" w:cs="Calibri"/>
                <w:b/>
                <w:bCs/>
              </w:rPr>
              <w:t>Mean Transfer Efficiency % ± S.D.</w:t>
            </w:r>
          </w:p>
        </w:tc>
      </w:tr>
      <w:tr w:rsidR="002833EC" w:rsidRPr="009E2C37" w14:paraId="12202EEA" w14:textId="77777777" w:rsidTr="002833EC">
        <w:tc>
          <w:tcPr>
            <w:tcW w:w="2429" w:type="dxa"/>
          </w:tcPr>
          <w:p w14:paraId="7B33EBED" w14:textId="6E15A9B4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Stainless steel</w:t>
            </w:r>
            <w:r w:rsidRPr="009E2C37">
              <w:rPr>
                <w:rFonts w:ascii="Calibri" w:hAnsi="Calibri" w:cs="Calibri"/>
                <w:vertAlign w:val="superscript"/>
              </w:rPr>
              <w:t>a</w:t>
            </w:r>
          </w:p>
        </w:tc>
        <w:tc>
          <w:tcPr>
            <w:tcW w:w="2701" w:type="dxa"/>
          </w:tcPr>
          <w:p w14:paraId="7E5DFF7C" w14:textId="2DAA2D16" w:rsidR="002833EC" w:rsidRPr="009E2C37" w:rsidRDefault="00D93AD7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4.78 ± 0.19</w:t>
            </w:r>
          </w:p>
        </w:tc>
        <w:tc>
          <w:tcPr>
            <w:tcW w:w="1738" w:type="dxa"/>
          </w:tcPr>
          <w:p w14:paraId="73256265" w14:textId="0A33C01E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6</w:t>
            </w:r>
          </w:p>
        </w:tc>
        <w:tc>
          <w:tcPr>
            <w:tcW w:w="2492" w:type="dxa"/>
          </w:tcPr>
          <w:p w14:paraId="11EED2F8" w14:textId="16FE2B88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0.008 ± 0.003</w:t>
            </w:r>
          </w:p>
        </w:tc>
      </w:tr>
      <w:tr w:rsidR="002833EC" w:rsidRPr="009E2C37" w14:paraId="3161E90E" w14:textId="77777777" w:rsidTr="002833EC">
        <w:tc>
          <w:tcPr>
            <w:tcW w:w="2429" w:type="dxa"/>
          </w:tcPr>
          <w:p w14:paraId="0F4CE7E9" w14:textId="5DDE5038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  <w:color w:val="000000" w:themeColor="text1"/>
              </w:rPr>
            </w:pPr>
            <w:r w:rsidRPr="009E2C37">
              <w:rPr>
                <w:rFonts w:ascii="Calibri" w:hAnsi="Calibri" w:cs="Calibri"/>
                <w:color w:val="000000" w:themeColor="text1"/>
              </w:rPr>
              <w:t>Stainless steel</w:t>
            </w:r>
            <w:r w:rsidRPr="009E2C37">
              <w:rPr>
                <w:rFonts w:ascii="Calibri" w:hAnsi="Calibri" w:cs="Calibri"/>
                <w:color w:val="000000" w:themeColor="text1"/>
                <w:vertAlign w:val="superscript"/>
              </w:rPr>
              <w:t>b</w:t>
            </w:r>
          </w:p>
        </w:tc>
        <w:tc>
          <w:tcPr>
            <w:tcW w:w="2701" w:type="dxa"/>
          </w:tcPr>
          <w:p w14:paraId="014B1D32" w14:textId="6900F336" w:rsidR="002833EC" w:rsidRPr="009E2C37" w:rsidRDefault="00B75810" w:rsidP="00F37766">
            <w:pPr>
              <w:spacing w:line="480" w:lineRule="auto"/>
              <w:rPr>
                <w:rFonts w:ascii="Calibri" w:hAnsi="Calibri" w:cs="Calibri"/>
                <w:color w:val="000000" w:themeColor="text1"/>
              </w:rPr>
            </w:pPr>
            <w:r w:rsidRPr="009E2C37">
              <w:rPr>
                <w:rFonts w:ascii="Calibri" w:hAnsi="Calibri" w:cs="Calibri"/>
                <w:color w:val="000000" w:themeColor="text1"/>
              </w:rPr>
              <w:t>4.94 ± 0.25</w:t>
            </w:r>
          </w:p>
        </w:tc>
        <w:tc>
          <w:tcPr>
            <w:tcW w:w="1738" w:type="dxa"/>
          </w:tcPr>
          <w:p w14:paraId="417ACB1D" w14:textId="00B9A5C4" w:rsidR="002833EC" w:rsidRPr="009E2C37" w:rsidRDefault="00B75810" w:rsidP="00F37766">
            <w:pPr>
              <w:spacing w:line="480" w:lineRule="auto"/>
              <w:rPr>
                <w:rFonts w:ascii="Calibri" w:hAnsi="Calibri" w:cs="Calibri"/>
                <w:color w:val="000000" w:themeColor="text1"/>
              </w:rPr>
            </w:pPr>
            <w:r w:rsidRPr="009E2C37"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2492" w:type="dxa"/>
          </w:tcPr>
          <w:p w14:paraId="14699410" w14:textId="273D597E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  <w:color w:val="000000" w:themeColor="text1"/>
              </w:rPr>
            </w:pPr>
            <w:r w:rsidRPr="009E2C37">
              <w:rPr>
                <w:rFonts w:ascii="Calibri" w:hAnsi="Calibri" w:cs="Calibri"/>
                <w:color w:val="000000" w:themeColor="text1"/>
              </w:rPr>
              <w:t>0.46 ± 0.57</w:t>
            </w:r>
          </w:p>
        </w:tc>
      </w:tr>
      <w:tr w:rsidR="002833EC" w:rsidRPr="009E2C37" w14:paraId="0844C567" w14:textId="77777777" w:rsidTr="002833EC">
        <w:tc>
          <w:tcPr>
            <w:tcW w:w="2429" w:type="dxa"/>
          </w:tcPr>
          <w:p w14:paraId="77B49109" w14:textId="34B86676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  <w:color w:val="000000" w:themeColor="text1"/>
              </w:rPr>
            </w:pPr>
            <w:r w:rsidRPr="009E2C37">
              <w:rPr>
                <w:rFonts w:ascii="Calibri" w:hAnsi="Calibri" w:cs="Calibri"/>
                <w:color w:val="000000" w:themeColor="text1"/>
              </w:rPr>
              <w:t>Glass</w:t>
            </w:r>
            <w:r w:rsidRPr="009E2C37">
              <w:rPr>
                <w:rFonts w:ascii="Calibri" w:hAnsi="Calibri" w:cs="Calibri"/>
                <w:color w:val="000000" w:themeColor="text1"/>
                <w:vertAlign w:val="superscript"/>
              </w:rPr>
              <w:t>b</w:t>
            </w:r>
          </w:p>
        </w:tc>
        <w:tc>
          <w:tcPr>
            <w:tcW w:w="2701" w:type="dxa"/>
          </w:tcPr>
          <w:p w14:paraId="09C8526A" w14:textId="5AB3A97C" w:rsidR="002833EC" w:rsidRPr="009E2C37" w:rsidRDefault="00035879" w:rsidP="00F37766">
            <w:pPr>
              <w:spacing w:line="480" w:lineRule="auto"/>
              <w:rPr>
                <w:rFonts w:ascii="Calibri" w:hAnsi="Calibri" w:cs="Calibri"/>
                <w:color w:val="000000" w:themeColor="text1"/>
              </w:rPr>
            </w:pPr>
            <w:r w:rsidRPr="009E2C37">
              <w:rPr>
                <w:rFonts w:ascii="Calibri" w:hAnsi="Calibri" w:cs="Calibri"/>
                <w:color w:val="000000" w:themeColor="text1"/>
              </w:rPr>
              <w:t>4.17 ± 0.17</w:t>
            </w:r>
          </w:p>
        </w:tc>
        <w:tc>
          <w:tcPr>
            <w:tcW w:w="1738" w:type="dxa"/>
          </w:tcPr>
          <w:p w14:paraId="0356C9D4" w14:textId="39ABAAE8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  <w:color w:val="000000" w:themeColor="text1"/>
              </w:rPr>
            </w:pPr>
            <w:r w:rsidRPr="009E2C37"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2492" w:type="dxa"/>
          </w:tcPr>
          <w:p w14:paraId="652CF1CA" w14:textId="135B280C" w:rsidR="002833EC" w:rsidRPr="009E2C37" w:rsidRDefault="00035879" w:rsidP="00F37766">
            <w:pPr>
              <w:spacing w:line="480" w:lineRule="auto"/>
              <w:rPr>
                <w:rFonts w:ascii="Calibri" w:hAnsi="Calibri" w:cs="Calibri"/>
                <w:color w:val="000000" w:themeColor="text1"/>
              </w:rPr>
            </w:pPr>
            <w:r w:rsidRPr="009E2C37">
              <w:rPr>
                <w:rFonts w:ascii="Calibri" w:hAnsi="Calibri" w:cs="Calibri"/>
                <w:color w:val="000000" w:themeColor="text1"/>
              </w:rPr>
              <w:t>37.24</w:t>
            </w:r>
            <w:r w:rsidR="002833EC" w:rsidRPr="009E2C37">
              <w:rPr>
                <w:rFonts w:ascii="Calibri" w:hAnsi="Calibri" w:cs="Calibri"/>
                <w:color w:val="000000" w:themeColor="text1"/>
              </w:rPr>
              <w:t xml:space="preserve"> ± </w:t>
            </w:r>
            <w:r w:rsidRPr="009E2C37">
              <w:rPr>
                <w:rFonts w:ascii="Calibri" w:hAnsi="Calibri" w:cs="Calibri"/>
                <w:color w:val="000000" w:themeColor="text1"/>
              </w:rPr>
              <w:t>82</w:t>
            </w:r>
            <w:r w:rsidR="002833EC" w:rsidRPr="009E2C37">
              <w:rPr>
                <w:rFonts w:ascii="Calibri" w:hAnsi="Calibri" w:cs="Calibri"/>
                <w:color w:val="000000" w:themeColor="text1"/>
              </w:rPr>
              <w:t>.</w:t>
            </w:r>
            <w:r w:rsidRPr="009E2C37">
              <w:rPr>
                <w:rFonts w:ascii="Calibri" w:hAnsi="Calibri" w:cs="Calibri"/>
                <w:color w:val="000000" w:themeColor="text1"/>
              </w:rPr>
              <w:t>34</w:t>
            </w:r>
          </w:p>
        </w:tc>
      </w:tr>
      <w:tr w:rsidR="0071475C" w:rsidRPr="009E2C37" w14:paraId="021D24DC" w14:textId="77777777" w:rsidTr="002833EC">
        <w:tc>
          <w:tcPr>
            <w:tcW w:w="2429" w:type="dxa"/>
          </w:tcPr>
          <w:p w14:paraId="57A591C0" w14:textId="060A68F3" w:rsidR="0071475C" w:rsidRPr="009E2C37" w:rsidRDefault="0071475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Glazed porcelain</w:t>
            </w:r>
            <w:r w:rsidRPr="009E2C37">
              <w:rPr>
                <w:rFonts w:ascii="Calibri" w:hAnsi="Calibri" w:cs="Calibri"/>
                <w:vertAlign w:val="superscript"/>
              </w:rPr>
              <w:t>b</w:t>
            </w:r>
          </w:p>
        </w:tc>
        <w:tc>
          <w:tcPr>
            <w:tcW w:w="2701" w:type="dxa"/>
          </w:tcPr>
          <w:p w14:paraId="05D56518" w14:textId="64ADA3D8" w:rsidR="0071475C" w:rsidRPr="009E2C37" w:rsidRDefault="008E3C57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4.72 ± 0.10</w:t>
            </w:r>
          </w:p>
        </w:tc>
        <w:tc>
          <w:tcPr>
            <w:tcW w:w="1738" w:type="dxa"/>
          </w:tcPr>
          <w:p w14:paraId="6694043C" w14:textId="6E87EE64" w:rsidR="0071475C" w:rsidRPr="009E2C37" w:rsidRDefault="00CD1A48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6</w:t>
            </w:r>
          </w:p>
        </w:tc>
        <w:tc>
          <w:tcPr>
            <w:tcW w:w="2492" w:type="dxa"/>
          </w:tcPr>
          <w:p w14:paraId="57736CAE" w14:textId="782E9BEE" w:rsidR="0071475C" w:rsidRPr="009E2C37" w:rsidRDefault="00CD1A48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49.07 ± 16.70</w:t>
            </w:r>
          </w:p>
        </w:tc>
      </w:tr>
      <w:tr w:rsidR="002833EC" w:rsidRPr="009E2C37" w14:paraId="374F5DB6" w14:textId="77777777" w:rsidTr="002833EC">
        <w:tc>
          <w:tcPr>
            <w:tcW w:w="2429" w:type="dxa"/>
          </w:tcPr>
          <w:p w14:paraId="306A8437" w14:textId="7A660CFD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Laminate</w:t>
            </w:r>
            <w:r w:rsidRPr="009E2C37">
              <w:rPr>
                <w:rFonts w:ascii="Calibri" w:hAnsi="Calibri" w:cs="Calibri"/>
                <w:vertAlign w:val="superscript"/>
              </w:rPr>
              <w:t>b</w:t>
            </w:r>
          </w:p>
        </w:tc>
        <w:tc>
          <w:tcPr>
            <w:tcW w:w="2701" w:type="dxa"/>
          </w:tcPr>
          <w:p w14:paraId="72A2026F" w14:textId="7392F9A6" w:rsidR="002833EC" w:rsidRPr="009E2C37" w:rsidRDefault="0061313B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4.28 ± 0.10</w:t>
            </w:r>
          </w:p>
        </w:tc>
        <w:tc>
          <w:tcPr>
            <w:tcW w:w="1738" w:type="dxa"/>
          </w:tcPr>
          <w:p w14:paraId="3BD6E580" w14:textId="650E5A10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6</w:t>
            </w:r>
          </w:p>
        </w:tc>
        <w:tc>
          <w:tcPr>
            <w:tcW w:w="2492" w:type="dxa"/>
          </w:tcPr>
          <w:p w14:paraId="015F1258" w14:textId="2E3A530F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6.5</w:t>
            </w:r>
            <w:r w:rsidR="005519DA" w:rsidRPr="009E2C37">
              <w:rPr>
                <w:rFonts w:ascii="Calibri" w:hAnsi="Calibri" w:cs="Calibri"/>
              </w:rPr>
              <w:t>5</w:t>
            </w:r>
            <w:r w:rsidRPr="009E2C37">
              <w:rPr>
                <w:rFonts w:ascii="Calibri" w:hAnsi="Calibri" w:cs="Calibri"/>
              </w:rPr>
              <w:t xml:space="preserve"> ± 5.48</w:t>
            </w:r>
          </w:p>
        </w:tc>
      </w:tr>
      <w:tr w:rsidR="002833EC" w:rsidRPr="009E2C37" w14:paraId="4ED66F66" w14:textId="77777777" w:rsidTr="002833EC">
        <w:trPr>
          <w:trHeight w:val="297"/>
        </w:trPr>
        <w:tc>
          <w:tcPr>
            <w:tcW w:w="2429" w:type="dxa"/>
            <w:tcBorders>
              <w:bottom w:val="single" w:sz="4" w:space="0" w:color="auto"/>
            </w:tcBorders>
          </w:tcPr>
          <w:p w14:paraId="4C9A248D" w14:textId="6F53BC27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Formica</w:t>
            </w:r>
            <w:r w:rsidRPr="009E2C37">
              <w:rPr>
                <w:rFonts w:ascii="Calibri" w:hAnsi="Calibri" w:cs="Calibri"/>
                <w:vertAlign w:val="superscript"/>
              </w:rPr>
              <w:t>b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386E0FA0" w14:textId="7BC73917" w:rsidR="002833EC" w:rsidRPr="009E2C37" w:rsidRDefault="00915523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4.44 ± 0.10</w:t>
            </w: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14:paraId="097B5F35" w14:textId="7B925905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6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50790C37" w14:textId="0D5BEFA8" w:rsidR="002833EC" w:rsidRPr="009E2C37" w:rsidRDefault="002833EC" w:rsidP="00F37766">
            <w:pPr>
              <w:spacing w:line="480" w:lineRule="auto"/>
              <w:rPr>
                <w:rFonts w:ascii="Calibri" w:hAnsi="Calibri" w:cs="Calibri"/>
              </w:rPr>
            </w:pPr>
            <w:r w:rsidRPr="009E2C37">
              <w:rPr>
                <w:rFonts w:ascii="Calibri" w:hAnsi="Calibri" w:cs="Calibri"/>
              </w:rPr>
              <w:t>25.38 ± 28.4</w:t>
            </w:r>
          </w:p>
        </w:tc>
      </w:tr>
    </w:tbl>
    <w:p w14:paraId="009B06C1" w14:textId="5C8B8978" w:rsidR="0030776F" w:rsidRPr="009E2C37" w:rsidRDefault="00465584" w:rsidP="00F37766">
      <w:pPr>
        <w:pStyle w:val="NoSpacing"/>
        <w:spacing w:line="480" w:lineRule="auto"/>
        <w:rPr>
          <w:rFonts w:ascii="Calibri" w:hAnsi="Calibri" w:cs="Calibri"/>
        </w:rPr>
      </w:pPr>
      <w:r w:rsidRPr="009E2C37">
        <w:rPr>
          <w:rFonts w:ascii="Calibri" w:hAnsi="Calibri" w:cs="Calibri"/>
          <w:vertAlign w:val="superscript"/>
        </w:rPr>
        <w:t>a</w:t>
      </w:r>
      <w:r w:rsidRPr="009E2C37">
        <w:rPr>
          <w:rFonts w:ascii="Calibri" w:hAnsi="Calibri" w:cs="Calibri"/>
        </w:rPr>
        <w:t>Swab method</w:t>
      </w:r>
    </w:p>
    <w:p w14:paraId="0A91D9E5" w14:textId="0CD6AC23" w:rsidR="00465584" w:rsidRPr="009E2C37" w:rsidRDefault="00465584" w:rsidP="00F37766">
      <w:pPr>
        <w:pStyle w:val="NoSpacing"/>
        <w:spacing w:line="480" w:lineRule="auto"/>
        <w:rPr>
          <w:rFonts w:ascii="Calibri" w:hAnsi="Calibri" w:cs="Calibri"/>
        </w:rPr>
      </w:pPr>
      <w:r w:rsidRPr="009E2C37">
        <w:rPr>
          <w:rFonts w:ascii="Calibri" w:hAnsi="Calibri" w:cs="Calibri"/>
          <w:vertAlign w:val="superscript"/>
        </w:rPr>
        <w:t>b</w:t>
      </w:r>
      <w:r w:rsidRPr="009E2C37">
        <w:rPr>
          <w:rFonts w:ascii="Calibri" w:hAnsi="Calibri" w:cs="Calibri"/>
        </w:rPr>
        <w:t>Wash metho</w:t>
      </w:r>
      <w:r w:rsidR="002833EC" w:rsidRPr="009E2C37">
        <w:rPr>
          <w:rFonts w:ascii="Calibri" w:hAnsi="Calibri" w:cs="Calibri"/>
        </w:rPr>
        <w:t>d</w:t>
      </w:r>
    </w:p>
    <w:p w14:paraId="2A07142A" w14:textId="77777777" w:rsidR="00465584" w:rsidRPr="009E2C37" w:rsidRDefault="00465584" w:rsidP="00F37766">
      <w:pPr>
        <w:spacing w:after="0" w:line="480" w:lineRule="auto"/>
        <w:rPr>
          <w:rFonts w:ascii="Calibri" w:hAnsi="Calibri" w:cs="Calibri"/>
          <w:b/>
          <w:bCs/>
        </w:rPr>
      </w:pPr>
    </w:p>
    <w:p w14:paraId="20EBE8E8" w14:textId="77777777" w:rsidR="00603C36" w:rsidRPr="009E2C37" w:rsidRDefault="00603C36" w:rsidP="00603C36">
      <w:pPr>
        <w:rPr>
          <w:rFonts w:ascii="Calibri" w:hAnsi="Calibri" w:cs="Calibri"/>
          <w:b/>
          <w:bCs/>
        </w:rPr>
      </w:pPr>
    </w:p>
    <w:p w14:paraId="27505093" w14:textId="77777777" w:rsidR="00603C36" w:rsidRPr="009E2C37" w:rsidRDefault="00603C36" w:rsidP="00603C36">
      <w:pPr>
        <w:rPr>
          <w:rFonts w:cstheme="minorHAnsi"/>
          <w:b/>
          <w:bCs/>
        </w:rPr>
      </w:pPr>
    </w:p>
    <w:p w14:paraId="7B4CBFF4" w14:textId="77777777" w:rsidR="00603C36" w:rsidRPr="009E2C37" w:rsidRDefault="00603C36" w:rsidP="00603C36">
      <w:pPr>
        <w:rPr>
          <w:rFonts w:cstheme="minorHAnsi"/>
          <w:b/>
          <w:bCs/>
        </w:rPr>
      </w:pPr>
    </w:p>
    <w:p w14:paraId="50383E33" w14:textId="77777777" w:rsidR="00603C36" w:rsidRPr="009E2C37" w:rsidRDefault="00603C36" w:rsidP="00603C36">
      <w:pPr>
        <w:rPr>
          <w:rFonts w:cstheme="minorHAnsi"/>
          <w:b/>
          <w:bCs/>
        </w:rPr>
      </w:pPr>
    </w:p>
    <w:p w14:paraId="40043DC3" w14:textId="77777777" w:rsidR="00603C36" w:rsidRPr="009E2C37" w:rsidRDefault="00603C36" w:rsidP="00603C36">
      <w:pPr>
        <w:rPr>
          <w:rFonts w:cstheme="minorHAnsi"/>
          <w:b/>
          <w:bCs/>
        </w:rPr>
      </w:pPr>
    </w:p>
    <w:p w14:paraId="1D2B0E66" w14:textId="77777777" w:rsidR="00603C36" w:rsidRPr="009E2C37" w:rsidRDefault="00603C36" w:rsidP="00603C36">
      <w:pPr>
        <w:rPr>
          <w:rFonts w:cstheme="minorHAnsi"/>
          <w:b/>
          <w:bCs/>
        </w:rPr>
      </w:pPr>
    </w:p>
    <w:p w14:paraId="3DE8FC4D" w14:textId="2D645BC5" w:rsidR="00603C36" w:rsidRPr="009E2C37" w:rsidRDefault="00603C36" w:rsidP="00603C36">
      <w:pPr>
        <w:rPr>
          <w:rFonts w:cstheme="minorHAnsi"/>
          <w:b/>
          <w:bCs/>
        </w:rPr>
      </w:pPr>
    </w:p>
    <w:p w14:paraId="56BD7A4C" w14:textId="0DC474B8" w:rsidR="00FC2A3B" w:rsidRPr="009E2C37" w:rsidRDefault="00FC2A3B" w:rsidP="00603C36">
      <w:pPr>
        <w:rPr>
          <w:rFonts w:cstheme="minorHAnsi"/>
          <w:b/>
          <w:bCs/>
        </w:rPr>
      </w:pPr>
    </w:p>
    <w:p w14:paraId="0B65C701" w14:textId="52D1772B" w:rsidR="00AD7142" w:rsidRDefault="00C72063" w:rsidP="00AD7142">
      <w:pPr>
        <w:spacing w:after="0" w:line="480" w:lineRule="auto"/>
        <w:rPr>
          <w:rFonts w:cstheme="minorHAnsi"/>
          <w:color w:val="FF0000"/>
        </w:rPr>
      </w:pPr>
      <w:r>
        <w:rPr>
          <w:rFonts w:cstheme="minorHAnsi"/>
        </w:rPr>
        <w:t xml:space="preserve">Financial Support. </w:t>
      </w:r>
      <w:r w:rsidR="00FC2A3B" w:rsidRPr="009E2C37">
        <w:rPr>
          <w:rFonts w:cstheme="minorHAnsi"/>
        </w:rPr>
        <w:t>This study was supported in part from a grant to the University of Arizona from Allied Biosciences</w:t>
      </w:r>
      <w:r w:rsidR="00913DBE" w:rsidRPr="009E2C37">
        <w:rPr>
          <w:rFonts w:cstheme="minorHAnsi"/>
        </w:rPr>
        <w:t xml:space="preserve"> </w:t>
      </w:r>
      <w:r w:rsidR="00913DBE" w:rsidRPr="00AD7142">
        <w:rPr>
          <w:rFonts w:cstheme="minorHAnsi"/>
          <w:color w:val="FF0000"/>
        </w:rPr>
        <w:t xml:space="preserve">and </w:t>
      </w:r>
      <w:r w:rsidR="00291639" w:rsidRPr="00AD7142">
        <w:rPr>
          <w:rFonts w:cstheme="minorHAnsi"/>
          <w:color w:val="FF0000"/>
        </w:rPr>
        <w:t xml:space="preserve">Disinfection Gift Trust Fund </w:t>
      </w:r>
      <w:r w:rsidR="00196009">
        <w:rPr>
          <w:rFonts w:cstheme="minorHAnsi"/>
          <w:color w:val="FF0000"/>
        </w:rPr>
        <w:t>at the University of North Carolina</w:t>
      </w:r>
      <w:r w:rsidR="00913DBE" w:rsidRPr="00AD7142">
        <w:rPr>
          <w:rFonts w:cstheme="minorHAnsi"/>
          <w:color w:val="FF0000"/>
        </w:rPr>
        <w:t>.</w:t>
      </w:r>
      <w:r w:rsidR="00FC2A3B" w:rsidRPr="00AD7142">
        <w:rPr>
          <w:rFonts w:cstheme="minorHAnsi"/>
          <w:color w:val="FF0000"/>
        </w:rPr>
        <w:t xml:space="preserve"> </w:t>
      </w:r>
    </w:p>
    <w:p w14:paraId="552A9CD7" w14:textId="322AE331" w:rsidR="00C72063" w:rsidRPr="00AD7142" w:rsidRDefault="00C72063" w:rsidP="00AD7142">
      <w:pPr>
        <w:spacing w:after="0" w:line="48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Disclosures. </w:t>
      </w:r>
      <w:r w:rsidR="00FB6F46">
        <w:rPr>
          <w:rFonts w:cstheme="minorHAnsi"/>
          <w:color w:val="FF0000"/>
        </w:rPr>
        <w:t xml:space="preserve">Dr. Rutala is a consultant to Professional Disposables International (PDI). </w:t>
      </w:r>
    </w:p>
    <w:p w14:paraId="5B6B7625" w14:textId="77777777" w:rsidR="00C72063" w:rsidRDefault="00C72063" w:rsidP="00AD7142">
      <w:pPr>
        <w:spacing w:after="0" w:line="480" w:lineRule="auto"/>
        <w:rPr>
          <w:rFonts w:cstheme="minorHAnsi"/>
          <w:b/>
          <w:bCs/>
        </w:rPr>
      </w:pPr>
    </w:p>
    <w:p w14:paraId="729EAEE3" w14:textId="44BE8119" w:rsidR="00372388" w:rsidRPr="00AD7142" w:rsidRDefault="00955E39" w:rsidP="00AD7142">
      <w:pPr>
        <w:spacing w:after="0" w:line="480" w:lineRule="auto"/>
        <w:rPr>
          <w:rFonts w:cstheme="minorHAnsi"/>
        </w:rPr>
      </w:pPr>
      <w:r w:rsidRPr="009E2C37">
        <w:rPr>
          <w:rFonts w:cstheme="minorHAnsi"/>
          <w:b/>
          <w:bCs/>
        </w:rPr>
        <w:lastRenderedPageBreak/>
        <w:t>References</w:t>
      </w:r>
    </w:p>
    <w:p w14:paraId="242887B0" w14:textId="41EA3D49" w:rsidR="00291639" w:rsidRDefault="00291639">
      <w:pPr>
        <w:rPr>
          <w:rFonts w:cstheme="minorHAnsi"/>
          <w:b/>
          <w:bCs/>
        </w:rPr>
      </w:pPr>
    </w:p>
    <w:p w14:paraId="2FB0DE81" w14:textId="63962EF3" w:rsidR="00291639" w:rsidRPr="00C72063" w:rsidRDefault="00291639" w:rsidP="00291639">
      <w:pPr>
        <w:pStyle w:val="ListParagraph"/>
        <w:numPr>
          <w:ilvl w:val="0"/>
          <w:numId w:val="2"/>
        </w:numPr>
        <w:rPr>
          <w:rFonts w:cstheme="minorHAnsi"/>
        </w:rPr>
      </w:pPr>
      <w:r w:rsidRPr="00C72063">
        <w:rPr>
          <w:rFonts w:cstheme="minorHAnsi"/>
        </w:rPr>
        <w:t xml:space="preserve">Nicas M, Best D. A study quantifying the hand-to-face contact rate and its potential application to predicting respiratory tract infection. </w:t>
      </w:r>
      <w:r w:rsidRPr="00C72063">
        <w:rPr>
          <w:rFonts w:cstheme="minorHAnsi"/>
          <w:i/>
          <w:iCs/>
        </w:rPr>
        <w:t>J Occup Environ Hyg</w:t>
      </w:r>
      <w:r w:rsidRPr="00C72063">
        <w:rPr>
          <w:rFonts w:cstheme="minorHAnsi"/>
        </w:rPr>
        <w:t xml:space="preserve"> 2008; 5:347–352.</w:t>
      </w:r>
    </w:p>
    <w:p w14:paraId="1393FA0B" w14:textId="77777777" w:rsidR="00291639" w:rsidRPr="00C72063" w:rsidRDefault="00291639" w:rsidP="00291639">
      <w:pPr>
        <w:pStyle w:val="ListParagraph"/>
        <w:rPr>
          <w:rFonts w:cstheme="minorHAnsi"/>
        </w:rPr>
      </w:pPr>
    </w:p>
    <w:p w14:paraId="684B19A2" w14:textId="77777777" w:rsidR="00291639" w:rsidRPr="00C72063" w:rsidRDefault="00291639" w:rsidP="00291639">
      <w:pPr>
        <w:pStyle w:val="ListParagraph"/>
        <w:numPr>
          <w:ilvl w:val="0"/>
          <w:numId w:val="2"/>
        </w:numPr>
        <w:rPr>
          <w:rFonts w:cstheme="minorHAnsi"/>
        </w:rPr>
      </w:pPr>
      <w:r w:rsidRPr="00C72063">
        <w:rPr>
          <w:rFonts w:cstheme="minorHAnsi"/>
        </w:rPr>
        <w:t xml:space="preserve">Haas, CN, Rose JB, Gerba CP. </w:t>
      </w:r>
      <w:r w:rsidRPr="00C72063">
        <w:rPr>
          <w:rFonts w:cstheme="minorHAnsi"/>
          <w:i/>
          <w:iCs/>
        </w:rPr>
        <w:t>Quantitative Microbial Risk Assessment</w:t>
      </w:r>
      <w:r w:rsidRPr="00C72063">
        <w:rPr>
          <w:rFonts w:cstheme="minorHAnsi"/>
        </w:rPr>
        <w:t>. 2nd ed. New York, NY: John Wiley; 2014.</w:t>
      </w:r>
    </w:p>
    <w:p w14:paraId="767C1136" w14:textId="6F2DF05C" w:rsidR="00291639" w:rsidRPr="00C72063" w:rsidRDefault="00291639" w:rsidP="00AD7142">
      <w:pPr>
        <w:pStyle w:val="EndnoteTex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72063">
        <w:rPr>
          <w:rFonts w:cstheme="minorHAnsi"/>
          <w:sz w:val="22"/>
          <w:szCs w:val="22"/>
        </w:rPr>
        <w:t xml:space="preserve">Ansari SA, Sattar SA, Springthorpe VS, Wells GA, Tostowaryk W. Rotavirus survival on human hands and transfer of infectious virus to animate and nonporous inanimate surfaces. </w:t>
      </w:r>
      <w:r w:rsidRPr="00C72063">
        <w:rPr>
          <w:rFonts w:cstheme="minorHAnsi"/>
          <w:i/>
          <w:iCs/>
          <w:sz w:val="22"/>
          <w:szCs w:val="22"/>
        </w:rPr>
        <w:t>J Clin Microbiol</w:t>
      </w:r>
      <w:r w:rsidRPr="00C72063">
        <w:rPr>
          <w:rFonts w:cstheme="minorHAnsi"/>
          <w:sz w:val="22"/>
          <w:szCs w:val="22"/>
        </w:rPr>
        <w:t xml:space="preserve"> 1988; 26:1513–1518.</w:t>
      </w:r>
    </w:p>
    <w:p w14:paraId="506AF50E" w14:textId="77777777" w:rsidR="00AD7142" w:rsidRPr="00C72063" w:rsidRDefault="00AD7142" w:rsidP="00AD7142">
      <w:pPr>
        <w:pStyle w:val="EndnoteText"/>
        <w:ind w:left="720"/>
        <w:rPr>
          <w:rFonts w:cstheme="minorHAnsi"/>
          <w:sz w:val="22"/>
          <w:szCs w:val="22"/>
        </w:rPr>
      </w:pPr>
    </w:p>
    <w:p w14:paraId="5F955C4C" w14:textId="5EE84541" w:rsidR="00291639" w:rsidRPr="00C72063" w:rsidRDefault="00291639" w:rsidP="00AD7142">
      <w:pPr>
        <w:pStyle w:val="EndnoteTex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72063">
        <w:rPr>
          <w:rFonts w:cstheme="minorHAnsi"/>
          <w:sz w:val="22"/>
          <w:szCs w:val="22"/>
        </w:rPr>
        <w:t xml:space="preserve">Lopez GU, Gerba CP, Tamimi AH, Kitajima M, Maxwell SK and Rose JB. Transfer efficiency of bacteria and viruses from porous and nonporous fomites to fingers under different relative humidity. </w:t>
      </w:r>
      <w:r w:rsidRPr="00C72063">
        <w:rPr>
          <w:rFonts w:cstheme="minorHAnsi"/>
          <w:i/>
          <w:iCs/>
          <w:sz w:val="22"/>
          <w:szCs w:val="22"/>
        </w:rPr>
        <w:t>Appl Environ Microbiol</w:t>
      </w:r>
      <w:r w:rsidRPr="00C72063">
        <w:rPr>
          <w:rFonts w:cstheme="minorHAnsi"/>
          <w:sz w:val="22"/>
          <w:szCs w:val="22"/>
        </w:rPr>
        <w:t xml:space="preserve"> 2013; 79:5728-5734.</w:t>
      </w:r>
    </w:p>
    <w:p w14:paraId="4BFD02E9" w14:textId="77777777" w:rsidR="00AD7142" w:rsidRPr="00C72063" w:rsidRDefault="00AD7142" w:rsidP="00AD7142">
      <w:pPr>
        <w:pStyle w:val="ListParagraph"/>
        <w:rPr>
          <w:rFonts w:cstheme="minorHAnsi"/>
        </w:rPr>
      </w:pPr>
    </w:p>
    <w:p w14:paraId="02EEBE26" w14:textId="6AB3ACF1" w:rsidR="00291639" w:rsidRPr="00C72063" w:rsidRDefault="00291639" w:rsidP="00AD7142">
      <w:pPr>
        <w:pStyle w:val="EndnoteTex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72063">
        <w:rPr>
          <w:rFonts w:cstheme="minorHAnsi"/>
          <w:sz w:val="22"/>
          <w:szCs w:val="22"/>
        </w:rPr>
        <w:t xml:space="preserve">Rusin, P, Maxwell S, Gerba, CP. Comparative surface-to-hand and ginger-to-mouth transfer efficiency of gram-positive bacteria, gram-negative bacteria, and phage. </w:t>
      </w:r>
      <w:r w:rsidRPr="00C72063">
        <w:rPr>
          <w:rFonts w:cstheme="minorHAnsi"/>
          <w:i/>
          <w:iCs/>
          <w:sz w:val="22"/>
          <w:szCs w:val="22"/>
        </w:rPr>
        <w:t xml:space="preserve">J Appl Microbiol </w:t>
      </w:r>
      <w:r w:rsidRPr="00C72063">
        <w:rPr>
          <w:rFonts w:cstheme="minorHAnsi"/>
          <w:sz w:val="22"/>
          <w:szCs w:val="22"/>
        </w:rPr>
        <w:t>2002; 93: 585-592.</w:t>
      </w:r>
    </w:p>
    <w:p w14:paraId="077CF15E" w14:textId="77777777" w:rsidR="00AD7142" w:rsidRPr="00C72063" w:rsidRDefault="00AD7142" w:rsidP="00AD7142">
      <w:pPr>
        <w:pStyle w:val="ListParagraph"/>
        <w:rPr>
          <w:rFonts w:cstheme="minorHAnsi"/>
        </w:rPr>
      </w:pPr>
    </w:p>
    <w:p w14:paraId="7E32A083" w14:textId="0516B66D" w:rsidR="00291639" w:rsidRPr="00C72063" w:rsidRDefault="00291639" w:rsidP="00AD7142">
      <w:pPr>
        <w:pStyle w:val="EndnoteTex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72063">
        <w:rPr>
          <w:rFonts w:cstheme="minorHAnsi"/>
          <w:sz w:val="22"/>
          <w:szCs w:val="22"/>
        </w:rPr>
        <w:t xml:space="preserve">Gwaltney J. Rhinoviruses. In: Evans AS, Kaslow, RA. </w:t>
      </w:r>
      <w:r w:rsidRPr="00C72063">
        <w:rPr>
          <w:rFonts w:cstheme="minorHAnsi"/>
          <w:i/>
          <w:iCs/>
          <w:sz w:val="22"/>
          <w:szCs w:val="22"/>
        </w:rPr>
        <w:t>Viral Infections of Humans</w:t>
      </w:r>
      <w:r w:rsidRPr="00C72063">
        <w:rPr>
          <w:rFonts w:cstheme="minorHAnsi"/>
          <w:sz w:val="22"/>
          <w:szCs w:val="22"/>
        </w:rPr>
        <w:t>. Plenum, New York, NY. 2012: 815-838.</w:t>
      </w:r>
    </w:p>
    <w:p w14:paraId="50A65B44" w14:textId="77777777" w:rsidR="00AD7142" w:rsidRPr="00C72063" w:rsidRDefault="00AD7142" w:rsidP="00AD7142">
      <w:pPr>
        <w:pStyle w:val="ListParagraph"/>
        <w:rPr>
          <w:rFonts w:cstheme="minorHAnsi"/>
        </w:rPr>
      </w:pPr>
    </w:p>
    <w:p w14:paraId="251E8B3C" w14:textId="223D2EA0" w:rsidR="00291639" w:rsidRPr="00C72063" w:rsidRDefault="00291639" w:rsidP="00AD7142">
      <w:pPr>
        <w:pStyle w:val="EndnoteTex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72063">
        <w:rPr>
          <w:rFonts w:cstheme="minorHAnsi"/>
          <w:sz w:val="22"/>
          <w:szCs w:val="22"/>
        </w:rPr>
        <w:t xml:space="preserve">McInosh, K. Respiratory syncytial virus. In: Evans, AS, Kaslow, RA. </w:t>
      </w:r>
      <w:r w:rsidRPr="00C72063">
        <w:rPr>
          <w:rFonts w:cstheme="minorHAnsi"/>
          <w:i/>
          <w:iCs/>
          <w:sz w:val="22"/>
          <w:szCs w:val="22"/>
        </w:rPr>
        <w:t>Viral Infections of Humans</w:t>
      </w:r>
      <w:r w:rsidRPr="00C72063">
        <w:rPr>
          <w:rFonts w:cstheme="minorHAnsi"/>
          <w:sz w:val="22"/>
          <w:szCs w:val="22"/>
        </w:rPr>
        <w:t>. Plenum, New York, NY. 1997: 691-711.</w:t>
      </w:r>
    </w:p>
    <w:p w14:paraId="4B9934C9" w14:textId="77777777" w:rsidR="00AD7142" w:rsidRPr="00C72063" w:rsidRDefault="00AD7142" w:rsidP="00AD7142">
      <w:pPr>
        <w:pStyle w:val="ListParagraph"/>
        <w:rPr>
          <w:rFonts w:cstheme="minorHAnsi"/>
        </w:rPr>
      </w:pPr>
    </w:p>
    <w:p w14:paraId="13B2DE41" w14:textId="50AAEB5B" w:rsidR="00291639" w:rsidRPr="00C72063" w:rsidRDefault="00291639" w:rsidP="00AD7142">
      <w:pPr>
        <w:pStyle w:val="EndnoteTex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72063">
        <w:rPr>
          <w:rFonts w:cstheme="minorHAnsi"/>
          <w:sz w:val="22"/>
          <w:szCs w:val="22"/>
        </w:rPr>
        <w:t xml:space="preserve">Zhao J, Eisenberg JE, Spicknall IH, Li S, Koopman JS. Model analysis of fomite mediated influenza transmission. PLOS ONE  </w:t>
      </w:r>
      <w:hyperlink r:id="rId9" w:history="1">
        <w:r w:rsidRPr="00C72063">
          <w:rPr>
            <w:rStyle w:val="Hyperlink"/>
            <w:rFonts w:cstheme="minorHAnsi"/>
            <w:sz w:val="22"/>
            <w:szCs w:val="22"/>
          </w:rPr>
          <w:t>https://doi.org/10.1371/journal.pone.0051984</w:t>
        </w:r>
      </w:hyperlink>
      <w:r w:rsidRPr="00C72063">
        <w:rPr>
          <w:rFonts w:cstheme="minorHAnsi"/>
          <w:sz w:val="22"/>
          <w:szCs w:val="22"/>
        </w:rPr>
        <w:t>. Published 2012. Accessed February 6, 2021</w:t>
      </w:r>
    </w:p>
    <w:p w14:paraId="3B6C694C" w14:textId="77777777" w:rsidR="00AD7142" w:rsidRPr="00C72063" w:rsidRDefault="00AD7142" w:rsidP="00AD7142">
      <w:pPr>
        <w:pStyle w:val="ListParagraph"/>
        <w:rPr>
          <w:rFonts w:cstheme="minorHAnsi"/>
        </w:rPr>
      </w:pPr>
    </w:p>
    <w:p w14:paraId="725E7078" w14:textId="1620EE29" w:rsidR="00291639" w:rsidRPr="00C72063" w:rsidRDefault="00291639" w:rsidP="00AD7142">
      <w:pPr>
        <w:pStyle w:val="EndnoteTex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72063">
        <w:rPr>
          <w:rFonts w:cstheme="minorHAnsi"/>
          <w:sz w:val="22"/>
          <w:szCs w:val="22"/>
        </w:rPr>
        <w:t xml:space="preserve">Bradburne, AF, Bynoe, ML, Tyrrell DAJ. Effects of a “new” human respiratory virus in volunteers. </w:t>
      </w:r>
      <w:r w:rsidRPr="00C72063">
        <w:rPr>
          <w:rFonts w:cstheme="minorHAnsi"/>
          <w:i/>
          <w:iCs/>
          <w:sz w:val="22"/>
          <w:szCs w:val="22"/>
        </w:rPr>
        <w:t>Br Med</w:t>
      </w:r>
      <w:r w:rsidRPr="00C72063">
        <w:rPr>
          <w:rFonts w:cstheme="minorHAnsi"/>
          <w:sz w:val="22"/>
          <w:szCs w:val="22"/>
        </w:rPr>
        <w:t xml:space="preserve">. 1967;J.3:767-769.  </w:t>
      </w:r>
    </w:p>
    <w:p w14:paraId="016E8357" w14:textId="77777777" w:rsidR="00AD7142" w:rsidRPr="00C72063" w:rsidRDefault="00AD7142" w:rsidP="00AD7142">
      <w:pPr>
        <w:pStyle w:val="ListParagraph"/>
        <w:rPr>
          <w:rFonts w:cstheme="minorHAnsi"/>
        </w:rPr>
      </w:pPr>
    </w:p>
    <w:p w14:paraId="1F96701F" w14:textId="1790C06E" w:rsidR="00291639" w:rsidRDefault="00291639" w:rsidP="00AD7142">
      <w:pPr>
        <w:pStyle w:val="EndnoteText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72063">
        <w:rPr>
          <w:rFonts w:cstheme="minorHAnsi"/>
          <w:sz w:val="22"/>
          <w:szCs w:val="22"/>
        </w:rPr>
        <w:t xml:space="preserve">Richard, M, Oko A, de Meulder et al. SARS-CoV-2 is transmitted via contact and via the air between ferrets. </w:t>
      </w:r>
      <w:r w:rsidRPr="00C72063">
        <w:rPr>
          <w:rFonts w:cstheme="minorHAnsi"/>
          <w:i/>
          <w:iCs/>
          <w:sz w:val="22"/>
          <w:szCs w:val="22"/>
        </w:rPr>
        <w:t xml:space="preserve">Nature Comm. </w:t>
      </w:r>
      <w:r w:rsidRPr="00C72063">
        <w:rPr>
          <w:rFonts w:cstheme="minorHAnsi"/>
          <w:sz w:val="22"/>
          <w:szCs w:val="22"/>
        </w:rPr>
        <w:t>2020;11:3496  |doi.org/10.1038/s41467-020-17367-2.</w:t>
      </w:r>
    </w:p>
    <w:p w14:paraId="68DBE490" w14:textId="77777777" w:rsidR="00C72063" w:rsidRDefault="00C72063" w:rsidP="00C72063">
      <w:pPr>
        <w:pStyle w:val="ListParagraph"/>
        <w:rPr>
          <w:rFonts w:cstheme="minorHAnsi"/>
        </w:rPr>
      </w:pPr>
    </w:p>
    <w:p w14:paraId="2732F489" w14:textId="77777777" w:rsidR="00C72063" w:rsidRPr="00C72063" w:rsidRDefault="00C72063" w:rsidP="00C72063">
      <w:pPr>
        <w:pStyle w:val="EndnoteText"/>
        <w:rPr>
          <w:rFonts w:cstheme="minorHAnsi"/>
          <w:sz w:val="22"/>
          <w:szCs w:val="22"/>
        </w:rPr>
      </w:pPr>
    </w:p>
    <w:sectPr w:rsidR="00C72063" w:rsidRPr="00C72063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EE44A" w14:textId="77777777" w:rsidR="00055F22" w:rsidRDefault="00055F22" w:rsidP="001B4F94">
      <w:pPr>
        <w:spacing w:after="0" w:line="240" w:lineRule="auto"/>
      </w:pPr>
      <w:r>
        <w:separator/>
      </w:r>
    </w:p>
  </w:endnote>
  <w:endnote w:type="continuationSeparator" w:id="0">
    <w:p w14:paraId="4FAA7744" w14:textId="77777777" w:rsidR="00055F22" w:rsidRDefault="00055F22" w:rsidP="001B4F94">
      <w:pPr>
        <w:spacing w:after="0" w:line="240" w:lineRule="auto"/>
      </w:pPr>
      <w:r>
        <w:continuationSeparator/>
      </w:r>
    </w:p>
  </w:endnote>
  <w:endnote w:id="1">
    <w:p w14:paraId="3F9CC852" w14:textId="77777777" w:rsidR="00291639" w:rsidRPr="00291639" w:rsidRDefault="00291639" w:rsidP="00291639">
      <w:pPr>
        <w:rPr>
          <w:rFonts w:cstheme="minorHAnsi"/>
        </w:rPr>
      </w:pPr>
    </w:p>
    <w:p w14:paraId="2B415736" w14:textId="42B1FC24" w:rsidR="001B4F94" w:rsidRPr="009E2C37" w:rsidRDefault="001B4F94">
      <w:pPr>
        <w:pStyle w:val="EndnoteText"/>
        <w:rPr>
          <w:rFonts w:cstheme="minorHAnsi"/>
          <w:sz w:val="22"/>
          <w:szCs w:val="22"/>
        </w:rPr>
      </w:pPr>
    </w:p>
  </w:endnote>
  <w:endnote w:id="2">
    <w:p w14:paraId="39BF4D79" w14:textId="5B00FBB0" w:rsidR="00955E39" w:rsidRPr="00291639" w:rsidRDefault="00955E39" w:rsidP="00291639">
      <w:pPr>
        <w:rPr>
          <w:rFonts w:cstheme="minorHAnsi"/>
        </w:rPr>
      </w:pPr>
    </w:p>
    <w:p w14:paraId="4048A435" w14:textId="7B0BEF19" w:rsidR="001B4F94" w:rsidRPr="009E2C37" w:rsidRDefault="001B4F94">
      <w:pPr>
        <w:pStyle w:val="EndnoteText"/>
        <w:rPr>
          <w:rFonts w:cstheme="minorHAnsi"/>
          <w:sz w:val="22"/>
          <w:szCs w:val="22"/>
        </w:rPr>
      </w:pPr>
    </w:p>
  </w:endnote>
  <w:endnote w:id="3">
    <w:p w14:paraId="487F4A6D" w14:textId="396DE7B1" w:rsidR="00955E39" w:rsidRPr="00AD7142" w:rsidRDefault="00955E39" w:rsidP="00AD7142">
      <w:pPr>
        <w:rPr>
          <w:rFonts w:cstheme="minorHAnsi"/>
        </w:rPr>
      </w:pPr>
    </w:p>
    <w:p w14:paraId="59F5DC9C" w14:textId="565712EF" w:rsidR="00955E39" w:rsidRPr="009E2C37" w:rsidRDefault="00955E39">
      <w:pPr>
        <w:pStyle w:val="EndnoteText"/>
        <w:rPr>
          <w:rFonts w:cstheme="minorHAnsi"/>
          <w:sz w:val="22"/>
          <w:szCs w:val="22"/>
        </w:rPr>
      </w:pPr>
    </w:p>
  </w:endnote>
  <w:endnote w:id="4">
    <w:p w14:paraId="74C329C7" w14:textId="68A45108" w:rsidR="00955E39" w:rsidRPr="00AD7142" w:rsidRDefault="00955E39" w:rsidP="00AD7142">
      <w:pPr>
        <w:rPr>
          <w:rFonts w:cstheme="minorHAnsi"/>
        </w:rPr>
      </w:pPr>
    </w:p>
    <w:p w14:paraId="48AF260E" w14:textId="7E26B731" w:rsidR="00955E39" w:rsidRPr="009E2C37" w:rsidRDefault="00955E39">
      <w:pPr>
        <w:pStyle w:val="EndnoteText"/>
        <w:rPr>
          <w:rFonts w:cstheme="minorHAnsi"/>
          <w:sz w:val="22"/>
          <w:szCs w:val="22"/>
        </w:rPr>
      </w:pPr>
    </w:p>
  </w:endnote>
  <w:endnote w:id="5">
    <w:p w14:paraId="3C3EC41C" w14:textId="6C10608C" w:rsidR="00CB1533" w:rsidRPr="00AD7142" w:rsidRDefault="00CB1533" w:rsidP="00AD7142">
      <w:pPr>
        <w:rPr>
          <w:rFonts w:cstheme="minorHAnsi"/>
        </w:rPr>
      </w:pPr>
    </w:p>
    <w:p w14:paraId="708B5B1F" w14:textId="4EF64302" w:rsidR="00CB1533" w:rsidRPr="009E2C37" w:rsidRDefault="00CB1533">
      <w:pPr>
        <w:pStyle w:val="EndnoteText"/>
        <w:rPr>
          <w:rFonts w:cstheme="minorHAnsi"/>
          <w:sz w:val="22"/>
          <w:szCs w:val="22"/>
        </w:rPr>
      </w:pPr>
    </w:p>
  </w:endnote>
  <w:endnote w:id="6">
    <w:p w14:paraId="53A6990A" w14:textId="7617FB29" w:rsidR="009E2C37" w:rsidRPr="00AD7142" w:rsidRDefault="009E2C37" w:rsidP="00AD7142">
      <w:pPr>
        <w:rPr>
          <w:rFonts w:cstheme="minorHAnsi"/>
          <w:highlight w:val="yellow"/>
        </w:rPr>
      </w:pPr>
    </w:p>
    <w:p w14:paraId="3949FE5B" w14:textId="77777777" w:rsidR="009E2C37" w:rsidRPr="009E2C37" w:rsidRDefault="009E2C37" w:rsidP="009E2C37">
      <w:pPr>
        <w:pStyle w:val="EndnoteText"/>
        <w:rPr>
          <w:rFonts w:cstheme="minorHAnsi"/>
          <w:sz w:val="22"/>
          <w:szCs w:val="22"/>
        </w:rPr>
      </w:pPr>
    </w:p>
  </w:endnote>
  <w:endnote w:id="7">
    <w:p w14:paraId="66AFCE36" w14:textId="56A086AD" w:rsidR="009E2C37" w:rsidRPr="00AD7142" w:rsidRDefault="009E2C37" w:rsidP="00AD7142">
      <w:pPr>
        <w:rPr>
          <w:rFonts w:cstheme="minorHAnsi"/>
        </w:rPr>
      </w:pPr>
    </w:p>
    <w:p w14:paraId="0186CFB4" w14:textId="77777777" w:rsidR="009E2C37" w:rsidRPr="009E2C37" w:rsidRDefault="009E2C37" w:rsidP="009E2C37">
      <w:pPr>
        <w:pStyle w:val="EndnoteText"/>
        <w:rPr>
          <w:rFonts w:cstheme="minorHAnsi"/>
          <w:sz w:val="22"/>
          <w:szCs w:val="22"/>
        </w:rPr>
      </w:pPr>
    </w:p>
  </w:endnote>
  <w:endnote w:id="8">
    <w:p w14:paraId="2BDAD6F4" w14:textId="79E52862" w:rsidR="009E2C37" w:rsidRPr="00AD7142" w:rsidRDefault="009E2C37" w:rsidP="00AD7142">
      <w:pPr>
        <w:rPr>
          <w:rFonts w:cstheme="minorHAnsi"/>
        </w:rPr>
      </w:pPr>
    </w:p>
    <w:p w14:paraId="057508B7" w14:textId="77777777" w:rsidR="009E2C37" w:rsidRPr="009E2C37" w:rsidRDefault="009E2C37" w:rsidP="009E2C37">
      <w:pPr>
        <w:pStyle w:val="EndnoteText"/>
        <w:rPr>
          <w:rFonts w:cstheme="minorHAnsi"/>
          <w:sz w:val="22"/>
          <w:szCs w:val="22"/>
        </w:rPr>
      </w:pPr>
    </w:p>
  </w:endnote>
  <w:endnote w:id="9">
    <w:p w14:paraId="75DC0AB0" w14:textId="60D2C468" w:rsidR="009E2C37" w:rsidRPr="00AD7142" w:rsidRDefault="009E2C37" w:rsidP="00AD7142">
      <w:pPr>
        <w:rPr>
          <w:rFonts w:cstheme="minorHAnsi"/>
        </w:rPr>
      </w:pPr>
    </w:p>
    <w:p w14:paraId="4D058A98" w14:textId="77777777" w:rsidR="009E2C37" w:rsidRPr="009E2C37" w:rsidRDefault="009E2C37" w:rsidP="009E2C37">
      <w:pPr>
        <w:pStyle w:val="ListParagraph"/>
        <w:rPr>
          <w:rFonts w:cstheme="minorHAnsi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DBB23" w14:textId="77777777" w:rsidR="00055F22" w:rsidRDefault="00055F22" w:rsidP="001B4F94">
      <w:pPr>
        <w:spacing w:after="0" w:line="240" w:lineRule="auto"/>
      </w:pPr>
      <w:r>
        <w:separator/>
      </w:r>
    </w:p>
  </w:footnote>
  <w:footnote w:type="continuationSeparator" w:id="0">
    <w:p w14:paraId="20B6C252" w14:textId="77777777" w:rsidR="00055F22" w:rsidRDefault="00055F22" w:rsidP="001B4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54FC"/>
    <w:multiLevelType w:val="hybridMultilevel"/>
    <w:tmpl w:val="D4B49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6DD"/>
    <w:multiLevelType w:val="hybridMultilevel"/>
    <w:tmpl w:val="FC9E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40"/>
    <w:rsid w:val="00014421"/>
    <w:rsid w:val="00014BDA"/>
    <w:rsid w:val="00014C96"/>
    <w:rsid w:val="0002043A"/>
    <w:rsid w:val="00021984"/>
    <w:rsid w:val="00021AF4"/>
    <w:rsid w:val="00021EFB"/>
    <w:rsid w:val="00026CAC"/>
    <w:rsid w:val="00035879"/>
    <w:rsid w:val="00055F22"/>
    <w:rsid w:val="0006115F"/>
    <w:rsid w:val="0006514C"/>
    <w:rsid w:val="00097C9D"/>
    <w:rsid w:val="000A319B"/>
    <w:rsid w:val="000D5681"/>
    <w:rsid w:val="000E55BA"/>
    <w:rsid w:val="000F1D4F"/>
    <w:rsid w:val="001037C5"/>
    <w:rsid w:val="00145288"/>
    <w:rsid w:val="00156B9D"/>
    <w:rsid w:val="00157AA6"/>
    <w:rsid w:val="00157B40"/>
    <w:rsid w:val="00172C94"/>
    <w:rsid w:val="001758BA"/>
    <w:rsid w:val="00196009"/>
    <w:rsid w:val="001A2B28"/>
    <w:rsid w:val="001B0F39"/>
    <w:rsid w:val="001B4F94"/>
    <w:rsid w:val="001F38B3"/>
    <w:rsid w:val="00251B52"/>
    <w:rsid w:val="002833EC"/>
    <w:rsid w:val="00291639"/>
    <w:rsid w:val="002A1F4E"/>
    <w:rsid w:val="002E4F29"/>
    <w:rsid w:val="002F1D1A"/>
    <w:rsid w:val="002F74AF"/>
    <w:rsid w:val="0030776F"/>
    <w:rsid w:val="003119DC"/>
    <w:rsid w:val="00312FD7"/>
    <w:rsid w:val="00324161"/>
    <w:rsid w:val="0032690D"/>
    <w:rsid w:val="003328E0"/>
    <w:rsid w:val="0033545D"/>
    <w:rsid w:val="00335923"/>
    <w:rsid w:val="003374B4"/>
    <w:rsid w:val="00353171"/>
    <w:rsid w:val="00362C9B"/>
    <w:rsid w:val="00371E83"/>
    <w:rsid w:val="00372388"/>
    <w:rsid w:val="00375456"/>
    <w:rsid w:val="00381166"/>
    <w:rsid w:val="00397630"/>
    <w:rsid w:val="003A1ED1"/>
    <w:rsid w:val="003B34E1"/>
    <w:rsid w:val="003C371A"/>
    <w:rsid w:val="003C5A47"/>
    <w:rsid w:val="004051AB"/>
    <w:rsid w:val="0040578E"/>
    <w:rsid w:val="00415C91"/>
    <w:rsid w:val="004245D0"/>
    <w:rsid w:val="00435EA8"/>
    <w:rsid w:val="004362BE"/>
    <w:rsid w:val="00461B03"/>
    <w:rsid w:val="00465584"/>
    <w:rsid w:val="00490FB9"/>
    <w:rsid w:val="004C13FC"/>
    <w:rsid w:val="004F3F28"/>
    <w:rsid w:val="005040D5"/>
    <w:rsid w:val="00525421"/>
    <w:rsid w:val="00547481"/>
    <w:rsid w:val="005519DA"/>
    <w:rsid w:val="00556847"/>
    <w:rsid w:val="005B7C7F"/>
    <w:rsid w:val="005C0A4E"/>
    <w:rsid w:val="005C1654"/>
    <w:rsid w:val="005E350D"/>
    <w:rsid w:val="005F6848"/>
    <w:rsid w:val="00603C36"/>
    <w:rsid w:val="0061313B"/>
    <w:rsid w:val="00627671"/>
    <w:rsid w:val="00665B52"/>
    <w:rsid w:val="00680F70"/>
    <w:rsid w:val="006D23B4"/>
    <w:rsid w:val="0071475C"/>
    <w:rsid w:val="00742D2D"/>
    <w:rsid w:val="00764323"/>
    <w:rsid w:val="00772F48"/>
    <w:rsid w:val="007745B3"/>
    <w:rsid w:val="0077473F"/>
    <w:rsid w:val="00793373"/>
    <w:rsid w:val="00795F63"/>
    <w:rsid w:val="007A78DB"/>
    <w:rsid w:val="008004D0"/>
    <w:rsid w:val="00804DF9"/>
    <w:rsid w:val="0080674F"/>
    <w:rsid w:val="00831DE9"/>
    <w:rsid w:val="008378D0"/>
    <w:rsid w:val="00843B92"/>
    <w:rsid w:val="0084475E"/>
    <w:rsid w:val="008644DC"/>
    <w:rsid w:val="00866D2C"/>
    <w:rsid w:val="00867140"/>
    <w:rsid w:val="00881818"/>
    <w:rsid w:val="00892BDD"/>
    <w:rsid w:val="008A70AD"/>
    <w:rsid w:val="008B7DEF"/>
    <w:rsid w:val="008D52FC"/>
    <w:rsid w:val="008D7D75"/>
    <w:rsid w:val="008E3C57"/>
    <w:rsid w:val="008F2953"/>
    <w:rsid w:val="0091129B"/>
    <w:rsid w:val="00913DBE"/>
    <w:rsid w:val="009145B8"/>
    <w:rsid w:val="00915523"/>
    <w:rsid w:val="00930E8C"/>
    <w:rsid w:val="00955E39"/>
    <w:rsid w:val="009673BE"/>
    <w:rsid w:val="009773D6"/>
    <w:rsid w:val="0098272E"/>
    <w:rsid w:val="009954E2"/>
    <w:rsid w:val="009A2C19"/>
    <w:rsid w:val="009E2C37"/>
    <w:rsid w:val="009E4BC5"/>
    <w:rsid w:val="00A000DA"/>
    <w:rsid w:val="00A243FE"/>
    <w:rsid w:val="00A3326E"/>
    <w:rsid w:val="00A44372"/>
    <w:rsid w:val="00A5608F"/>
    <w:rsid w:val="00A8133E"/>
    <w:rsid w:val="00A962FF"/>
    <w:rsid w:val="00AB393C"/>
    <w:rsid w:val="00AB7334"/>
    <w:rsid w:val="00AD28E1"/>
    <w:rsid w:val="00AD7142"/>
    <w:rsid w:val="00AE768C"/>
    <w:rsid w:val="00B0567C"/>
    <w:rsid w:val="00B114C7"/>
    <w:rsid w:val="00B15E29"/>
    <w:rsid w:val="00B663DC"/>
    <w:rsid w:val="00B672B3"/>
    <w:rsid w:val="00B75810"/>
    <w:rsid w:val="00B85967"/>
    <w:rsid w:val="00BD1F3E"/>
    <w:rsid w:val="00BD2247"/>
    <w:rsid w:val="00BF5322"/>
    <w:rsid w:val="00C0330F"/>
    <w:rsid w:val="00C05D47"/>
    <w:rsid w:val="00C06244"/>
    <w:rsid w:val="00C07FDB"/>
    <w:rsid w:val="00C42EFD"/>
    <w:rsid w:val="00C43C27"/>
    <w:rsid w:val="00C445F8"/>
    <w:rsid w:val="00C72063"/>
    <w:rsid w:val="00C724C4"/>
    <w:rsid w:val="00CA3876"/>
    <w:rsid w:val="00CB1533"/>
    <w:rsid w:val="00CD1A48"/>
    <w:rsid w:val="00D068AE"/>
    <w:rsid w:val="00D4773A"/>
    <w:rsid w:val="00D61FCE"/>
    <w:rsid w:val="00D77371"/>
    <w:rsid w:val="00D93AD7"/>
    <w:rsid w:val="00DA339D"/>
    <w:rsid w:val="00DA38CA"/>
    <w:rsid w:val="00DB0755"/>
    <w:rsid w:val="00DB23B3"/>
    <w:rsid w:val="00DB6929"/>
    <w:rsid w:val="00DE125F"/>
    <w:rsid w:val="00E0334E"/>
    <w:rsid w:val="00E138A6"/>
    <w:rsid w:val="00E161F3"/>
    <w:rsid w:val="00E371B2"/>
    <w:rsid w:val="00E7247E"/>
    <w:rsid w:val="00E77481"/>
    <w:rsid w:val="00EB171A"/>
    <w:rsid w:val="00EB4814"/>
    <w:rsid w:val="00EE1851"/>
    <w:rsid w:val="00EF6241"/>
    <w:rsid w:val="00EF7033"/>
    <w:rsid w:val="00F06296"/>
    <w:rsid w:val="00F37766"/>
    <w:rsid w:val="00F51763"/>
    <w:rsid w:val="00F568EB"/>
    <w:rsid w:val="00F613D3"/>
    <w:rsid w:val="00F842F4"/>
    <w:rsid w:val="00F95E35"/>
    <w:rsid w:val="00FB6F46"/>
    <w:rsid w:val="00FC2A3B"/>
    <w:rsid w:val="00FE15B3"/>
    <w:rsid w:val="00F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6981"/>
  <w15:chartTrackingRefBased/>
  <w15:docId w15:val="{2FA9A37F-98A1-43EC-A3B2-4E3FC866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03C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0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0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0D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15B3"/>
    <w:pPr>
      <w:spacing w:after="0" w:line="240" w:lineRule="auto"/>
    </w:pPr>
  </w:style>
  <w:style w:type="paragraph" w:styleId="NoSpacing">
    <w:name w:val="No Spacing"/>
    <w:uiPriority w:val="1"/>
    <w:qFormat/>
    <w:rsid w:val="004655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3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684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03C3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03C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4F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F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4F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1B4F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B4F9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4F9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F1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ba@ag.ariz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371/journal.pone.0051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6070F8-8FB5-42A5-8CF8-767EDC6CDD20}">
  <we:reference id="6a7bd4f3-0563-43af-8c08-79110eebdff6" version="1.1.0.0" store="EXCatalog" storeType="EXCatalog"/>
  <we:alternateReferences>
    <we:reference id="WA104381155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478ACDC0-265A-4A29-B430-A30A69F8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Gerba, Charles P - (gerba)</dc:creator>
  <cp:keywords/>
  <dc:description/>
  <cp:lastModifiedBy>Gerba, Charles P - (gerba)</cp:lastModifiedBy>
  <cp:revision>2</cp:revision>
  <cp:lastPrinted>2021-01-23T18:21:00Z</cp:lastPrinted>
  <dcterms:created xsi:type="dcterms:W3CDTF">2021-02-11T17:58:00Z</dcterms:created>
  <dcterms:modified xsi:type="dcterms:W3CDTF">2021-02-11T17:58:00Z</dcterms:modified>
</cp:coreProperties>
</file>