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D9B5" w14:textId="6C63C802" w:rsidR="001C0168" w:rsidRPr="00EF2C3C" w:rsidRDefault="001C0168" w:rsidP="002C41A2">
      <w:pPr>
        <w:pStyle w:val="Titolo"/>
        <w:jc w:val="center"/>
        <w:rPr>
          <w:u w:val="single"/>
          <w:lang w:val="en-GB"/>
        </w:rPr>
      </w:pPr>
      <w:r w:rsidRPr="002C41A2">
        <w:t>π</w:t>
      </w:r>
      <w:r w:rsidR="00EF2C3C" w:rsidRPr="00EF2C3C">
        <w:rPr>
          <w:lang w:val="en-GB"/>
        </w:rPr>
        <w:t xml:space="preserve"> </w:t>
      </w:r>
      <w:r w:rsidR="00EF2C3C">
        <w:rPr>
          <w:lang w:val="en-GB"/>
        </w:rPr>
        <w:t>Calculation</w:t>
      </w:r>
    </w:p>
    <w:p w14:paraId="4824883D" w14:textId="054F2F6A" w:rsidR="001C0168" w:rsidRPr="00A73208" w:rsidRDefault="00A73208" w:rsidP="002C41A2">
      <w:pPr>
        <w:pStyle w:val="Sottotitol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A73208">
        <w:rPr>
          <w:lang w:val="en-GB"/>
        </w:rPr>
        <w:t>Hit or Miss Technique A</w:t>
      </w:r>
      <w:r>
        <w:rPr>
          <w:lang w:val="en-GB"/>
        </w:rPr>
        <w:t>pplication</w:t>
      </w:r>
    </w:p>
    <w:p w14:paraId="36CBC607" w14:textId="7E8E476F" w:rsidR="002C41A2" w:rsidRPr="00EF2C3C" w:rsidRDefault="001C0168" w:rsidP="002C41A2">
      <w:pPr>
        <w:pStyle w:val="Sottotitolo"/>
        <w:jc w:val="center"/>
        <w:rPr>
          <w:lang w:val="en-GB"/>
        </w:rPr>
      </w:pPr>
      <w:r w:rsidRPr="00EF2C3C">
        <w:rPr>
          <w:lang w:val="en-GB"/>
        </w:rPr>
        <w:t>Marco Grisanti</w:t>
      </w:r>
    </w:p>
    <w:p w14:paraId="3357673C" w14:textId="77777777" w:rsidR="002C41A2" w:rsidRPr="00EF2C3C" w:rsidRDefault="002C41A2">
      <w:pPr>
        <w:rPr>
          <w:rFonts w:eastAsiaTheme="minorEastAsia"/>
          <w:color w:val="5A5A5A" w:themeColor="text1" w:themeTint="A5"/>
          <w:spacing w:val="15"/>
          <w:lang w:val="en-GB"/>
        </w:rPr>
      </w:pPr>
      <w:r w:rsidRPr="00EF2C3C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385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CDE62" w14:textId="24195863" w:rsidR="00A73208" w:rsidRDefault="00A73208">
          <w:pPr>
            <w:pStyle w:val="Titolosommario"/>
          </w:pPr>
          <w:r>
            <w:t>Sommario</w:t>
          </w:r>
        </w:p>
        <w:p w14:paraId="027D76F8" w14:textId="603B2CE6" w:rsidR="00BF7EEE" w:rsidRDefault="00A7320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5011" w:history="1">
            <w:r w:rsidR="00BF7EEE" w:rsidRPr="00AF2C0B">
              <w:rPr>
                <w:rStyle w:val="Collegamentoipertestuale"/>
                <w:noProof/>
              </w:rPr>
              <w:t>1.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Problema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_Toc35725011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3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2249B6DA" w14:textId="729C7B5B" w:rsidR="00BF7EEE" w:rsidRDefault="004511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2" w:history="1">
            <w:r w:rsidR="00BF7EEE" w:rsidRPr="00AF2C0B">
              <w:rPr>
                <w:rStyle w:val="Collegamentoipertestuale"/>
                <w:noProof/>
              </w:rPr>
              <w:t>1.1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Il Pi-Greco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_Toc35725012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3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00F8955D" w14:textId="2EA7BCD9" w:rsidR="00BF7EEE" w:rsidRDefault="004511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3" w:history="1">
            <w:r w:rsidR="00BF7EEE" w:rsidRPr="00AF2C0B">
              <w:rPr>
                <w:rStyle w:val="Collegamentoipertestuale"/>
                <w:noProof/>
              </w:rPr>
              <w:t>1.2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Il Metodo Monte-Carlo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_Toc35725013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4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5B86B28A" w14:textId="728754FB" w:rsidR="00BF7EEE" w:rsidRDefault="004511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4" w:history="1">
            <w:r w:rsidR="00BF7EEE" w:rsidRPr="00AF2C0B">
              <w:rPr>
                <w:rStyle w:val="Collegamentoipertestuale"/>
                <w:noProof/>
                <w:lang w:val="en-GB"/>
              </w:rPr>
              <w:t>1.2.1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  <w:lang w:val="en-GB"/>
              </w:rPr>
              <w:t xml:space="preserve">La </w:t>
            </w:r>
            <w:r w:rsidR="00BF7EEE" w:rsidRPr="00AF2C0B">
              <w:rPr>
                <w:rStyle w:val="Collegamentoipertestuale"/>
                <w:noProof/>
              </w:rPr>
              <w:t>Tecnica</w:t>
            </w:r>
            <w:r w:rsidR="00BF7EEE" w:rsidRPr="00AF2C0B">
              <w:rPr>
                <w:rStyle w:val="Collegamentoipertestuale"/>
                <w:noProof/>
                <w:lang w:val="en-GB"/>
              </w:rPr>
              <w:t xml:space="preserve"> Hit or Miss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_Toc35725014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4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597C3E99" w14:textId="7F5138E2" w:rsidR="00BF7EEE" w:rsidRDefault="004511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5" w:history="1">
            <w:r w:rsidR="00BF7EEE" w:rsidRPr="00AF2C0B">
              <w:rPr>
                <w:rStyle w:val="Collegamentoipertestuale"/>
                <w:noProof/>
              </w:rPr>
              <w:t>2.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Lavoro Svolto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_Toc35725015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5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0E7A54D8" w14:textId="24C5C4F2" w:rsidR="00BF7EEE" w:rsidRDefault="004511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6" w:history="1">
            <w:r w:rsidR="00BF7EEE" w:rsidRPr="00AF2C0B">
              <w:rPr>
                <w:rStyle w:val="Collegamentoipertestuale"/>
                <w:noProof/>
              </w:rPr>
              <w:t>2.1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Metodo 1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_Toc35725016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5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06158D1B" w14:textId="5F6A7767" w:rsidR="00BF7EEE" w:rsidRDefault="004511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7" w:history="1">
            <w:r w:rsidR="00BF7EEE" w:rsidRPr="00AF2C0B">
              <w:rPr>
                <w:rStyle w:val="Collegamentoipertestuale"/>
                <w:noProof/>
              </w:rPr>
              <w:t>2.1.1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Codice Sorgente del Metodo 1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_Toc35725017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6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03D305DA" w14:textId="74ED866A" w:rsidR="00BF7EEE" w:rsidRDefault="004511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8" w:history="1">
            <w:r w:rsidR="00BF7EEE" w:rsidRPr="00AF2C0B">
              <w:rPr>
                <w:rStyle w:val="Collegamentoipertestuale"/>
                <w:noProof/>
              </w:rPr>
              <w:t>2.2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Metodo 2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_Toc35725018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9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519422C8" w14:textId="5E9C361B" w:rsidR="00BF7EEE" w:rsidRDefault="0045119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19" w:history="1">
            <w:r w:rsidR="00BF7EEE" w:rsidRPr="00AF2C0B">
              <w:rPr>
                <w:rStyle w:val="Collegamentoipertestuale"/>
                <w:noProof/>
              </w:rPr>
              <w:t>2.2.1 Codice Sorgente del Metodo 2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_Toc35725019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10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3B074167" w14:textId="5CD33A8C" w:rsidR="00BF7EEE" w:rsidRDefault="004511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20" w:history="1">
            <w:r w:rsidR="00BF7EEE" w:rsidRPr="00AF2C0B">
              <w:rPr>
                <w:rStyle w:val="Collegamentoipertestuale"/>
                <w:noProof/>
              </w:rPr>
              <w:t>2.3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Intervallo di Confidenza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_Toc35725020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10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2064D1BB" w14:textId="1803F6A3" w:rsidR="00BF7EEE" w:rsidRDefault="004511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21" w:history="1">
            <w:r w:rsidR="00BF7EEE" w:rsidRPr="00AF2C0B">
              <w:rPr>
                <w:rStyle w:val="Collegamentoipertestuale"/>
                <w:noProof/>
              </w:rPr>
              <w:t>3.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Conclusioni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_Toc35725021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11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56CEA715" w14:textId="50039119" w:rsidR="00BF7EEE" w:rsidRDefault="004511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725022" w:history="1">
            <w:r w:rsidR="00BF7EEE" w:rsidRPr="00AF2C0B">
              <w:rPr>
                <w:rStyle w:val="Collegamentoipertestuale"/>
                <w:noProof/>
              </w:rPr>
              <w:t>4.</w:t>
            </w:r>
            <w:r w:rsidR="00BF7EEE">
              <w:rPr>
                <w:rFonts w:eastAsiaTheme="minorEastAsia"/>
                <w:noProof/>
                <w:lang w:eastAsia="it-IT"/>
              </w:rPr>
              <w:tab/>
            </w:r>
            <w:r w:rsidR="00BF7EEE" w:rsidRPr="00AF2C0B">
              <w:rPr>
                <w:rStyle w:val="Collegamentoipertestuale"/>
                <w:noProof/>
              </w:rPr>
              <w:t>Bibliografia</w:t>
            </w:r>
            <w:r w:rsidR="00BF7EEE">
              <w:rPr>
                <w:noProof/>
                <w:webHidden/>
              </w:rPr>
              <w:tab/>
            </w:r>
            <w:r w:rsidR="00BF7EEE">
              <w:rPr>
                <w:noProof/>
                <w:webHidden/>
              </w:rPr>
              <w:fldChar w:fldCharType="begin"/>
            </w:r>
            <w:r w:rsidR="00BF7EEE">
              <w:rPr>
                <w:noProof/>
                <w:webHidden/>
              </w:rPr>
              <w:instrText xml:space="preserve"> PAGEREF _Toc35725022 \h </w:instrText>
            </w:r>
            <w:r w:rsidR="00BF7EEE">
              <w:rPr>
                <w:noProof/>
                <w:webHidden/>
              </w:rPr>
            </w:r>
            <w:r w:rsidR="00BF7EEE">
              <w:rPr>
                <w:noProof/>
                <w:webHidden/>
              </w:rPr>
              <w:fldChar w:fldCharType="separate"/>
            </w:r>
            <w:r w:rsidR="0034305A">
              <w:rPr>
                <w:noProof/>
                <w:webHidden/>
              </w:rPr>
              <w:t>11</w:t>
            </w:r>
            <w:r w:rsidR="00BF7EEE">
              <w:rPr>
                <w:noProof/>
                <w:webHidden/>
              </w:rPr>
              <w:fldChar w:fldCharType="end"/>
            </w:r>
          </w:hyperlink>
        </w:p>
        <w:p w14:paraId="16EC142B" w14:textId="01144A92" w:rsidR="00A73208" w:rsidRDefault="00A73208">
          <w:r>
            <w:rPr>
              <w:b/>
              <w:bCs/>
            </w:rPr>
            <w:fldChar w:fldCharType="end"/>
          </w:r>
        </w:p>
      </w:sdtContent>
    </w:sdt>
    <w:p w14:paraId="681F0C55" w14:textId="77777777" w:rsidR="00A73208" w:rsidRDefault="00A73208" w:rsidP="00AD23FA">
      <w:r>
        <w:br w:type="page"/>
      </w:r>
    </w:p>
    <w:p w14:paraId="2B22B381" w14:textId="44527AB6" w:rsidR="00A73208" w:rsidRDefault="00A73208" w:rsidP="00A73208">
      <w:pPr>
        <w:pStyle w:val="Titolo1"/>
        <w:numPr>
          <w:ilvl w:val="0"/>
          <w:numId w:val="3"/>
        </w:numPr>
      </w:pPr>
      <w:bookmarkStart w:id="0" w:name="_Toc35725011"/>
      <w:r>
        <w:lastRenderedPageBreak/>
        <w:t>Problema</w:t>
      </w:r>
      <w:bookmarkEnd w:id="0"/>
    </w:p>
    <w:p w14:paraId="7CA59080" w14:textId="77777777" w:rsidR="00A73208" w:rsidRDefault="00A73208" w:rsidP="00A73208">
      <w:pPr>
        <w:jc w:val="both"/>
        <w:rPr>
          <w:sz w:val="26"/>
          <w:szCs w:val="26"/>
        </w:rPr>
      </w:pPr>
      <w:r w:rsidRPr="003130BA">
        <w:t xml:space="preserve">Lo scopo di questo progetto è quello di stimare il valore del PI-Greco, una costante matematica indicata con la lettera greca </w:t>
      </w:r>
      <w:r w:rsidRPr="003130BA">
        <w:rPr>
          <w:sz w:val="26"/>
          <w:szCs w:val="26"/>
        </w:rPr>
        <w:t>π.</w:t>
      </w:r>
    </w:p>
    <w:p w14:paraId="2929716D" w14:textId="736D2C30" w:rsidR="00A73208" w:rsidRDefault="00A73208" w:rsidP="00A73208">
      <w:pPr>
        <w:jc w:val="both"/>
      </w:pPr>
      <w:r w:rsidRPr="003130BA">
        <w:t>Per fare ciò</w:t>
      </w:r>
      <w:r w:rsidR="00025C73">
        <w:t>,</w:t>
      </w:r>
      <w:r w:rsidRPr="003130BA">
        <w:t xml:space="preserve"> utilizzeremo la Tecnica “Hit or Miss” del Metodo Monte Carlo</w:t>
      </w:r>
      <w:r>
        <w:t>. Q</w:t>
      </w:r>
      <w:r w:rsidRPr="003130BA">
        <w:t>uindi</w:t>
      </w:r>
      <w:r>
        <w:t>,</w:t>
      </w:r>
      <w:r w:rsidRPr="003130BA">
        <w:t xml:space="preserve"> useremo variabili aleatorie artificiali e troveremo una stima del valore di 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3130BA">
        <w:t xml:space="preserve"> partendo dalle sole definizioni di:</w:t>
      </w:r>
    </w:p>
    <w:p w14:paraId="35F11ED7" w14:textId="3641AE2F" w:rsidR="00A73208" w:rsidRPr="003130BA" w:rsidRDefault="00A73208" w:rsidP="00A73208">
      <w:pPr>
        <w:pStyle w:val="Paragrafoelenco"/>
        <w:numPr>
          <w:ilvl w:val="0"/>
          <w:numId w:val="11"/>
        </w:numPr>
      </w:pPr>
      <w:r w:rsidRPr="003130BA">
        <w:t>Area di un Quadrato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C64DFF" w14:textId="3183B334" w:rsidR="00A73208" w:rsidRPr="00A73208" w:rsidRDefault="00A73208" w:rsidP="00B000B9">
      <w:pPr>
        <w:pStyle w:val="Paragrafoelenco"/>
        <w:numPr>
          <w:ilvl w:val="0"/>
          <w:numId w:val="11"/>
        </w:numPr>
        <w:rPr>
          <w:rFonts w:eastAsiaTheme="minorEastAsia"/>
        </w:rPr>
      </w:pPr>
      <w:r w:rsidRPr="00A73208">
        <w:rPr>
          <w:rFonts w:eastAsiaTheme="minorEastAsia"/>
        </w:rPr>
        <w:t>Area di una Circonferenza</w:t>
      </w:r>
      <w:r w:rsidRPr="00A73208">
        <w:rPr>
          <w:rFonts w:eastAsiaTheme="minorEastAsia"/>
        </w:rPr>
        <w:tab/>
      </w:r>
      <w:r w:rsidRPr="00A7320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B3A74F4" w14:textId="40C83CA6" w:rsidR="00A73208" w:rsidRDefault="00A73208" w:rsidP="00A73208">
      <w:pPr>
        <w:jc w:val="both"/>
        <w:rPr>
          <w:rFonts w:eastAsiaTheme="minorEastAsia"/>
        </w:rPr>
      </w:pPr>
      <w:r>
        <w:rPr>
          <w:rFonts w:eastAsiaTheme="minorEastAsia"/>
        </w:rPr>
        <w:t>Gli algoritmi verranno sviluppati su Processing, un linguaggio di programmazione che consente di sviluppare diverse applicazioni come giochi, animazioni, contenuti interattivi e opere d’arte generativa. Eredita tutta la sintassi, i comandi e il paradigma di programmazione orientata agli oggetti dal linguaggio Java</w:t>
      </w:r>
      <w:r w:rsidR="004C7F20">
        <w:rPr>
          <w:rFonts w:eastAsiaTheme="minorEastAsia"/>
        </w:rPr>
        <w:t>,</w:t>
      </w:r>
      <w:r>
        <w:rPr>
          <w:rFonts w:eastAsiaTheme="minorEastAsia"/>
        </w:rPr>
        <w:t xml:space="preserve"> ma</w:t>
      </w:r>
      <w:r w:rsidR="004C7F20">
        <w:rPr>
          <w:rFonts w:eastAsiaTheme="minorEastAsia"/>
        </w:rPr>
        <w:t>,</w:t>
      </w:r>
      <w:r>
        <w:rPr>
          <w:rFonts w:eastAsiaTheme="minorEastAsia"/>
        </w:rPr>
        <w:t xml:space="preserve"> in più</w:t>
      </w:r>
      <w:r w:rsidR="009B0DE2">
        <w:rPr>
          <w:rFonts w:eastAsiaTheme="minorEastAsia"/>
        </w:rPr>
        <w:t>,</w:t>
      </w:r>
      <w:r>
        <w:rPr>
          <w:rFonts w:eastAsiaTheme="minorEastAsia"/>
        </w:rPr>
        <w:t xml:space="preserve"> mette a disposizione numerose funzioni ad alto livello per gestire in modo facile gli aspetti grafici e multimediali. È compatibile con i sistemi operativi Linux, macOS e Microsoft Windows.</w:t>
      </w:r>
    </w:p>
    <w:p w14:paraId="0804C0B7" w14:textId="545E036A" w:rsidR="00A73208" w:rsidRDefault="00A73208" w:rsidP="00A73208">
      <w:pPr>
        <w:pStyle w:val="Titolo2"/>
        <w:numPr>
          <w:ilvl w:val="1"/>
          <w:numId w:val="3"/>
        </w:numPr>
        <w:rPr>
          <w:rFonts w:eastAsiaTheme="minorEastAsia"/>
        </w:rPr>
      </w:pPr>
      <w:bookmarkStart w:id="1" w:name="_Toc35725012"/>
      <w:r>
        <w:rPr>
          <w:rFonts w:eastAsiaTheme="minorEastAsia"/>
        </w:rPr>
        <w:t>Il Pi-Greco</w:t>
      </w:r>
      <w:bookmarkEnd w:id="1"/>
    </w:p>
    <w:p w14:paraId="03DB47AD" w14:textId="4FCC86C9" w:rsidR="00A73208" w:rsidRDefault="00A73208" w:rsidP="00A73208">
      <w:pPr>
        <w:jc w:val="both"/>
      </w:pPr>
      <w:r w:rsidRPr="007651D5">
        <w:t>Il PI-Greco (π) è una costante matematica il cui studio risale fin dall’antichità</w:t>
      </w:r>
      <w:r>
        <w:t>.</w:t>
      </w:r>
      <w:r w:rsidR="00956B04">
        <w:t xml:space="preserve"> </w:t>
      </w:r>
      <w:r>
        <w:t xml:space="preserve">Il primo ad approssimare scientificamente </w:t>
      </w:r>
      <w:r w:rsidRPr="007651D5">
        <w:t>π</w:t>
      </w:r>
      <w:r>
        <w:t xml:space="preserve"> fu Archimede di Siracusa che nel III secolo a.C. utilizzò poligoni regolari inscritti e circoscritti a una circonferenza. Egli notò che</w:t>
      </w:r>
      <w:r w:rsidR="00BF7EEE">
        <w:t>,</w:t>
      </w:r>
      <w:r>
        <w:t xml:space="preserve"> aumentando il numero di lati</w:t>
      </w:r>
      <w:r w:rsidR="00BF7EEE">
        <w:t>,</w:t>
      </w:r>
      <w:r>
        <w:t xml:space="preserve"> il rapporto tra il perimetro e l’area limita superiormente e inferiormente </w:t>
      </w:r>
      <m:oMath>
        <m:r>
          <w:rPr>
            <w:rFonts w:ascii="Cambria Math" w:hAnsi="Cambria Math"/>
          </w:rPr>
          <m:t>π</m:t>
        </m:r>
      </m:oMath>
      <w:r>
        <w:t>. Infatti, utilizzando poligoni di 96 lati lo scienziato siracusano scoprì che:</w:t>
      </w:r>
    </w:p>
    <w:p w14:paraId="0E596063" w14:textId="5C6DEB34" w:rsidR="00A73208" w:rsidRDefault="00451190" w:rsidP="00A73208">
      <w:pPr>
        <w:jc w:val="center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223</m:t>
            </m:r>
          </m:num>
          <m:den>
            <m:r>
              <w:rPr>
                <w:rFonts w:ascii="Cambria Math" w:eastAsiaTheme="minorEastAsia" w:hAnsi="Cambria Math"/>
              </w:rPr>
              <m:t>71</m:t>
            </m:r>
          </m:den>
        </m:f>
        <m:r>
          <w:rPr>
            <w:rFonts w:ascii="Cambria Math" w:eastAsiaTheme="minorEastAsia" w:hAnsi="Cambria Math"/>
          </w:rPr>
          <m:t xml:space="preserve"> &lt; π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56B04">
        <w:rPr>
          <w:rFonts w:eastAsiaTheme="minorEastAsia"/>
        </w:rPr>
        <w:t xml:space="preserve">  </w:t>
      </w:r>
      <w:r w:rsidR="00A73208">
        <w:rPr>
          <w:rFonts w:eastAsiaTheme="minorEastAsia"/>
        </w:rPr>
        <w:t>ovvero</w:t>
      </w:r>
      <w:r w:rsidR="00A73208">
        <w:rPr>
          <w:rFonts w:eastAsiaTheme="minorEastAsia"/>
        </w:rPr>
        <w:tab/>
      </w:r>
      <w:r w:rsidR="00956B04">
        <w:rPr>
          <w:rFonts w:eastAsiaTheme="minorEastAsia"/>
        </w:rPr>
        <w:t xml:space="preserve"> </w:t>
      </w:r>
      <w:r w:rsidR="00A73208">
        <w:rPr>
          <w:rFonts w:eastAsiaTheme="minorEastAsia"/>
        </w:rPr>
        <w:fldChar w:fldCharType="begin"/>
      </w:r>
      <w:r w:rsidR="00A73208">
        <w:rPr>
          <w:rFonts w:eastAsiaTheme="minorEastAsia"/>
        </w:rPr>
        <w:instrText xml:space="preserve"> =223/71 </w:instrText>
      </w:r>
      <w:r w:rsidR="00A73208">
        <w:rPr>
          <w:rFonts w:eastAsiaTheme="minorEastAsia"/>
        </w:rPr>
        <w:fldChar w:fldCharType="separate"/>
      </w:r>
      <w:r w:rsidR="00A73208">
        <w:rPr>
          <w:rFonts w:eastAsiaTheme="minorEastAsia"/>
          <w:noProof/>
        </w:rPr>
        <w:t>3,14</w:t>
      </w:r>
      <w:r w:rsidR="00A73208">
        <w:rPr>
          <w:rFonts w:eastAsiaTheme="minorEastAsia"/>
        </w:rPr>
        <w:fldChar w:fldCharType="end"/>
      </w:r>
      <w:r w:rsidR="00A73208">
        <w:rPr>
          <w:rFonts w:eastAsiaTheme="minorEastAsia"/>
        </w:rPr>
        <w:t xml:space="preserve">0 &lt; </w:t>
      </w:r>
      <w:r w:rsidR="00A73208" w:rsidRPr="007651D5">
        <w:t>π</w:t>
      </w:r>
      <w:r w:rsidR="00A73208">
        <w:t xml:space="preserve"> &lt; </w:t>
      </w:r>
      <w:r w:rsidR="00A73208">
        <w:fldChar w:fldCharType="begin"/>
      </w:r>
      <w:r w:rsidR="00A73208">
        <w:instrText xml:space="preserve"> =22/7 </w:instrText>
      </w:r>
      <w:r w:rsidR="00A73208">
        <w:fldChar w:fldCharType="separate"/>
      </w:r>
      <w:r w:rsidR="00A73208">
        <w:rPr>
          <w:noProof/>
        </w:rPr>
        <w:t>3,14</w:t>
      </w:r>
      <w:r w:rsidR="00A73208">
        <w:fldChar w:fldCharType="end"/>
      </w:r>
      <w:r w:rsidR="00A73208">
        <w:t>2</w:t>
      </w:r>
    </w:p>
    <w:p w14:paraId="304C5C85" w14:textId="5A2CB4AA" w:rsidR="004F506D" w:rsidRDefault="00A73208" w:rsidP="004F506D">
      <w:pPr>
        <w:jc w:val="both"/>
      </w:pPr>
      <w:r>
        <w:t>Il PI-Greco è una delle costanti matematiche più importanti, infatti esso è presente in molte formule matematiche, come ad esempio:</w:t>
      </w:r>
    </w:p>
    <w:p w14:paraId="7493839B" w14:textId="47E8E643" w:rsidR="004F506D" w:rsidRPr="00BF7EEE" w:rsidRDefault="00BF7EEE" w:rsidP="00BF7EEE">
      <w:pPr>
        <w:pStyle w:val="Paragrafoelenco"/>
        <w:numPr>
          <w:ilvl w:val="0"/>
          <w:numId w:val="11"/>
        </w:numPr>
      </w:pPr>
      <w:r>
        <w:rPr>
          <w:rFonts w:eastAsiaTheme="minorEastAsia"/>
        </w:rPr>
        <w:t>Formula dell’Integrale di Gauss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e>
        </m:nary>
      </m:oMath>
    </w:p>
    <w:p w14:paraId="74B9306A" w14:textId="34BBC878" w:rsidR="004F506D" w:rsidRDefault="00BF7EEE" w:rsidP="00BF7EEE">
      <w:pPr>
        <w:pStyle w:val="Paragrafoelenco"/>
        <w:numPr>
          <w:ilvl w:val="0"/>
          <w:numId w:val="11"/>
        </w:numPr>
      </w:pPr>
      <w:r>
        <w:rPr>
          <w:rFonts w:eastAsiaTheme="minorEastAsia"/>
        </w:rPr>
        <w:t>Formula dell’Approssimazione di Stirling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n! ~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2πn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1BF1947" w14:textId="0A6B17AA" w:rsidR="00A73208" w:rsidRDefault="00A73208" w:rsidP="00A73208">
      <w:pPr>
        <w:pStyle w:val="Paragrafoelenco"/>
        <w:numPr>
          <w:ilvl w:val="0"/>
          <w:numId w:val="11"/>
        </w:numPr>
      </w:pPr>
      <w:r>
        <w:t>Ec</w:t>
      </w:r>
      <w:r w:rsidR="00025C73">
        <w:t>c.</w:t>
      </w:r>
    </w:p>
    <w:p w14:paraId="6B3968E5" w14:textId="67005EAB" w:rsidR="00956B04" w:rsidRPr="00BF7EEE" w:rsidRDefault="00A73208" w:rsidP="00BF7EEE">
      <w:pPr>
        <w:jc w:val="both"/>
        <w:rPr>
          <w:u w:val="single"/>
        </w:rPr>
      </w:pPr>
      <w:r>
        <w:t>Per questo motivo</w:t>
      </w:r>
      <w:r w:rsidR="004F506D">
        <w:t>,</w:t>
      </w:r>
      <w:r>
        <w:t xml:space="preserve"> gli scienziati hanno cercato di trovare quante più cifre possibili di </w:t>
      </w:r>
      <w:r w:rsidRPr="007651D5">
        <w:t>π</w:t>
      </w:r>
      <w:r>
        <w:t xml:space="preserve"> in modo da avere una maggiore precisione nei risultati dei calcoli dove esso è presente.</w:t>
      </w:r>
    </w:p>
    <w:p w14:paraId="143CBD43" w14:textId="77777777" w:rsidR="00956B04" w:rsidRDefault="00956B04">
      <w:r>
        <w:br w:type="page"/>
      </w:r>
    </w:p>
    <w:p w14:paraId="5299B44E" w14:textId="50F443B5" w:rsidR="004F506D" w:rsidRDefault="004F506D" w:rsidP="004F506D">
      <w:pPr>
        <w:pStyle w:val="Titolo2"/>
        <w:numPr>
          <w:ilvl w:val="1"/>
          <w:numId w:val="3"/>
        </w:numPr>
      </w:pPr>
      <w:bookmarkStart w:id="2" w:name="_Toc35725013"/>
      <w:r>
        <w:lastRenderedPageBreak/>
        <w:t>Il Metodo Monte-Carlo</w:t>
      </w:r>
      <w:bookmarkEnd w:id="2"/>
    </w:p>
    <w:p w14:paraId="65803147" w14:textId="1E26B3B7" w:rsidR="004F506D" w:rsidRDefault="004F506D" w:rsidP="004F506D">
      <w:pPr>
        <w:jc w:val="both"/>
      </w:pPr>
      <w:r w:rsidRPr="004F506D">
        <w:t xml:space="preserve">Il Metodo Monte Carlo è un termine che indica tutte quelle tecniche che fanno uso di variabili aleatorie artificiali (cioè generate al </w:t>
      </w:r>
      <w:r w:rsidR="00956B04">
        <w:t>c</w:t>
      </w:r>
      <w:r w:rsidRPr="004F506D">
        <w:t>omputer) per la risoluzione di problemi matematici. Ovviamente questo metodo non è molto efficiente, però</w:t>
      </w:r>
      <w:r w:rsidR="00956B04">
        <w:t>,</w:t>
      </w:r>
      <w:r w:rsidRPr="004F506D">
        <w:t xml:space="preserve"> risulta essere l’unica alternativa quando si </w:t>
      </w:r>
      <w:r w:rsidR="00956B04">
        <w:t>hanno</w:t>
      </w:r>
      <w:r w:rsidRPr="004F506D">
        <w:t xml:space="preserve"> situazioni nelle quali è difficile utilizzare i classici strumenti numerici matematici.</w:t>
      </w:r>
    </w:p>
    <w:p w14:paraId="6FFE2F31" w14:textId="474F694F" w:rsidR="004F506D" w:rsidRDefault="004F506D" w:rsidP="004F506D">
      <w:pPr>
        <w:pStyle w:val="Titolo3"/>
        <w:numPr>
          <w:ilvl w:val="2"/>
          <w:numId w:val="3"/>
        </w:numPr>
        <w:rPr>
          <w:lang w:val="en-GB"/>
        </w:rPr>
      </w:pPr>
      <w:bookmarkStart w:id="3" w:name="_Toc35725014"/>
      <w:r w:rsidRPr="004F506D">
        <w:rPr>
          <w:lang w:val="en-GB"/>
        </w:rPr>
        <w:t xml:space="preserve">La </w:t>
      </w:r>
      <w:r w:rsidRPr="00956B04">
        <w:t>Tecnica</w:t>
      </w:r>
      <w:r w:rsidRPr="004F506D">
        <w:rPr>
          <w:lang w:val="en-GB"/>
        </w:rPr>
        <w:t xml:space="preserve"> Hit or Miss</w:t>
      </w:r>
      <w:bookmarkEnd w:id="3"/>
    </w:p>
    <w:p w14:paraId="579B6F90" w14:textId="192E0791" w:rsidR="004F506D" w:rsidRDefault="004F506D" w:rsidP="004F506D">
      <w:r>
        <w:t xml:space="preserve">Sia </w:t>
      </w:r>
      <m:oMath>
        <m:r>
          <w:rPr>
            <w:rFonts w:ascii="Cambria Math" w:hAnsi="Cambria Math"/>
          </w:rPr>
          <m:t>f(x)</m:t>
        </m:r>
      </m:oMath>
      <w:r>
        <w:t xml:space="preserve"> una funzione definita nell’intervallo </w:t>
      </w:r>
      <m:oMath>
        <m:r>
          <w:rPr>
            <w:rFonts w:ascii="Cambria Math" w:hAnsi="Cambria Math"/>
          </w:rPr>
          <m:t>[a, b]</m:t>
        </m:r>
      </m:oMath>
      <w:r>
        <w:t>.</w:t>
      </w:r>
    </w:p>
    <w:p w14:paraId="0113DC34" w14:textId="0E08C9E4" w:rsidR="004F506D" w:rsidRDefault="004F506D" w:rsidP="004F506D">
      <w:pPr>
        <w:rPr>
          <w:rFonts w:eastAsiaTheme="minorEastAsia"/>
        </w:rPr>
      </w:pPr>
      <w:r>
        <w:t xml:space="preserve">Sia </w:t>
      </w:r>
      <m:oMath>
        <m:r>
          <w:rPr>
            <w:rFonts w:ascii="Cambria Math" w:hAnsi="Cambria Math"/>
          </w:rPr>
          <m:t>f(x)</m:t>
        </m:r>
      </m:oMath>
      <w:r>
        <w:t xml:space="preserve"> limitata, ovvero:</w:t>
      </w:r>
      <w: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∃c∈R | 0≤f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≤c</m:t>
        </m:r>
      </m:oMath>
    </w:p>
    <w:p w14:paraId="24555207" w14:textId="7B6065FE" w:rsidR="004F506D" w:rsidRDefault="00956B04" w:rsidP="004F506D">
      <w:pPr>
        <w:rPr>
          <w:rFonts w:eastAsiaTheme="minorEastAsia"/>
        </w:rPr>
      </w:pPr>
      <w:r>
        <w:rPr>
          <w:rFonts w:eastAsiaTheme="minorEastAsia"/>
        </w:rPr>
        <w:t>Si consideri</w:t>
      </w:r>
      <w:r w:rsidR="004F506D">
        <w:rPr>
          <w:rFonts w:eastAsiaTheme="minorEastAsia"/>
        </w:rPr>
        <w:t xml:space="preserve"> il rettangolo:</w:t>
      </w:r>
      <w:r w:rsidR="004F506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/>
          </w:rPr>
          <m:t>a≤x≤b, 0≤y≤c}</m:t>
        </m:r>
      </m:oMath>
    </w:p>
    <w:p w14:paraId="7C9076A5" w14:textId="68ED0F40" w:rsidR="004F506D" w:rsidRDefault="004F506D" w:rsidP="004F506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probabilità che il vettore </w:t>
      </w:r>
      <m:oMath>
        <m:r>
          <w:rPr>
            <w:rFonts w:ascii="Cambria Math" w:eastAsiaTheme="minorEastAsia" w:hAnsi="Cambria Math"/>
          </w:rPr>
          <m:t>(x, y)</m:t>
        </m:r>
      </m:oMath>
      <w:r>
        <w:rPr>
          <w:rFonts w:eastAsiaTheme="minorEastAsia"/>
        </w:rPr>
        <w:t xml:space="preserve"> di numeri casuali uniformemente distribuiti in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cada sotto la curva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è:</w:t>
      </w:r>
    </w:p>
    <w:p w14:paraId="4D248BC8" w14:textId="77777777" w:rsidR="004F506D" w:rsidRPr="00FA11C0" w:rsidRDefault="004F506D" w:rsidP="004F506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Area della Curva</m:t>
              </m:r>
            </m:num>
            <m:den>
              <m:r>
                <w:rPr>
                  <w:rFonts w:ascii="Cambria Math" w:hAnsi="Cambria Math"/>
                </w:rPr>
                <m:t>Area del Rettangolo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c(b-a)</m:t>
              </m:r>
            </m:den>
          </m:f>
        </m:oMath>
      </m:oMathPara>
    </w:p>
    <w:p w14:paraId="4D9D3EA6" w14:textId="464FB9AA" w:rsidR="004F506D" w:rsidRDefault="00025C73" w:rsidP="004F506D">
      <w:pPr>
        <w:rPr>
          <w:rFonts w:eastAsiaTheme="minorEastAsia"/>
        </w:rPr>
      </w:pPr>
      <w:r>
        <w:rPr>
          <w:rFonts w:eastAsiaTheme="minorEastAsia"/>
        </w:rPr>
        <w:t>Si può</w:t>
      </w:r>
      <w:r w:rsidR="004F506D">
        <w:rPr>
          <w:rFonts w:eastAsiaTheme="minorEastAsia"/>
        </w:rPr>
        <w:t xml:space="preserve"> riscrivere la precedente equazione come segue:</w:t>
      </w:r>
    </w:p>
    <w:p w14:paraId="59768A6F" w14:textId="44CA719A" w:rsidR="004F506D" w:rsidRDefault="004F506D" w:rsidP="004F50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</m:e>
          </m:nary>
        </m:oMath>
      </m:oMathPara>
    </w:p>
    <w:p w14:paraId="1489E8E7" w14:textId="3C35C42C" w:rsidR="004F506D" w:rsidRDefault="004F506D" w:rsidP="004F506D">
      <w:pPr>
        <w:rPr>
          <w:rFonts w:eastAsiaTheme="minorEastAsia"/>
        </w:rPr>
      </w:pPr>
      <w:r>
        <w:rPr>
          <w:rFonts w:eastAsiaTheme="minorEastAsia"/>
        </w:rPr>
        <w:t xml:space="preserve">Una volta generati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vettori casuali</w:t>
      </w:r>
      <w:r w:rsidR="00956B04">
        <w:rPr>
          <w:rFonts w:eastAsiaTheme="minorEastAsia"/>
        </w:rPr>
        <w:t>,</w:t>
      </w:r>
      <w:r>
        <w:rPr>
          <w:rFonts w:eastAsiaTheme="minorEastAsia"/>
        </w:rPr>
        <w:t xml:space="preserve"> è possibile stimare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:</w:t>
      </w:r>
    </w:p>
    <w:p w14:paraId="09A80BF4" w14:textId="00826051" w:rsidR="004F506D" w:rsidRPr="004F506D" w:rsidRDefault="00451190" w:rsidP="004F50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 ~ 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6E7DE85" w14:textId="53C7F2A3" w:rsidR="004F506D" w:rsidRDefault="004F506D" w:rsidP="004F506D">
      <w:pPr>
        <w:jc w:val="both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H</m:t>
            </m:r>
          </m:sub>
        </m:sSub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rappresenta il numero di “Hits”, ovvero il numero di volte in cui il punto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cade sotto la curva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</w:t>
      </w:r>
    </w:p>
    <w:p w14:paraId="285059C7" w14:textId="788FBB03" w:rsidR="004F506D" w:rsidRDefault="004F506D" w:rsidP="004F506D">
      <w:pPr>
        <w:rPr>
          <w:rFonts w:eastAsiaTheme="minorEastAsia"/>
        </w:rPr>
      </w:pPr>
      <w:r>
        <w:t xml:space="preserve">Quindi, nella precedente equazione </w:t>
      </w:r>
      <w:r w:rsidR="00025C73">
        <w:t>si può</w:t>
      </w:r>
      <w:r>
        <w:t xml:space="preserve"> sostituire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 xml:space="preserve"> otten</w:t>
      </w:r>
      <w:r w:rsidR="00025C73">
        <w:rPr>
          <w:rFonts w:eastAsiaTheme="minorEastAsia"/>
        </w:rPr>
        <w:t>endo</w:t>
      </w:r>
      <w:r>
        <w:rPr>
          <w:rFonts w:eastAsiaTheme="minorEastAsia"/>
        </w:rPr>
        <w:t>:</w:t>
      </w:r>
    </w:p>
    <w:p w14:paraId="2D90E962" w14:textId="16F10453" w:rsidR="00956B04" w:rsidRDefault="00451190" w:rsidP="004F506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 ~ 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</m:oMath>
      </m:oMathPara>
    </w:p>
    <w:p w14:paraId="373FB287" w14:textId="77777777" w:rsidR="00956B04" w:rsidRDefault="00956B0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0E0DC4" w14:textId="5186FE45" w:rsidR="00A73208" w:rsidRDefault="00A73208" w:rsidP="00A73208">
      <w:pPr>
        <w:pStyle w:val="Titolo1"/>
        <w:numPr>
          <w:ilvl w:val="0"/>
          <w:numId w:val="3"/>
        </w:numPr>
      </w:pPr>
      <w:bookmarkStart w:id="4" w:name="_Toc35725015"/>
      <w:r>
        <w:lastRenderedPageBreak/>
        <w:t>Lavoro Svolto</w:t>
      </w:r>
      <w:bookmarkEnd w:id="4"/>
    </w:p>
    <w:p w14:paraId="42D57CE6" w14:textId="3DACA0E2" w:rsidR="00B000B9" w:rsidRDefault="00B000B9" w:rsidP="00B000B9">
      <w:r>
        <w:t>Verranno analizzati due metodi per risolvere il problema precedentemente descritto.</w:t>
      </w:r>
    </w:p>
    <w:p w14:paraId="22A4C6DC" w14:textId="7121EC70" w:rsidR="00B000B9" w:rsidRDefault="00B000B9" w:rsidP="00B000B9">
      <w:pPr>
        <w:pStyle w:val="Titolo2"/>
        <w:numPr>
          <w:ilvl w:val="1"/>
          <w:numId w:val="3"/>
        </w:numPr>
      </w:pPr>
      <w:bookmarkStart w:id="5" w:name="_Toc35725016"/>
      <w:r>
        <w:t>Metodo 1</w:t>
      </w:r>
      <w:bookmarkEnd w:id="5"/>
    </w:p>
    <w:p w14:paraId="40E4D247" w14:textId="69F75087" w:rsidR="00B000B9" w:rsidRPr="00613BDF" w:rsidRDefault="00B000B9" w:rsidP="00956B04">
      <w:pPr>
        <w:jc w:val="both"/>
        <w:rPr>
          <w:rFonts w:ascii="Times New Roman" w:hAnsi="Times New Roman" w:cs="Times New Roman"/>
          <w:sz w:val="32"/>
          <w:szCs w:val="32"/>
        </w:rPr>
      </w:pPr>
      <w:r>
        <w:t xml:space="preserve">Il primo metodo che </w:t>
      </w:r>
      <w:r w:rsidR="00956B04">
        <w:t>si analizzerà</w:t>
      </w:r>
      <w:r>
        <w:t xml:space="preserve"> per stimare il valore di </w:t>
      </w:r>
      <m:oMath>
        <m:r>
          <w:rPr>
            <w:rFonts w:ascii="Cambria Math" w:hAnsi="Cambria Math"/>
          </w:rPr>
          <m:t>π</m:t>
        </m:r>
      </m:oMath>
      <w:r>
        <w:t xml:space="preserve"> consiste nel considerare una circonferenza di raggio </w:t>
      </w:r>
      <m:oMath>
        <m:r>
          <w:rPr>
            <w:rFonts w:ascii="Cambria Math" w:hAnsi="Cambria Math"/>
          </w:rPr>
          <m:t>R</m:t>
        </m:r>
      </m:oMath>
      <w:r>
        <w:t xml:space="preserve"> inscritta in un quadrato avente lato pari a </w:t>
      </w:r>
      <m:oMath>
        <m:r>
          <w:rPr>
            <w:rFonts w:ascii="Cambria Math" w:hAnsi="Cambria Math"/>
          </w:rPr>
          <m:t>2R</m:t>
        </m:r>
      </m:oMath>
      <w:r w:rsidR="00956B04">
        <w:t>.</w:t>
      </w:r>
    </w:p>
    <w:p w14:paraId="2B42E074" w14:textId="77777777" w:rsidR="00B000B9" w:rsidRDefault="00B000B9" w:rsidP="00B000B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577652" wp14:editId="39630A2C">
            <wp:extent cx="3078747" cy="3292125"/>
            <wp:effectExtent l="0" t="0" r="762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7C49" w14:textId="3A96762B" w:rsidR="00B000B9" w:rsidRDefault="00B000B9" w:rsidP="00956B04">
      <w:pPr>
        <w:pStyle w:val="Didascalia"/>
        <w:jc w:val="center"/>
      </w:pPr>
      <w:r>
        <w:t xml:space="preserve">Figura </w:t>
      </w:r>
      <w:r w:rsidR="00025C73">
        <w:t>1</w:t>
      </w:r>
      <w:r>
        <w:t xml:space="preserve"> - Circonferenza inscritta in un Quadrato</w:t>
      </w:r>
    </w:p>
    <w:p w14:paraId="59462A53" w14:textId="77777777" w:rsidR="00956B04" w:rsidRPr="00956B04" w:rsidRDefault="00956B04" w:rsidP="00956B04"/>
    <w:p w14:paraId="4492219F" w14:textId="3892C900" w:rsidR="00B000B9" w:rsidRPr="00B000B9" w:rsidRDefault="00B000B9" w:rsidP="00B000B9">
      <w:r>
        <w:t xml:space="preserve">Generati </w:t>
      </w:r>
      <m:oMath>
        <m:r>
          <w:rPr>
            <w:rFonts w:ascii="Cambria Math" w:hAnsi="Cambria Math"/>
          </w:rPr>
          <m:t>N</m:t>
        </m:r>
      </m:oMath>
      <w:r>
        <w:t xml:space="preserve"> punti nel quadrato con distribuzione uniforme, si avrà:</w:t>
      </w:r>
    </w:p>
    <w:p w14:paraId="1A2A00A2" w14:textId="77777777" w:rsidR="00B000B9" w:rsidRDefault="00B000B9" w:rsidP="00B000B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8A006B" wp14:editId="743ED8D1">
            <wp:extent cx="3078747" cy="3307367"/>
            <wp:effectExtent l="0" t="0" r="7620" b="762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496" w14:textId="3FAF0647" w:rsidR="00B000B9" w:rsidRDefault="00B000B9" w:rsidP="00B000B9">
      <w:pPr>
        <w:pStyle w:val="Didascalia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Figura </w:t>
      </w:r>
      <w:r w:rsidR="00025C73">
        <w:t>2</w:t>
      </w:r>
      <w:r>
        <w:t xml:space="preserve"> - Generazione di 10000 Punti nel Quadrato</w:t>
      </w:r>
    </w:p>
    <w:p w14:paraId="51178D5C" w14:textId="5DCC85B2" w:rsidR="00B000B9" w:rsidRDefault="00B000B9" w:rsidP="00B000B9">
      <w:r>
        <w:lastRenderedPageBreak/>
        <w:t>In questo caso, si ha:</w:t>
      </w:r>
    </w:p>
    <w:p w14:paraId="0C57D9DF" w14:textId="53B4907A" w:rsidR="00B000B9" w:rsidRPr="009017F6" w:rsidRDefault="00451190" w:rsidP="00B000B9">
      <w:pPr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DD33801" w14:textId="77777777" w:rsidR="00B000B9" w:rsidRDefault="00B000B9" w:rsidP="00B000B9">
      <w:r>
        <w:t>Quindi:</w:t>
      </w:r>
    </w:p>
    <w:p w14:paraId="47ED03C9" w14:textId="27F49A61" w:rsidR="00B000B9" w:rsidRPr="009017F6" w:rsidRDefault="00B000B9" w:rsidP="00B000B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π=4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19D492F" w14:textId="73D28552" w:rsidR="009017F6" w:rsidRDefault="00B000B9" w:rsidP="00B000B9">
      <w:r>
        <w:t xml:space="preserve">Ponendo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>, si ottiene</w:t>
      </w:r>
      <w:r w:rsidR="00956B04">
        <w:t>:</w:t>
      </w:r>
    </w:p>
    <w:p w14:paraId="49862D1C" w14:textId="54AA34FC" w:rsidR="00956B04" w:rsidRPr="00956B04" w:rsidRDefault="009017F6" w:rsidP="00956B04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π=3, 1406066</m:t>
          </m:r>
        </m:oMath>
      </m:oMathPara>
    </w:p>
    <w:p w14:paraId="20BF8E93" w14:textId="77777777" w:rsidR="00956B04" w:rsidRPr="00956B04" w:rsidRDefault="00956B04" w:rsidP="00956B04">
      <w:pPr>
        <w:rPr>
          <w:rFonts w:eastAsiaTheme="minorEastAsia"/>
          <w:iCs/>
        </w:rPr>
      </w:pPr>
    </w:p>
    <w:p w14:paraId="4913D45B" w14:textId="14B9611B" w:rsidR="00B000B9" w:rsidRDefault="009017F6" w:rsidP="009017F6">
      <w:pPr>
        <w:pStyle w:val="Titolo3"/>
        <w:numPr>
          <w:ilvl w:val="2"/>
          <w:numId w:val="3"/>
        </w:numPr>
      </w:pPr>
      <w:bookmarkStart w:id="6" w:name="_Toc35725017"/>
      <w:r>
        <w:t>Codice Sorgente del Metodo 1</w:t>
      </w:r>
      <w:bookmarkEnd w:id="6"/>
    </w:p>
    <w:p w14:paraId="1573C0D5" w14:textId="77777777" w:rsidR="009017F6" w:rsidRPr="009017F6" w:rsidRDefault="009017F6" w:rsidP="009017F6"/>
    <w:p w14:paraId="523BD0A8" w14:textId="77777777" w:rsidR="009017F6" w:rsidRDefault="00B000B9" w:rsidP="009017F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343E21" wp14:editId="7137EF5D">
            <wp:extent cx="5052498" cy="4107536"/>
            <wp:effectExtent l="0" t="0" r="0" b="762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4F0C" w14:textId="32DA6849" w:rsidR="00B000B9" w:rsidRDefault="009017F6" w:rsidP="009017F6">
      <w:pPr>
        <w:pStyle w:val="Didascalia"/>
        <w:jc w:val="center"/>
      </w:pPr>
      <w:r>
        <w:t xml:space="preserve">Figura </w:t>
      </w:r>
      <w:r w:rsidR="00CD2796">
        <w:t>3</w:t>
      </w:r>
      <w:r>
        <w:t xml:space="preserve"> </w:t>
      </w:r>
      <w:r w:rsidR="00D80C9E">
        <w:t>–</w:t>
      </w:r>
      <w:r>
        <w:t xml:space="preserve"> </w:t>
      </w:r>
      <w:r w:rsidR="00D80C9E">
        <w:t xml:space="preserve">Classe </w:t>
      </w:r>
      <w:r w:rsidR="00D80C9E" w:rsidRPr="00CD2796">
        <w:rPr>
          <w:lang w:val="en-GB"/>
        </w:rPr>
        <w:t>Square</w:t>
      </w:r>
    </w:p>
    <w:p w14:paraId="46AF4EC6" w14:textId="77777777" w:rsidR="009017F6" w:rsidRPr="009017F6" w:rsidRDefault="009017F6" w:rsidP="009017F6"/>
    <w:p w14:paraId="4DD14B0C" w14:textId="77777777" w:rsidR="009017F6" w:rsidRDefault="00B000B9" w:rsidP="009017F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9A3A054" wp14:editId="054A863E">
            <wp:extent cx="5044877" cy="4107536"/>
            <wp:effectExtent l="0" t="0" r="3810" b="762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645" w14:textId="3DC55331" w:rsidR="00B000B9" w:rsidRDefault="009017F6" w:rsidP="009017F6">
      <w:pPr>
        <w:pStyle w:val="Didascalia"/>
        <w:jc w:val="center"/>
      </w:pPr>
      <w:r>
        <w:t xml:space="preserve">Figura </w:t>
      </w:r>
      <w:r w:rsidR="00CD2796">
        <w:t>4</w:t>
      </w:r>
      <w:r>
        <w:t xml:space="preserve"> </w:t>
      </w:r>
      <w:r w:rsidR="00D80C9E">
        <w:t>–</w:t>
      </w:r>
      <w:r>
        <w:t xml:space="preserve"> </w:t>
      </w:r>
      <w:r w:rsidR="00D80C9E">
        <w:t xml:space="preserve">Classe </w:t>
      </w:r>
      <w:r w:rsidR="00D80C9E" w:rsidRPr="00CD2796">
        <w:rPr>
          <w:lang w:val="en-GB"/>
        </w:rPr>
        <w:t>Circle</w:t>
      </w:r>
    </w:p>
    <w:p w14:paraId="741C8767" w14:textId="77777777" w:rsidR="009017F6" w:rsidRPr="009017F6" w:rsidRDefault="009017F6" w:rsidP="009017F6"/>
    <w:p w14:paraId="0FB16C82" w14:textId="77777777" w:rsidR="009017F6" w:rsidRDefault="00B000B9" w:rsidP="009017F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0CB631" wp14:editId="5DB63C15">
            <wp:extent cx="4099915" cy="3749365"/>
            <wp:effectExtent l="0" t="0" r="0" b="381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96D" w14:textId="0A3BB12B" w:rsidR="00B000B9" w:rsidRDefault="009017F6" w:rsidP="009017F6">
      <w:pPr>
        <w:pStyle w:val="Didascalia"/>
        <w:jc w:val="center"/>
      </w:pPr>
      <w:r>
        <w:t xml:space="preserve">Figura </w:t>
      </w:r>
      <w:r w:rsidR="00CD2796">
        <w:t>5</w:t>
      </w:r>
      <w:r>
        <w:t xml:space="preserve"> </w:t>
      </w:r>
      <w:r w:rsidR="00D80C9E">
        <w:t>–</w:t>
      </w:r>
      <w:r>
        <w:t xml:space="preserve"> </w:t>
      </w:r>
      <w:r w:rsidR="00D80C9E">
        <w:t>Classe Point</w:t>
      </w:r>
    </w:p>
    <w:p w14:paraId="626E5B84" w14:textId="77777777" w:rsidR="00D80C9E" w:rsidRPr="00D80C9E" w:rsidRDefault="00D80C9E" w:rsidP="00D80C9E"/>
    <w:p w14:paraId="0C9A5737" w14:textId="77777777" w:rsidR="009017F6" w:rsidRDefault="00B000B9" w:rsidP="009017F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2BDA01" wp14:editId="3457332D">
            <wp:extent cx="4701947" cy="5006774"/>
            <wp:effectExtent l="0" t="0" r="3810" b="381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tur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CE8E" w14:textId="751BD793" w:rsidR="00B000B9" w:rsidRDefault="009017F6" w:rsidP="009017F6">
      <w:pPr>
        <w:pStyle w:val="Didascalia"/>
        <w:jc w:val="center"/>
      </w:pPr>
      <w:r>
        <w:t xml:space="preserve">Figura </w:t>
      </w:r>
      <w:r w:rsidR="00CD2796">
        <w:t>6</w:t>
      </w:r>
      <w:r>
        <w:t xml:space="preserve"> </w:t>
      </w:r>
      <w:r w:rsidR="00D80C9E">
        <w:t>–</w:t>
      </w:r>
      <w:r>
        <w:t xml:space="preserve"> </w:t>
      </w:r>
      <w:r w:rsidR="00D80C9E">
        <w:t>Parte Principale del Programma</w:t>
      </w:r>
    </w:p>
    <w:p w14:paraId="1C7621CB" w14:textId="77777777" w:rsidR="00D80C9E" w:rsidRPr="00D80C9E" w:rsidRDefault="00D80C9E" w:rsidP="00D80C9E"/>
    <w:p w14:paraId="6849696E" w14:textId="77777777" w:rsidR="009017F6" w:rsidRDefault="00B000B9" w:rsidP="009017F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5324E2" wp14:editId="60BABC47">
            <wp:extent cx="6120130" cy="2848610"/>
            <wp:effectExtent l="0" t="0" r="0" b="889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ttura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0E3" w14:textId="122B3552" w:rsidR="00B000B9" w:rsidRDefault="009017F6" w:rsidP="009017F6">
      <w:pPr>
        <w:pStyle w:val="Didascalia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Figura </w:t>
      </w:r>
      <w:r w:rsidR="00CD2796">
        <w:t>7</w:t>
      </w:r>
      <w:r>
        <w:t xml:space="preserve"> </w:t>
      </w:r>
      <w:r w:rsidR="00D80C9E">
        <w:t>–</w:t>
      </w:r>
      <w:r>
        <w:t xml:space="preserve"> </w:t>
      </w:r>
      <w:r w:rsidR="00D80C9E">
        <w:t>Funzione “calcPI1”</w:t>
      </w:r>
    </w:p>
    <w:p w14:paraId="4232B596" w14:textId="4FA18B8B" w:rsidR="00B000B9" w:rsidRDefault="009017F6" w:rsidP="009017F6">
      <w:pPr>
        <w:pStyle w:val="Titolo2"/>
        <w:numPr>
          <w:ilvl w:val="1"/>
          <w:numId w:val="3"/>
        </w:numPr>
      </w:pPr>
      <w:bookmarkStart w:id="7" w:name="_Toc35725018"/>
      <w:r>
        <w:lastRenderedPageBreak/>
        <w:t>Metodo 2</w:t>
      </w:r>
      <w:bookmarkEnd w:id="7"/>
    </w:p>
    <w:p w14:paraId="01494CAA" w14:textId="259FD2E9" w:rsidR="009017F6" w:rsidRDefault="009017F6" w:rsidP="009017F6">
      <w:pPr>
        <w:jc w:val="both"/>
      </w:pPr>
      <w:r>
        <w:t>Il codice sorgente della precedente implementazione, con particolare riferimento alla funzione “calcPI1”, può sembrare un po’ complicato da capire</w:t>
      </w:r>
      <w:r w:rsidR="00D80C9E">
        <w:t>. P</w:t>
      </w:r>
      <w:r>
        <w:t>er questo motivo</w:t>
      </w:r>
      <w:r w:rsidR="00D80C9E">
        <w:t>,</w:t>
      </w:r>
      <w:r>
        <w:t xml:space="preserve"> </w:t>
      </w:r>
      <w:r w:rsidR="00D80C9E">
        <w:t>si presenta</w:t>
      </w:r>
      <w:r>
        <w:t xml:space="preserve"> un’altra implementazione molto simile alla precedente</w:t>
      </w:r>
      <w:r w:rsidR="00D80C9E">
        <w:t>,</w:t>
      </w:r>
      <w:r>
        <w:t xml:space="preserve"> ma, per la quale è possibile scrivere un codice sorgente più elegante e più semplice da capire.</w:t>
      </w:r>
    </w:p>
    <w:p w14:paraId="762E15C3" w14:textId="50927650" w:rsidR="009017F6" w:rsidRDefault="009017F6" w:rsidP="009017F6">
      <w:pPr>
        <w:jc w:val="both"/>
      </w:pPr>
      <w:r>
        <w:t xml:space="preserve">Questo metodo </w:t>
      </w:r>
      <w:r w:rsidR="00D80C9E">
        <w:t>che si analizza</w:t>
      </w:r>
      <w:r>
        <w:t xml:space="preserve"> per stimare il valore di </w:t>
      </w:r>
      <m:oMath>
        <m:r>
          <w:rPr>
            <w:rFonts w:ascii="Cambria Math" w:hAnsi="Cambria Math"/>
          </w:rPr>
          <m:t>π</m:t>
        </m:r>
      </m:oMath>
      <w:r>
        <w:t xml:space="preserve"> consiste nel considerare un quarto di circonferenza di raggio </w:t>
      </w:r>
      <m:oMath>
        <m:r>
          <w:rPr>
            <w:rFonts w:ascii="Cambria Math" w:hAnsi="Cambria Math"/>
          </w:rPr>
          <m:t>R</m:t>
        </m:r>
      </m:oMath>
      <w:r>
        <w:t xml:space="preserve"> dentro un quadrato avente lato pari a </w:t>
      </w:r>
      <m:oMath>
        <m:r>
          <w:rPr>
            <w:rFonts w:ascii="Cambria Math" w:hAnsi="Cambria Math"/>
          </w:rPr>
          <m:t>R</m:t>
        </m:r>
      </m:oMath>
      <w:r w:rsidR="00D80C9E">
        <w:t>.</w:t>
      </w:r>
    </w:p>
    <w:p w14:paraId="3EBBBD74" w14:textId="77777777" w:rsidR="00780624" w:rsidRDefault="00780624" w:rsidP="00780624">
      <w:pPr>
        <w:keepNext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7B03FA" wp14:editId="02547DB1">
            <wp:extent cx="3101609" cy="3307367"/>
            <wp:effectExtent l="0" t="0" r="381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tur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AC3" w14:textId="0154AC1F" w:rsidR="00D80C9E" w:rsidRPr="00D80C9E" w:rsidRDefault="00780624" w:rsidP="00D80C9E">
      <w:pPr>
        <w:pStyle w:val="Didascalia"/>
        <w:jc w:val="center"/>
      </w:pPr>
      <w:r>
        <w:t xml:space="preserve">Figura </w:t>
      </w:r>
      <w:r w:rsidR="00CD2796">
        <w:t>8</w:t>
      </w:r>
      <w:r>
        <w:t xml:space="preserve"> </w:t>
      </w:r>
      <w:r w:rsidR="00FC3081">
        <w:t>–</w:t>
      </w:r>
      <w:r>
        <w:t xml:space="preserve"> </w:t>
      </w:r>
      <w:r w:rsidR="00FC3081">
        <w:t xml:space="preserve">Un quarto </w:t>
      </w:r>
      <w:r>
        <w:t>di Circonferenza dentro un Quadrato</w:t>
      </w:r>
    </w:p>
    <w:p w14:paraId="620E40E5" w14:textId="57DC8075" w:rsidR="00D80C9E" w:rsidRPr="00B000B9" w:rsidRDefault="00D80C9E" w:rsidP="00D80C9E">
      <w:r>
        <w:t xml:space="preserve">Generati </w:t>
      </w:r>
      <m:oMath>
        <m:r>
          <w:rPr>
            <w:rFonts w:ascii="Cambria Math" w:hAnsi="Cambria Math"/>
          </w:rPr>
          <m:t>N</m:t>
        </m:r>
      </m:oMath>
      <w:r>
        <w:t xml:space="preserve"> punti nel quadrato con distribuzione uniforme, si avrà:</w:t>
      </w:r>
    </w:p>
    <w:p w14:paraId="2CDFCBB5" w14:textId="77777777" w:rsidR="00780624" w:rsidRDefault="00FF3D1C" w:rsidP="00780624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FA10A4" wp14:editId="715D1B66">
            <wp:extent cx="3086367" cy="3307367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ttura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395" w14:textId="7ED7A3B0" w:rsidR="00FF3D1C" w:rsidRPr="009D4A61" w:rsidRDefault="00780624" w:rsidP="00780624">
      <w:pPr>
        <w:pStyle w:val="Didascalia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Figura </w:t>
      </w:r>
      <w:r w:rsidR="009D4A61">
        <w:t>9</w:t>
      </w:r>
      <w:r>
        <w:t xml:space="preserve"> - Generazione di 10000 Punti nel Quadrato</w:t>
      </w:r>
    </w:p>
    <w:p w14:paraId="1AF3C0E9" w14:textId="4360A6AD" w:rsidR="00FF3D1C" w:rsidRDefault="00FF3D1C" w:rsidP="00780624">
      <w:r>
        <w:lastRenderedPageBreak/>
        <w:t>In questo caso</w:t>
      </w:r>
      <w:r w:rsidR="00780624">
        <w:t>, si ha</w:t>
      </w:r>
      <w:r>
        <w:t>:</w:t>
      </w:r>
    </w:p>
    <w:p w14:paraId="143C7D25" w14:textId="77777777" w:rsidR="00FF3D1C" w:rsidRPr="00FF3D1C" w:rsidRDefault="00451190" w:rsidP="00780624">
      <w:pPr>
        <w:rPr>
          <w:rFonts w:ascii="Times New Roman" w:eastAsiaTheme="minorEastAsia" w:hAnsi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1D9FE3A" w14:textId="4D957BC4" w:rsidR="00FF3D1C" w:rsidRPr="00780624" w:rsidRDefault="00FF3D1C" w:rsidP="00780624">
      <w:r>
        <w:t>Quindi: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π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70883C4" w14:textId="77777777" w:rsidR="00D80C9E" w:rsidRDefault="004D7B22" w:rsidP="00A30304">
      <w:r>
        <w:t xml:space="preserve">Ponendo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FF3D1C">
        <w:t>, si ottiene:</w:t>
      </w:r>
    </w:p>
    <w:p w14:paraId="01B3B4A3" w14:textId="3CB3AAA7" w:rsidR="00FF3D1C" w:rsidRPr="00D80C9E" w:rsidRDefault="00A30304" w:rsidP="00A30304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/>
            </w:rPr>
            <m:t>π=3, 1417205</m:t>
          </m:r>
        </m:oMath>
      </m:oMathPara>
    </w:p>
    <w:p w14:paraId="53A6A833" w14:textId="77777777" w:rsidR="00D80C9E" w:rsidRDefault="00D80C9E" w:rsidP="00A30304">
      <w:pPr>
        <w:rPr>
          <w:rFonts w:ascii="Times New Roman" w:hAnsi="Times New Roman" w:cs="Times New Roman"/>
          <w:sz w:val="32"/>
          <w:szCs w:val="32"/>
        </w:rPr>
      </w:pPr>
    </w:p>
    <w:p w14:paraId="66257242" w14:textId="78C968AB" w:rsidR="00FF3D1C" w:rsidRPr="00BF0B34" w:rsidRDefault="00A30304" w:rsidP="00BF0B34">
      <w:pPr>
        <w:pStyle w:val="Titolo3"/>
      </w:pPr>
      <w:bookmarkStart w:id="8" w:name="_Toc35725019"/>
      <w:r>
        <w:t>2.2.1 Codice Sorgente del Metodo 2</w:t>
      </w:r>
      <w:bookmarkEnd w:id="8"/>
    </w:p>
    <w:p w14:paraId="459D2BCA" w14:textId="77777777" w:rsidR="00FF3D1C" w:rsidRDefault="00FF3D1C" w:rsidP="00FF3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306066" w14:textId="77777777" w:rsidR="00BF0B34" w:rsidRDefault="00FF3D1C" w:rsidP="00BF0B34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4B22CE" wp14:editId="0782F4DB">
            <wp:extent cx="4595258" cy="3177815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tura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704" w14:textId="22B29E8C" w:rsidR="00FF3D1C" w:rsidRDefault="00BF0B34" w:rsidP="00BF0B34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34305A">
          <w:rPr>
            <w:noProof/>
          </w:rPr>
          <w:t>1</w:t>
        </w:r>
      </w:fldSimple>
      <w:r w:rsidR="00C87955">
        <w:rPr>
          <w:noProof/>
        </w:rPr>
        <w:t>0</w:t>
      </w:r>
      <w:r>
        <w:t xml:space="preserve"> - Funzione "calcPI2</w:t>
      </w:r>
      <w:r>
        <w:rPr>
          <w:noProof/>
        </w:rPr>
        <w:t>"</w:t>
      </w:r>
    </w:p>
    <w:p w14:paraId="2FC138E0" w14:textId="77777777" w:rsidR="00D80C9E" w:rsidRPr="00D80C9E" w:rsidRDefault="00D80C9E" w:rsidP="00D80C9E"/>
    <w:p w14:paraId="17FAD26D" w14:textId="6BFF2786" w:rsidR="00BF0B34" w:rsidRPr="00BF0B34" w:rsidRDefault="00BF0B34" w:rsidP="00BF0B34">
      <w:pPr>
        <w:pStyle w:val="Titolo2"/>
        <w:numPr>
          <w:ilvl w:val="1"/>
          <w:numId w:val="3"/>
        </w:numPr>
      </w:pPr>
      <w:bookmarkStart w:id="9" w:name="_Toc35725020"/>
      <w:r>
        <w:t>Intervallo di Confidenza</w:t>
      </w:r>
      <w:bookmarkEnd w:id="9"/>
    </w:p>
    <w:p w14:paraId="25128F7D" w14:textId="103F55DD" w:rsidR="00BF0B34" w:rsidRDefault="00D80C9E" w:rsidP="00BF0B34">
      <w:pPr>
        <w:rPr>
          <w:rFonts w:ascii="Arial" w:hAnsi="Arial" w:cs="Arial"/>
          <w:sz w:val="26"/>
          <w:szCs w:val="26"/>
        </w:rPr>
      </w:pPr>
      <w:r>
        <w:t>Si vuole calcolare</w:t>
      </w:r>
      <w:r w:rsidR="007A70FB">
        <w:t xml:space="preserve"> l’intervallo di confidenza per quest’ultimo metodo adoperato al variare di </w:t>
      </w:r>
      <m:oMath>
        <m:r>
          <w:rPr>
            <w:rFonts w:ascii="Cambria Math" w:hAnsi="Cambria Math"/>
          </w:rPr>
          <m:t>N</m:t>
        </m:r>
      </m:oMath>
      <w:r w:rsidR="007A70FB">
        <w:t xml:space="preserve"> con livello di fiducia </w:t>
      </w:r>
      <m:oMath>
        <m:r>
          <w:rPr>
            <w:rFonts w:ascii="Cambria Math" w:hAnsi="Cambria Math"/>
          </w:rPr>
          <m:t>α</m:t>
        </m:r>
      </m:oMath>
      <w:r w:rsidR="00DA1978">
        <w:rPr>
          <w:rFonts w:ascii="Arial" w:hAnsi="Arial" w:cs="Arial"/>
          <w:sz w:val="26"/>
          <w:szCs w:val="26"/>
        </w:rPr>
        <w:t>.</w:t>
      </w:r>
    </w:p>
    <w:p w14:paraId="0CA2B68D" w14:textId="11D4291C" w:rsidR="00BF0B34" w:rsidRDefault="00D80C9E" w:rsidP="00BF0B34">
      <w:pPr>
        <w:rPr>
          <w:rFonts w:ascii="Times New Roman" w:hAnsi="Times New Roman"/>
        </w:rPr>
      </w:pPr>
      <w:r>
        <w:rPr>
          <w:rFonts w:ascii="Times New Roman" w:hAnsi="Times New Roman"/>
        </w:rPr>
        <w:t>Si calcola</w:t>
      </w:r>
    </w:p>
    <w:p w14:paraId="72C635A3" w14:textId="0CAE0FD9" w:rsidR="00DA1978" w:rsidRDefault="00451190" w:rsidP="00BF0B34">
      <w:pPr>
        <w:rPr>
          <w:rFonts w:ascii="Times New Roman" w:eastAsiaTheme="minorEastAsia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0044A90" w14:textId="275CCFF7" w:rsidR="00BF0B34" w:rsidRDefault="00D80C9E" w:rsidP="00BF0B34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Si stima</w:t>
      </w:r>
      <w:r w:rsidR="00FC00B2">
        <w:rPr>
          <w:rFonts w:ascii="Times New Roman" w:eastAsiaTheme="minorEastAsia" w:hAnsi="Times New Roman"/>
        </w:rPr>
        <w:t xml:space="preserve"> la deviazione standard</w:t>
      </w:r>
    </w:p>
    <w:p w14:paraId="6F54D05A" w14:textId="52396C80" w:rsidR="00FC00B2" w:rsidRDefault="00FC00B2" w:rsidP="00BF0B34">
      <w:pPr>
        <w:rPr>
          <w:rFonts w:ascii="Times New Roman" w:eastAsiaTheme="minorEastAsia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'(1-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15FD5D2A" w14:textId="77777777" w:rsidR="00D80C9E" w:rsidRDefault="00D80C9E" w:rsidP="00BF0B34">
      <w:pPr>
        <w:rPr>
          <w:rFonts w:ascii="Times New Roman" w:eastAsiaTheme="minorEastAsia" w:hAnsi="Times New Roman"/>
        </w:rPr>
      </w:pPr>
    </w:p>
    <w:p w14:paraId="43443CC3" w14:textId="57453B36" w:rsidR="00FC00B2" w:rsidRDefault="00D80C9E" w:rsidP="00BF0B34">
      <w:pPr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lastRenderedPageBreak/>
        <w:t>Si fissa</w:t>
      </w:r>
      <w:r w:rsidR="00BF0B34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hAnsi="Cambria Math"/>
          </w:rPr>
          <m:t>α = 0,003</m:t>
        </m:r>
      </m:oMath>
      <w:r w:rsidR="00FC00B2">
        <w:rPr>
          <w:rFonts w:ascii="Times New Roman" w:hAnsi="Times New Roman"/>
        </w:rPr>
        <w:t xml:space="preserve"> (pari al 99.7%).</w:t>
      </w:r>
    </w:p>
    <w:p w14:paraId="1ABBED8B" w14:textId="1EB6AD71" w:rsidR="00FC00B2" w:rsidRDefault="00FC00B2" w:rsidP="00BF0B34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L’intervallo di confidenza sarà uguale a</w:t>
      </w:r>
      <w:r w:rsidR="00BF0B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m:oMath>
        <m:r>
          <m:rPr>
            <m:sty m:val="p"/>
          </m:rPr>
          <w:rPr>
            <w:rFonts w:ascii="Cambria Math" w:hAnsi="Cambria Math"/>
          </w:rPr>
          <m:t>4(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-3</m:t>
        </m:r>
        <m:r>
          <m:rPr>
            <m:sty m:val="p"/>
          </m:rPr>
          <w:rPr>
            <w:rFonts w:ascii="Cambria Math" w:hAnsi="Cambria Math"/>
          </w:rPr>
          <m:t>σ),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4(</m:t>
            </m:r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+3σ</m:t>
        </m:r>
      </m:oMath>
      <w:r w:rsidR="001C085D">
        <w:rPr>
          <w:rFonts w:ascii="Times New Roman" w:eastAsiaTheme="minorEastAsia" w:hAnsi="Times New Roman"/>
        </w:rPr>
        <w:t>)</w:t>
      </w:r>
      <w:r>
        <w:rPr>
          <w:rFonts w:ascii="Times New Roman" w:eastAsiaTheme="minorEastAsia" w:hAnsi="Times New Roman"/>
        </w:rPr>
        <w:t>]</w:t>
      </w:r>
    </w:p>
    <w:p w14:paraId="61287CE0" w14:textId="77777777" w:rsidR="00D80C9E" w:rsidRDefault="00D80C9E" w:rsidP="00BF0B34">
      <w:pPr>
        <w:rPr>
          <w:rFonts w:ascii="Times New Roman" w:eastAsiaTheme="minorEastAsia" w:hAnsi="Times New Roman"/>
        </w:rPr>
      </w:pPr>
    </w:p>
    <w:p w14:paraId="2FA10D58" w14:textId="77777777" w:rsidR="00BF0B34" w:rsidRDefault="00FC00B2" w:rsidP="00BF0B34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22FE1EAB" wp14:editId="682F8950">
            <wp:extent cx="3772227" cy="114309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ttura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15A" w14:textId="7A30CE44" w:rsidR="00FC00B2" w:rsidRPr="00FC00B2" w:rsidRDefault="00BF0B34" w:rsidP="00BF0B34">
      <w:pPr>
        <w:pStyle w:val="Didascalia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t xml:space="preserve">Figura </w:t>
      </w:r>
      <w:r w:rsidR="00FC3081">
        <w:t>11</w:t>
      </w:r>
      <w:r>
        <w:t xml:space="preserve"> - Risultati di </w:t>
      </w:r>
      <m:oMath>
        <m:r>
          <w:rPr>
            <w:rFonts w:ascii="Cambria Math" w:hAnsi="Cambria Math"/>
          </w:rPr>
          <m:t>π</m:t>
        </m:r>
      </m:oMath>
      <w:r>
        <w:t xml:space="preserve"> al </w:t>
      </w:r>
      <w:r w:rsidR="00FC3081">
        <w:t>v</w:t>
      </w:r>
      <w:r>
        <w:t>ariare di N</w:t>
      </w:r>
    </w:p>
    <w:p w14:paraId="0D5DFCDF" w14:textId="1694B3B9" w:rsidR="00FC00B2" w:rsidRPr="00DA1978" w:rsidRDefault="00FC00B2" w:rsidP="00DA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863EBC" w14:textId="77777777" w:rsidR="00BF0B34" w:rsidRDefault="00DB2094" w:rsidP="00BF0B34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9F5975" wp14:editId="2137C98D">
            <wp:extent cx="5534025" cy="33432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A4FE" w14:textId="7938EE0D" w:rsidR="00DA1978" w:rsidRDefault="00BF0B34" w:rsidP="00BF0B34">
      <w:pPr>
        <w:pStyle w:val="Didascalia"/>
        <w:jc w:val="center"/>
      </w:pPr>
      <w:r>
        <w:t xml:space="preserve">Figura </w:t>
      </w:r>
      <w:r w:rsidR="00EC4233">
        <w:t>1</w:t>
      </w:r>
      <w:r w:rsidR="00FC3081">
        <w:rPr>
          <w:noProof/>
        </w:rPr>
        <w:t>2</w:t>
      </w:r>
      <w:r>
        <w:t xml:space="preserve"> - Grafico Finale</w:t>
      </w:r>
    </w:p>
    <w:p w14:paraId="0F7CA6E8" w14:textId="77777777" w:rsidR="00D80C9E" w:rsidRPr="00D80C9E" w:rsidRDefault="00D80C9E" w:rsidP="00D80C9E"/>
    <w:p w14:paraId="69267452" w14:textId="0755D2F8" w:rsidR="00BF0B34" w:rsidRDefault="00BF0B34" w:rsidP="00BF0B34">
      <w:pPr>
        <w:pStyle w:val="Titolo1"/>
        <w:numPr>
          <w:ilvl w:val="0"/>
          <w:numId w:val="3"/>
        </w:numPr>
      </w:pPr>
      <w:bookmarkStart w:id="10" w:name="_Toc35725021"/>
      <w:r>
        <w:t>Conclusioni</w:t>
      </w:r>
      <w:bookmarkEnd w:id="10"/>
    </w:p>
    <w:p w14:paraId="5556A3CA" w14:textId="6E0F0D48" w:rsidR="00BF0B34" w:rsidRDefault="00AD23FA" w:rsidP="00BF0B34">
      <w:pPr>
        <w:jc w:val="both"/>
      </w:pPr>
      <w:r>
        <w:t>Q</w:t>
      </w:r>
      <w:r w:rsidR="00BF0B34">
        <w:t xml:space="preserve">uanto asserito da Archimede già nel III secolo a.C., senza la possibilità di utilizzare i potenti calcolatori esistenti </w:t>
      </w:r>
      <w:r>
        <w:t>oggi</w:t>
      </w:r>
      <w:r w:rsidR="00BF0B34">
        <w:t xml:space="preserve">, era corretto, avendo sostenuto che il valore di </w:t>
      </w:r>
      <w:r w:rsidR="00BF0B34" w:rsidRPr="007651D5">
        <w:t>π</w:t>
      </w:r>
      <w:r w:rsidR="00BF0B34">
        <w:t xml:space="preserve"> è compreso tra 3,140 e 3,142.</w:t>
      </w:r>
    </w:p>
    <w:p w14:paraId="77D650F9" w14:textId="77777777" w:rsidR="00BF0B34" w:rsidRPr="00EC4233" w:rsidRDefault="00BF0B34" w:rsidP="00BF0B34">
      <w:pPr>
        <w:jc w:val="both"/>
        <w:rPr>
          <w:u w:val="single"/>
        </w:rPr>
      </w:pPr>
      <w:r>
        <w:t xml:space="preserve">Grazie all’utilizzo di calcolatori specializzati per effettuare tali tipologie di calcoli, è possibile generare anche miliardi di numeri in pochi secondi, permettendo, utilizzando le tecniche sopra descritte, di trovare molte cifre di </w:t>
      </w:r>
      <w:r w:rsidRPr="007651D5">
        <w:t>π</w:t>
      </w:r>
      <w:r>
        <w:t xml:space="preserve"> all’istante.</w:t>
      </w:r>
      <w:bookmarkStart w:id="11" w:name="_GoBack"/>
      <w:bookmarkEnd w:id="11"/>
    </w:p>
    <w:p w14:paraId="046E84DD" w14:textId="77777777" w:rsidR="00BF0B34" w:rsidRPr="00BF0B34" w:rsidRDefault="00BF0B34" w:rsidP="00BF0B34"/>
    <w:p w14:paraId="6B7A42FB" w14:textId="2E5A6AA5" w:rsidR="00FF3D1C" w:rsidRDefault="00BF0B34" w:rsidP="00BF0B34">
      <w:pPr>
        <w:pStyle w:val="Titolo1"/>
        <w:numPr>
          <w:ilvl w:val="0"/>
          <w:numId w:val="3"/>
        </w:numPr>
      </w:pPr>
      <w:bookmarkStart w:id="12" w:name="_Toc35725022"/>
      <w:r>
        <w:t>Bibliografia</w:t>
      </w:r>
      <w:bookmarkEnd w:id="12"/>
    </w:p>
    <w:p w14:paraId="5DBA0B71" w14:textId="4C53345A" w:rsidR="00BF0B34" w:rsidRPr="00BF0B34" w:rsidRDefault="00BF0B34" w:rsidP="00BF0B34">
      <w:pPr>
        <w:rPr>
          <w:u w:val="single"/>
        </w:rPr>
      </w:pPr>
      <w:r>
        <w:t>To Do</w:t>
      </w:r>
    </w:p>
    <w:sectPr w:rsidR="00BF0B34" w:rsidRPr="00BF0B34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700EE" w14:textId="77777777" w:rsidR="00451190" w:rsidRDefault="00451190" w:rsidP="001C0168">
      <w:pPr>
        <w:spacing w:after="0" w:line="240" w:lineRule="auto"/>
      </w:pPr>
      <w:r>
        <w:separator/>
      </w:r>
    </w:p>
  </w:endnote>
  <w:endnote w:type="continuationSeparator" w:id="0">
    <w:p w14:paraId="16353AE6" w14:textId="77777777" w:rsidR="00451190" w:rsidRDefault="00451190" w:rsidP="001C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38E06" w14:textId="77777777" w:rsidR="00B000B9" w:rsidRDefault="00B000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DF2C" w14:textId="77777777" w:rsidR="00451190" w:rsidRDefault="00451190" w:rsidP="001C0168">
      <w:pPr>
        <w:spacing w:after="0" w:line="240" w:lineRule="auto"/>
      </w:pPr>
      <w:r>
        <w:separator/>
      </w:r>
    </w:p>
  </w:footnote>
  <w:footnote w:type="continuationSeparator" w:id="0">
    <w:p w14:paraId="14135607" w14:textId="77777777" w:rsidR="00451190" w:rsidRDefault="00451190" w:rsidP="001C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A6D"/>
    <w:multiLevelType w:val="hybridMultilevel"/>
    <w:tmpl w:val="941C5C5E"/>
    <w:lvl w:ilvl="0" w:tplc="AE0A4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17E5"/>
    <w:multiLevelType w:val="hybridMultilevel"/>
    <w:tmpl w:val="941C5C5E"/>
    <w:lvl w:ilvl="0" w:tplc="AE0A4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69E"/>
    <w:multiLevelType w:val="hybridMultilevel"/>
    <w:tmpl w:val="255CB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D74"/>
    <w:multiLevelType w:val="hybridMultilevel"/>
    <w:tmpl w:val="08D4F596"/>
    <w:lvl w:ilvl="0" w:tplc="1E085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4710"/>
    <w:multiLevelType w:val="hybridMultilevel"/>
    <w:tmpl w:val="941C5C5E"/>
    <w:lvl w:ilvl="0" w:tplc="AE0A4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62FAE"/>
    <w:multiLevelType w:val="hybridMultilevel"/>
    <w:tmpl w:val="7512BC3E"/>
    <w:lvl w:ilvl="0" w:tplc="5EE6F1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3D44"/>
    <w:multiLevelType w:val="hybridMultilevel"/>
    <w:tmpl w:val="941C5C5E"/>
    <w:lvl w:ilvl="0" w:tplc="AE0A4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F101A"/>
    <w:multiLevelType w:val="hybridMultilevel"/>
    <w:tmpl w:val="FC7E1A1C"/>
    <w:lvl w:ilvl="0" w:tplc="F06E3A6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4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808C5"/>
    <w:multiLevelType w:val="hybridMultilevel"/>
    <w:tmpl w:val="99248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64808"/>
    <w:multiLevelType w:val="hybridMultilevel"/>
    <w:tmpl w:val="24B0EB3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23736"/>
    <w:multiLevelType w:val="multilevel"/>
    <w:tmpl w:val="E6D07E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68"/>
    <w:rsid w:val="00025C73"/>
    <w:rsid w:val="001237C5"/>
    <w:rsid w:val="0017098F"/>
    <w:rsid w:val="0017524C"/>
    <w:rsid w:val="001C0168"/>
    <w:rsid w:val="001C085D"/>
    <w:rsid w:val="00276F58"/>
    <w:rsid w:val="002C41A2"/>
    <w:rsid w:val="003130BA"/>
    <w:rsid w:val="0034305A"/>
    <w:rsid w:val="004358AE"/>
    <w:rsid w:val="00451190"/>
    <w:rsid w:val="004C7F20"/>
    <w:rsid w:val="004D7B22"/>
    <w:rsid w:val="004F506D"/>
    <w:rsid w:val="00501C9E"/>
    <w:rsid w:val="00582640"/>
    <w:rsid w:val="005B6DFB"/>
    <w:rsid w:val="005C2C41"/>
    <w:rsid w:val="00613BDF"/>
    <w:rsid w:val="006B0C4C"/>
    <w:rsid w:val="007651D5"/>
    <w:rsid w:val="00780624"/>
    <w:rsid w:val="007A70FB"/>
    <w:rsid w:val="008C5746"/>
    <w:rsid w:val="009017F6"/>
    <w:rsid w:val="0090713F"/>
    <w:rsid w:val="00956B04"/>
    <w:rsid w:val="009B0DE2"/>
    <w:rsid w:val="009D4A61"/>
    <w:rsid w:val="00A15C3E"/>
    <w:rsid w:val="00A30304"/>
    <w:rsid w:val="00A43022"/>
    <w:rsid w:val="00A73208"/>
    <w:rsid w:val="00A9397C"/>
    <w:rsid w:val="00AA5FDA"/>
    <w:rsid w:val="00AD23FA"/>
    <w:rsid w:val="00B000B9"/>
    <w:rsid w:val="00BF0B34"/>
    <w:rsid w:val="00BF7EEE"/>
    <w:rsid w:val="00C76D2B"/>
    <w:rsid w:val="00C87955"/>
    <w:rsid w:val="00CD2796"/>
    <w:rsid w:val="00CE0F7A"/>
    <w:rsid w:val="00D70BD6"/>
    <w:rsid w:val="00D80C9E"/>
    <w:rsid w:val="00DA1978"/>
    <w:rsid w:val="00DB0D2F"/>
    <w:rsid w:val="00DB2094"/>
    <w:rsid w:val="00DB60F2"/>
    <w:rsid w:val="00EC0626"/>
    <w:rsid w:val="00EC4233"/>
    <w:rsid w:val="00EF2C3C"/>
    <w:rsid w:val="00FA11C0"/>
    <w:rsid w:val="00FC00B2"/>
    <w:rsid w:val="00FC3081"/>
    <w:rsid w:val="00FF3D1C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B3BF"/>
  <w15:chartTrackingRefBased/>
  <w15:docId w15:val="{6601E71C-04BD-45AC-9255-345670C3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3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3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016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0168"/>
  </w:style>
  <w:style w:type="paragraph" w:styleId="Pidipagina">
    <w:name w:val="footer"/>
    <w:basedOn w:val="Normale"/>
    <w:link w:val="PidipaginaCarattere"/>
    <w:uiPriority w:val="99"/>
    <w:unhideWhenUsed/>
    <w:rsid w:val="001C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0168"/>
  </w:style>
  <w:style w:type="character" w:styleId="Testosegnaposto">
    <w:name w:val="Placeholder Text"/>
    <w:basedOn w:val="Carpredefinitoparagrafo"/>
    <w:uiPriority w:val="99"/>
    <w:semiHidden/>
    <w:rsid w:val="003130BA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7651D5"/>
    <w:rPr>
      <w:color w:val="0000FF"/>
      <w:u w:val="single"/>
    </w:rPr>
  </w:style>
  <w:style w:type="character" w:customStyle="1" w:styleId="mwe-math-mathml-inline">
    <w:name w:val="mwe-math-mathml-inline"/>
    <w:basedOn w:val="Carpredefinitoparagrafo"/>
    <w:rsid w:val="007651D5"/>
  </w:style>
  <w:style w:type="paragraph" w:styleId="NormaleWeb">
    <w:name w:val="Normal (Web)"/>
    <w:basedOn w:val="Normale"/>
    <w:uiPriority w:val="99"/>
    <w:semiHidden/>
    <w:unhideWhenUsed/>
    <w:rsid w:val="00D7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4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4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41A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320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73208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73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4F50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5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BF0B3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F0B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3472-6047-4248-BAF6-BD44F532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Grisanti</dc:creator>
  <cp:keywords/>
  <dc:description/>
  <cp:lastModifiedBy>MARCO GRISANTI</cp:lastModifiedBy>
  <cp:revision>22</cp:revision>
  <cp:lastPrinted>2020-03-21T22:47:00Z</cp:lastPrinted>
  <dcterms:created xsi:type="dcterms:W3CDTF">2018-02-27T15:31:00Z</dcterms:created>
  <dcterms:modified xsi:type="dcterms:W3CDTF">2020-03-21T22:48:00Z</dcterms:modified>
</cp:coreProperties>
</file>