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BC0" w:rsidRPr="00D47FCC" w:rsidRDefault="00395BC0" w:rsidP="00395BC0">
      <w:pPr>
        <w:widowControl/>
        <w:shd w:val="clear" w:color="auto" w:fill="FFFFFF"/>
        <w:autoSpaceDE/>
        <w:autoSpaceDN/>
        <w:spacing w:after="180" w:line="360" w:lineRule="atLeast"/>
        <w:jc w:val="left"/>
        <w:rPr>
          <w:rFonts w:ascii="Gautami" w:hAnsi="Gautami"/>
          <w:color w:val="2B2B2B"/>
          <w:szCs w:val="24"/>
          <w:lang w:bidi="ar-SA"/>
        </w:rPr>
      </w:pPr>
      <w:r w:rsidRPr="00D47FCC">
        <w:rPr>
          <w:rFonts w:ascii="Gautami" w:hAnsi="Gautami"/>
          <w:color w:val="2B2B2B"/>
          <w:szCs w:val="24"/>
          <w:lang w:bidi="ar-SA"/>
        </w:rPr>
        <w:t>En el </w:t>
      </w:r>
      <w:r w:rsidRPr="00D47FCC">
        <w:rPr>
          <w:rFonts w:ascii="Gautami" w:hAnsi="Gautami"/>
          <w:b/>
          <w:bCs/>
          <w:color w:val="2B2B2B"/>
          <w:szCs w:val="24"/>
          <w:lang w:bidi="ar-SA"/>
        </w:rPr>
        <w:t xml:space="preserve">año 1999, cuando sólo el 4% de la población estaba en línea, Kevin </w:t>
      </w:r>
      <w:proofErr w:type="spellStart"/>
      <w:r w:rsidRPr="00D47FCC">
        <w:rPr>
          <w:rFonts w:ascii="Gautami" w:hAnsi="Gautami"/>
          <w:b/>
          <w:bCs/>
          <w:color w:val="2B2B2B"/>
          <w:szCs w:val="24"/>
          <w:lang w:bidi="ar-SA"/>
        </w:rPr>
        <w:t>Ashton</w:t>
      </w:r>
      <w:proofErr w:type="spellEnd"/>
      <w:r w:rsidRPr="00D47FCC">
        <w:rPr>
          <w:rFonts w:ascii="Gautami" w:hAnsi="Gautami"/>
          <w:b/>
          <w:bCs/>
          <w:color w:val="2B2B2B"/>
          <w:szCs w:val="24"/>
          <w:lang w:bidi="ar-SA"/>
        </w:rPr>
        <w:t xml:space="preserve"> acuñó el término Internet of </w:t>
      </w:r>
      <w:proofErr w:type="spellStart"/>
      <w:r w:rsidRPr="00D47FCC">
        <w:rPr>
          <w:rFonts w:ascii="Gautami" w:hAnsi="Gautami"/>
          <w:b/>
          <w:bCs/>
          <w:color w:val="2B2B2B"/>
          <w:szCs w:val="24"/>
          <w:lang w:bidi="ar-SA"/>
        </w:rPr>
        <w:t>things</w:t>
      </w:r>
      <w:proofErr w:type="spellEnd"/>
      <w:r w:rsidRPr="00D47FCC">
        <w:rPr>
          <w:rFonts w:ascii="Gautami" w:hAnsi="Gautami"/>
          <w:color w:val="2B2B2B"/>
          <w:szCs w:val="24"/>
          <w:lang w:bidi="ar-SA"/>
        </w:rPr>
        <w:t xml:space="preserve">, 19 años después el 49% de la población mundial está conectada. En la sociedad actual, la rápida evolución del mercado </w:t>
      </w:r>
      <w:proofErr w:type="gramStart"/>
      <w:r w:rsidRPr="00D47FCC">
        <w:rPr>
          <w:rFonts w:ascii="Gautami" w:hAnsi="Gautami"/>
          <w:color w:val="2B2B2B"/>
          <w:szCs w:val="24"/>
          <w:lang w:bidi="ar-SA"/>
        </w:rPr>
        <w:t xml:space="preserve">del  </w:t>
      </w:r>
      <w:r>
        <w:rPr>
          <w:rFonts w:ascii="Gautami" w:hAnsi="Gautami"/>
          <w:color w:val="2B2B2B"/>
          <w:szCs w:val="24"/>
          <w:lang w:bidi="ar-SA"/>
        </w:rPr>
        <w:t>IoT</w:t>
      </w:r>
      <w:proofErr w:type="gramEnd"/>
      <w:r w:rsidRPr="00D47FCC">
        <w:rPr>
          <w:rFonts w:ascii="Gautami" w:hAnsi="Gautami"/>
          <w:color w:val="2B2B2B"/>
          <w:szCs w:val="24"/>
          <w:lang w:bidi="ar-SA"/>
        </w:rPr>
        <w:t xml:space="preserve"> conlleva unas mejoras tecnológicas a las que todas las empresas y organizaciones quieren sumarse, no sólo para ampliar su acceso a la información sino para garantizar una mayor experiencia al cliente y por lo tanto un crecimiento dentro de la empresa. Según estimaciones de IDC, el mercado español del </w:t>
      </w:r>
      <w:r>
        <w:rPr>
          <w:rFonts w:ascii="Gautami" w:hAnsi="Gautami"/>
          <w:color w:val="2B2B2B"/>
          <w:szCs w:val="24"/>
          <w:lang w:bidi="ar-SA"/>
        </w:rPr>
        <w:t>IoT</w:t>
      </w:r>
      <w:r w:rsidRPr="00D47FCC">
        <w:rPr>
          <w:rFonts w:ascii="Gautami" w:hAnsi="Gautami"/>
          <w:color w:val="2B2B2B"/>
          <w:szCs w:val="24"/>
          <w:lang w:bidi="ar-SA"/>
        </w:rPr>
        <w:t xml:space="preserve"> representa el 9% del mercado en Europa, con un crecimiento que se duplicará en los próximos años.</w:t>
      </w:r>
    </w:p>
    <w:p w:rsidR="00395BC0" w:rsidRPr="00D47FCC" w:rsidRDefault="00395BC0" w:rsidP="00395BC0">
      <w:pPr>
        <w:widowControl/>
        <w:shd w:val="clear" w:color="auto" w:fill="FFFFFF"/>
        <w:autoSpaceDE/>
        <w:autoSpaceDN/>
        <w:spacing w:after="180" w:line="360" w:lineRule="atLeast"/>
        <w:jc w:val="left"/>
        <w:rPr>
          <w:rFonts w:ascii="Gautami" w:hAnsi="Gautami"/>
          <w:color w:val="2B2B2B"/>
          <w:szCs w:val="24"/>
          <w:lang w:bidi="ar-SA"/>
        </w:rPr>
      </w:pPr>
      <w:bookmarkStart w:id="0" w:name="_GoBack"/>
      <w:r w:rsidRPr="00D47FCC">
        <w:rPr>
          <w:rFonts w:ascii="Gautami" w:hAnsi="Gautami"/>
          <w:color w:val="2B2B2B"/>
          <w:szCs w:val="24"/>
          <w:lang w:bidi="ar-SA"/>
        </w:rPr>
        <w:t xml:space="preserve">En un mundo </w:t>
      </w:r>
      <w:proofErr w:type="spellStart"/>
      <w:r w:rsidRPr="00D47FCC">
        <w:rPr>
          <w:rFonts w:ascii="Gautami" w:hAnsi="Gautami"/>
          <w:color w:val="2B2B2B"/>
          <w:szCs w:val="24"/>
          <w:lang w:bidi="ar-SA"/>
        </w:rPr>
        <w:t>hiperconectado</w:t>
      </w:r>
      <w:proofErr w:type="spellEnd"/>
      <w:r w:rsidRPr="00D47FCC">
        <w:rPr>
          <w:rFonts w:ascii="Gautami" w:hAnsi="Gautami"/>
          <w:color w:val="2B2B2B"/>
          <w:szCs w:val="24"/>
          <w:lang w:bidi="ar-SA"/>
        </w:rPr>
        <w:t xml:space="preserve">, son innumerables las ventajas que ofrece esta </w:t>
      </w:r>
      <w:proofErr w:type="gramStart"/>
      <w:r w:rsidRPr="00D47FCC">
        <w:rPr>
          <w:rFonts w:ascii="Gautami" w:hAnsi="Gautami"/>
          <w:color w:val="2B2B2B"/>
          <w:szCs w:val="24"/>
          <w:lang w:bidi="ar-SA"/>
        </w:rPr>
        <w:t>tecnología</w:t>
      </w:r>
      <w:proofErr w:type="gramEnd"/>
      <w:r w:rsidRPr="00D47FCC">
        <w:rPr>
          <w:rFonts w:ascii="Gautami" w:hAnsi="Gautami"/>
          <w:color w:val="2B2B2B"/>
          <w:szCs w:val="24"/>
          <w:lang w:bidi="ar-SA"/>
        </w:rPr>
        <w:t xml:space="preserve"> pero, la montaña de datos que está generando el </w:t>
      </w:r>
      <w:r>
        <w:rPr>
          <w:rFonts w:ascii="Gautami" w:hAnsi="Gautami"/>
          <w:color w:val="2B2B2B"/>
          <w:szCs w:val="24"/>
          <w:lang w:bidi="ar-SA"/>
        </w:rPr>
        <w:t>IoT</w:t>
      </w:r>
      <w:r w:rsidRPr="00D47FCC">
        <w:rPr>
          <w:rFonts w:ascii="Gautami" w:hAnsi="Gautami"/>
          <w:color w:val="2B2B2B"/>
          <w:szCs w:val="24"/>
          <w:lang w:bidi="ar-SA"/>
        </w:rPr>
        <w:t xml:space="preserve"> necesita ser almacenada y darle un sentido, y es aquí donde cobra importancia la necesidad de implementar unos estándares en común. Esta </w:t>
      </w:r>
      <w:proofErr w:type="spellStart"/>
      <w:r w:rsidRPr="00D47FCC">
        <w:rPr>
          <w:rFonts w:ascii="Gautami" w:hAnsi="Gautami"/>
          <w:color w:val="2B2B2B"/>
          <w:szCs w:val="24"/>
          <w:lang w:bidi="ar-SA"/>
        </w:rPr>
        <w:t>hiperconectividad</w:t>
      </w:r>
      <w:proofErr w:type="spellEnd"/>
      <w:r w:rsidRPr="00D47FCC">
        <w:rPr>
          <w:rFonts w:ascii="Gautami" w:hAnsi="Gautami"/>
          <w:color w:val="2B2B2B"/>
          <w:szCs w:val="24"/>
          <w:lang w:bidi="ar-SA"/>
        </w:rPr>
        <w:t xml:space="preserve"> deja abierto una serie de vulnerabilidades de seguridad y vigilancia, cada cosa conectada es susceptible al ataque o mal uso. En el desarrollo de esta tecnología, fabricantes y proveedores se han lanzado al mercado tomando como referencia su propia oferta y buscando la diferenciación y no la compatibilidad. Además, se ha partido de una perspectiva muy orientada al </w:t>
      </w:r>
      <w:r w:rsidRPr="00D47FCC">
        <w:rPr>
          <w:rFonts w:ascii="Gautami" w:hAnsi="Gautami"/>
          <w:i/>
          <w:iCs/>
          <w:color w:val="2B2B2B"/>
          <w:szCs w:val="24"/>
          <w:lang w:bidi="ar-SA"/>
        </w:rPr>
        <w:t>hardware</w:t>
      </w:r>
      <w:r w:rsidRPr="00D47FCC">
        <w:rPr>
          <w:rFonts w:ascii="Gautami" w:hAnsi="Gautami"/>
          <w:color w:val="2B2B2B"/>
          <w:szCs w:val="24"/>
          <w:lang w:bidi="ar-SA"/>
        </w:rPr>
        <w:t>, y no al servicio que se pueda construir sobre dicho </w:t>
      </w:r>
      <w:r w:rsidRPr="00D47FCC">
        <w:rPr>
          <w:rFonts w:ascii="Gautami" w:hAnsi="Gautami"/>
          <w:i/>
          <w:iCs/>
          <w:color w:val="2B2B2B"/>
          <w:szCs w:val="24"/>
          <w:lang w:bidi="ar-SA"/>
        </w:rPr>
        <w:t>hardware</w:t>
      </w:r>
      <w:r w:rsidRPr="00D47FCC">
        <w:rPr>
          <w:rFonts w:ascii="Gautami" w:hAnsi="Gautami"/>
          <w:color w:val="2B2B2B"/>
          <w:szCs w:val="24"/>
          <w:lang w:bidi="ar-SA"/>
        </w:rPr>
        <w:t>. La reflexión sobre la necesidad de interoperabilidad ha tenido lugar más tarde, cuando ya se ha producido la explosión de productos y estándares en el mercado. </w:t>
      </w:r>
    </w:p>
    <w:p w:rsidR="00395BC0" w:rsidRPr="00D47FCC" w:rsidRDefault="00395BC0" w:rsidP="00395BC0">
      <w:pPr>
        <w:widowControl/>
        <w:shd w:val="clear" w:color="auto" w:fill="FFFFFF"/>
        <w:autoSpaceDE/>
        <w:autoSpaceDN/>
        <w:spacing w:after="180" w:line="360" w:lineRule="atLeast"/>
        <w:jc w:val="left"/>
        <w:rPr>
          <w:rFonts w:ascii="Gautami" w:hAnsi="Gautami"/>
          <w:color w:val="2B2B2B"/>
          <w:szCs w:val="24"/>
          <w:lang w:bidi="ar-SA"/>
        </w:rPr>
      </w:pPr>
      <w:r w:rsidRPr="00D47FCC">
        <w:rPr>
          <w:rFonts w:ascii="Gautami" w:hAnsi="Gautami"/>
          <w:b/>
          <w:bCs/>
          <w:color w:val="2B2B2B"/>
          <w:szCs w:val="24"/>
          <w:lang w:bidi="ar-SA"/>
        </w:rPr>
        <w:t>Internet de las cosas abre la puerta a una transformación </w:t>
      </w:r>
      <w:r w:rsidRPr="00D47FCC">
        <w:rPr>
          <w:rFonts w:ascii="Gautami" w:hAnsi="Gautami"/>
          <w:color w:val="2B2B2B"/>
          <w:szCs w:val="24"/>
          <w:lang w:bidi="ar-SA"/>
        </w:rPr>
        <w:t>no solo de los productos, que pueden personalizarse en tiempo real, sino también </w:t>
      </w:r>
      <w:r w:rsidRPr="00D47FCC">
        <w:rPr>
          <w:rFonts w:ascii="Gautami" w:hAnsi="Gautami"/>
          <w:b/>
          <w:bCs/>
          <w:color w:val="2B2B2B"/>
          <w:szCs w:val="24"/>
          <w:lang w:bidi="ar-SA"/>
        </w:rPr>
        <w:t>de los modelos de negocio</w:t>
      </w:r>
      <w:r w:rsidRPr="00D47FCC">
        <w:rPr>
          <w:rFonts w:ascii="Gautami" w:hAnsi="Gautami"/>
          <w:color w:val="2B2B2B"/>
          <w:szCs w:val="24"/>
          <w:lang w:bidi="ar-SA"/>
        </w:rPr>
        <w:t>, con la creación de servicios y pago por uso donde nunca había existido antes, junto con la entrada del dato en el mercado de producto 'material' a completo.</w:t>
      </w:r>
    </w:p>
    <w:p w:rsidR="00395BC0" w:rsidRPr="00D47FCC" w:rsidRDefault="00395BC0" w:rsidP="00395BC0">
      <w:pPr>
        <w:widowControl/>
        <w:shd w:val="clear" w:color="auto" w:fill="FFFFFF"/>
        <w:autoSpaceDE/>
        <w:autoSpaceDN/>
        <w:spacing w:line="360" w:lineRule="atLeast"/>
        <w:jc w:val="left"/>
        <w:rPr>
          <w:rFonts w:ascii="Gautami" w:hAnsi="Gautami"/>
          <w:color w:val="2B2B2B"/>
          <w:szCs w:val="24"/>
          <w:lang w:bidi="ar-SA"/>
        </w:rPr>
      </w:pPr>
      <w:r w:rsidRPr="00D47FCC">
        <w:rPr>
          <w:rFonts w:ascii="Gautami" w:hAnsi="Gautami"/>
          <w:color w:val="2B2B2B"/>
          <w:szCs w:val="24"/>
          <w:lang w:bidi="ar-SA"/>
        </w:rPr>
        <w:t xml:space="preserve">¿Son la falta de estándares dominantes una barrera a la hora de adoptar e implantar esta tecnología y lograr que se extienda en el mercado? “Una solución </w:t>
      </w:r>
      <w:r>
        <w:rPr>
          <w:rFonts w:ascii="Gautami" w:hAnsi="Gautami"/>
          <w:color w:val="2B2B2B"/>
          <w:szCs w:val="24"/>
          <w:lang w:bidi="ar-SA"/>
        </w:rPr>
        <w:t>IoT</w:t>
      </w:r>
      <w:r w:rsidRPr="00D47FCC">
        <w:rPr>
          <w:rFonts w:ascii="Gautami" w:hAnsi="Gautami"/>
          <w:color w:val="2B2B2B"/>
          <w:szCs w:val="24"/>
          <w:lang w:bidi="ar-SA"/>
        </w:rPr>
        <w:t xml:space="preserve">, permite que distintos tipos de dispositivos y cualquier otra fuente, por </w:t>
      </w:r>
      <w:proofErr w:type="gramStart"/>
      <w:r w:rsidRPr="00D47FCC">
        <w:rPr>
          <w:rFonts w:ascii="Gautami" w:hAnsi="Gautami"/>
          <w:color w:val="2B2B2B"/>
          <w:szCs w:val="24"/>
          <w:lang w:bidi="ar-SA"/>
        </w:rPr>
        <w:t>ejemplo</w:t>
      </w:r>
      <w:proofErr w:type="gramEnd"/>
      <w:r w:rsidRPr="00D47FCC">
        <w:rPr>
          <w:rFonts w:ascii="Gautami" w:hAnsi="Gautami"/>
          <w:color w:val="2B2B2B"/>
          <w:szCs w:val="24"/>
          <w:lang w:bidi="ar-SA"/>
        </w:rPr>
        <w:t xml:space="preserve"> las redes sociales, estén conectados entre sí y que, además, lo hagan a través de internet. Esto significa que su orientación necesita ser abierta creando diferentes servicios que no necesariamente están predefinidos”, aseveró Fernando Maldonado, analista principal de Delfos </w:t>
      </w:r>
      <w:proofErr w:type="spellStart"/>
      <w:r w:rsidRPr="00D47FCC">
        <w:rPr>
          <w:rFonts w:ascii="Gautami" w:hAnsi="Gautami"/>
          <w:color w:val="2B2B2B"/>
          <w:szCs w:val="24"/>
          <w:lang w:bidi="ar-SA"/>
        </w:rPr>
        <w:t>Research</w:t>
      </w:r>
      <w:proofErr w:type="spellEnd"/>
      <w:r w:rsidRPr="00D47FCC">
        <w:rPr>
          <w:rFonts w:ascii="Gautami" w:hAnsi="Gautami"/>
          <w:color w:val="2B2B2B"/>
          <w:szCs w:val="24"/>
          <w:lang w:bidi="ar-SA"/>
        </w:rPr>
        <w:t xml:space="preserve">. “Sin embargo, dado que no existe ningún proveedor que abarque toda la cadena de valor de </w:t>
      </w:r>
      <w:r>
        <w:rPr>
          <w:rFonts w:ascii="Gautami" w:hAnsi="Gautami"/>
          <w:color w:val="2B2B2B"/>
          <w:szCs w:val="24"/>
          <w:lang w:bidi="ar-SA"/>
        </w:rPr>
        <w:t>IoT</w:t>
      </w:r>
      <w:r w:rsidRPr="00D47FCC">
        <w:rPr>
          <w:rFonts w:ascii="Gautami" w:hAnsi="Gautami"/>
          <w:color w:val="2B2B2B"/>
          <w:szCs w:val="24"/>
          <w:lang w:bidi="ar-SA"/>
        </w:rPr>
        <w:t>, para que esto sea posible es necesario que existan estándares en el mercado que permitan que distintos dispositivos se 'hablen', y para poder crear una capa de servicios, de forma transparente para el cliente”.</w:t>
      </w:r>
    </w:p>
    <w:bookmarkEnd w:id="0"/>
    <w:p w:rsidR="00F44350" w:rsidRDefault="00F44350"/>
    <w:sectPr w:rsidR="00F44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ADB"/>
    <w:rsid w:val="00395BC0"/>
    <w:rsid w:val="006C1C09"/>
    <w:rsid w:val="00911ADB"/>
    <w:rsid w:val="00C8008B"/>
    <w:rsid w:val="00F4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DDCA2-0F55-4709-9BF1-C9008B77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95BC0"/>
    <w:pPr>
      <w:widowControl w:val="0"/>
      <w:autoSpaceDE w:val="0"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4"/>
      <w:lang w:eastAsia="es-CL" w:bidi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2018-08-23T19:45:00Z</dcterms:created>
  <dcterms:modified xsi:type="dcterms:W3CDTF">2018-08-23T20:36:00Z</dcterms:modified>
</cp:coreProperties>
</file>