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015D8" w14:textId="77777777" w:rsidR="004C5FEC" w:rsidRDefault="00101030" w:rsidP="00101030">
      <w:pPr>
        <w:jc w:val="both"/>
      </w:pPr>
      <w:r w:rsidRPr="00101030">
        <w:rPr>
          <w:b/>
          <w:bCs/>
        </w:rPr>
        <w:t>Reviewer 1:</w:t>
      </w:r>
      <w:r w:rsidRPr="00101030">
        <w:t xml:space="preserve"> </w:t>
      </w:r>
    </w:p>
    <w:p w14:paraId="5B0ABF95" w14:textId="53CFE712" w:rsidR="004C5FEC" w:rsidRDefault="00101030" w:rsidP="00101030">
      <w:pPr>
        <w:jc w:val="both"/>
      </w:pPr>
      <w:r w:rsidRPr="00101030">
        <w:t>I am writing regarding the article "Educated to Be Mothers? School Reform and Demographic Backlash,</w:t>
      </w:r>
      <w:proofErr w:type="gramStart"/>
      <w:r w:rsidRPr="00101030">
        <w:t>" which</w:t>
      </w:r>
      <w:proofErr w:type="gramEnd"/>
      <w:r w:rsidRPr="00101030">
        <w:t xml:space="preserve"> was sent to me for evaluation and possible publication in the Journal of Labor Economics. </w:t>
      </w:r>
    </w:p>
    <w:p w14:paraId="0DE76886" w14:textId="77777777" w:rsidR="004C5FEC" w:rsidRDefault="00101030" w:rsidP="00101030">
      <w:pPr>
        <w:jc w:val="both"/>
      </w:pPr>
      <w:r w:rsidRPr="00101030">
        <w:t>This is an interesting and well-executed paper examining the 1945 primary education reform under Franco's regime in Spain. The study investigates how a curriculum designed to promote domesticity among women affected their eventual fertility and labor market outcomes. By analyzing different cohorts with varying exposure to the reform, the authors find a paradoxical result: the reform appears to have reduced fertility rather than increasing it.</w:t>
      </w:r>
      <w:r w:rsidRPr="00101030">
        <w:br/>
      </w:r>
      <w:r w:rsidRPr="00101030">
        <w:br/>
        <w:t xml:space="preserve">My main </w:t>
      </w:r>
      <w:proofErr w:type="gramStart"/>
      <w:r w:rsidRPr="00101030">
        <w:t>reservation</w:t>
      </w:r>
      <w:proofErr w:type="gramEnd"/>
      <w:r w:rsidRPr="00101030">
        <w:t xml:space="preserve"> involves </w:t>
      </w:r>
      <w:proofErr w:type="gramStart"/>
      <w:r w:rsidRPr="00101030">
        <w:t>the empirical</w:t>
      </w:r>
      <w:proofErr w:type="gramEnd"/>
      <w:r w:rsidRPr="00101030">
        <w:t xml:space="preserve"> identification. While the robustness checks are thoughtful, I am not convinced that the current cohort comparisons successfully isolate the reform's effects from significant confounding events.</w:t>
      </w:r>
    </w:p>
    <w:p w14:paraId="216853B0" w14:textId="07C5D845" w:rsidR="00C444E7" w:rsidRDefault="00101030" w:rsidP="00101030">
      <w:pPr>
        <w:jc w:val="both"/>
      </w:pPr>
      <w:r w:rsidRPr="00101030">
        <w:t xml:space="preserve">*    The cohorts studied were also impacted by the Spanish Civil War (1936-1939) and subsequent repression-driven </w:t>
      </w:r>
      <w:r w:rsidRPr="00C444E7">
        <w:rPr>
          <w:highlight w:val="yellow"/>
        </w:rPr>
        <w:t>displacements</w:t>
      </w:r>
      <w:r w:rsidRPr="00101030">
        <w:t>. These traumatic experiences likely influenced fertility and labor decisions independently of the school reform.</w:t>
      </w:r>
    </w:p>
    <w:p w14:paraId="7FF3B8A7" w14:textId="74C369FC" w:rsidR="004C5FEC" w:rsidRDefault="00101030" w:rsidP="00101030">
      <w:pPr>
        <w:jc w:val="both"/>
      </w:pPr>
      <w:r w:rsidRPr="00101030">
        <w:t xml:space="preserve">*    Significant rural-to-urban </w:t>
      </w:r>
      <w:r w:rsidRPr="00C444E7">
        <w:rPr>
          <w:highlight w:val="yellow"/>
        </w:rPr>
        <w:t>migration</w:t>
      </w:r>
      <w:r w:rsidRPr="00101030">
        <w:t xml:space="preserve"> occurred during this period, further complicating the data.</w:t>
      </w:r>
      <w:r w:rsidRPr="00101030">
        <w:br/>
        <w:t xml:space="preserve">To better isolate the reform's impact, could the </w:t>
      </w:r>
      <w:r w:rsidRPr="00144C02">
        <w:rPr>
          <w:highlight w:val="yellow"/>
        </w:rPr>
        <w:t>authors include a comparison with post-1950 cohorts?</w:t>
      </w:r>
      <w:r w:rsidRPr="00101030">
        <w:t xml:space="preserve"> These individuals would have missed the specific 1945 reform window and were not directly born into the immediate chaos of the Civil War.</w:t>
      </w:r>
    </w:p>
    <w:p w14:paraId="2E0072BF" w14:textId="201ECB13" w:rsidR="00FA5679" w:rsidRDefault="00101030" w:rsidP="00101030">
      <w:pPr>
        <w:jc w:val="both"/>
      </w:pPr>
      <w:r w:rsidRPr="00101030">
        <w:t>Some other concerns with the current version of the paper are as follows:</w:t>
      </w:r>
    </w:p>
    <w:p w14:paraId="44BA42D1" w14:textId="13AC27A3" w:rsidR="00A518AA" w:rsidRDefault="00101030" w:rsidP="00101030">
      <w:pPr>
        <w:jc w:val="both"/>
      </w:pPr>
      <w:r w:rsidRPr="00101030">
        <w:t>1.    In specification (1), the authors control for the place of residence at the time of the survey. However, given the high migration rates and varying regional social norms, I believe it is important to control for the place of birth or where the subjects grew up.</w:t>
      </w:r>
    </w:p>
    <w:p w14:paraId="783B43ED" w14:textId="3E8A0DA5" w:rsidR="004C5FEC" w:rsidRDefault="00101030" w:rsidP="00101030">
      <w:pPr>
        <w:jc w:val="both"/>
      </w:pPr>
      <w:r w:rsidRPr="00101030">
        <w:t xml:space="preserve">2.    I think the use of </w:t>
      </w:r>
      <w:r w:rsidRPr="009B53DD">
        <w:rPr>
          <w:highlight w:val="cyan"/>
        </w:rPr>
        <w:t>Portugal</w:t>
      </w:r>
      <w:r w:rsidRPr="00101030">
        <w:t xml:space="preserve"> as a counterfactual requires more justification. While geographically close, Portugal's political and social trajectory during those specific years differed enough that it may not serve as a valid "clean" comparison.</w:t>
      </w:r>
    </w:p>
    <w:p w14:paraId="6BC21F79" w14:textId="513A43B7" w:rsidR="004C5FEC" w:rsidRDefault="00101030" w:rsidP="00101030">
      <w:pPr>
        <w:jc w:val="both"/>
      </w:pPr>
      <w:r w:rsidRPr="00101030">
        <w:t xml:space="preserve">3.    The </w:t>
      </w:r>
      <w:r w:rsidRPr="009B53DD">
        <w:rPr>
          <w:highlight w:val="green"/>
        </w:rPr>
        <w:t>timing</w:t>
      </w:r>
      <w:r w:rsidRPr="00101030">
        <w:t xml:space="preserve"> of the "personal beliefs" data used in the estimates in Figure 3 </w:t>
      </w:r>
      <w:r w:rsidRPr="009B53DD">
        <w:rPr>
          <w:highlight w:val="green"/>
        </w:rPr>
        <w:t>is unclear</w:t>
      </w:r>
      <w:r w:rsidRPr="00101030">
        <w:t>. Were respondents the same age when surveyed? The authors should clarify if subsequent historical events (post-reform) could have shaped these views differently across cohorts, rather than the reform itself.</w:t>
      </w:r>
    </w:p>
    <w:p w14:paraId="3BBC78EE" w14:textId="113E5188" w:rsidR="004C5FEC" w:rsidRDefault="00101030" w:rsidP="00101030">
      <w:pPr>
        <w:jc w:val="both"/>
      </w:pPr>
      <w:r w:rsidRPr="00101030">
        <w:lastRenderedPageBreak/>
        <w:br/>
        <w:t xml:space="preserve">4.    The regional </w:t>
      </w:r>
      <w:proofErr w:type="spellStart"/>
      <w:r w:rsidRPr="00101030">
        <w:t>DiD</w:t>
      </w:r>
      <w:proofErr w:type="spellEnd"/>
      <w:r w:rsidRPr="00101030">
        <w:t xml:space="preserve"> analysis relies on the </w:t>
      </w:r>
      <w:r w:rsidRPr="009B53DD">
        <w:rPr>
          <w:highlight w:val="magenta"/>
        </w:rPr>
        <w:t xml:space="preserve">parallel </w:t>
      </w:r>
      <w:proofErr w:type="gramStart"/>
      <w:r w:rsidRPr="009B53DD">
        <w:rPr>
          <w:highlight w:val="magenta"/>
        </w:rPr>
        <w:t>trends</w:t>
      </w:r>
      <w:proofErr w:type="gramEnd"/>
      <w:r w:rsidRPr="009B53DD">
        <w:rPr>
          <w:highlight w:val="magenta"/>
        </w:rPr>
        <w:t xml:space="preserve"> assumption</w:t>
      </w:r>
      <w:r w:rsidRPr="00101030">
        <w:t xml:space="preserve"> that regions with different exposure levels would have evolved similarly without the reform. While the event study estimates are helpful, the authors should explicitly state and defend this assumption in the text.</w:t>
      </w:r>
    </w:p>
    <w:p w14:paraId="6832D229" w14:textId="5BF96580" w:rsidR="004C5FEC" w:rsidRDefault="00101030" w:rsidP="00101030">
      <w:pPr>
        <w:jc w:val="both"/>
      </w:pPr>
      <w:r w:rsidRPr="00101030">
        <w:t xml:space="preserve">5.    The paper needs more discussion on </w:t>
      </w:r>
      <w:r w:rsidRPr="009B53DD">
        <w:rPr>
          <w:highlight w:val="darkCyan"/>
        </w:rPr>
        <w:t>external validity</w:t>
      </w:r>
      <w:r w:rsidRPr="00101030">
        <w:t>. Currently, the conclusions feel overextended when extrapolating these specific mid-century Spanish findings to contemporary global movements.</w:t>
      </w:r>
    </w:p>
    <w:p w14:paraId="4FF98340" w14:textId="09B7D4C4" w:rsidR="004C5FEC" w:rsidRDefault="00101030" w:rsidP="00101030">
      <w:pPr>
        <w:jc w:val="both"/>
      </w:pPr>
      <w:r w:rsidRPr="00101030">
        <w:br/>
      </w:r>
      <w:r w:rsidRPr="004C5FEC">
        <w:rPr>
          <w:b/>
          <w:bCs/>
        </w:rPr>
        <w:t>Reviewer 2</w:t>
      </w:r>
    </w:p>
    <w:p w14:paraId="462E6C45" w14:textId="77777777" w:rsidR="004C5FEC" w:rsidRDefault="00101030" w:rsidP="00101030">
      <w:pPr>
        <w:jc w:val="both"/>
      </w:pPr>
      <w:r w:rsidRPr="00101030">
        <w:t>Journal of Labor Economics</w:t>
      </w:r>
    </w:p>
    <w:p w14:paraId="273A8F00" w14:textId="77777777" w:rsidR="004C5FEC" w:rsidRDefault="00101030" w:rsidP="00101030">
      <w:pPr>
        <w:jc w:val="both"/>
      </w:pPr>
      <w:r w:rsidRPr="00101030">
        <w:t>Ref.: Ms. No. 26008</w:t>
      </w:r>
    </w:p>
    <w:p w14:paraId="2F6E7659" w14:textId="77777777" w:rsidR="004C5FEC" w:rsidRDefault="00101030" w:rsidP="00101030">
      <w:pPr>
        <w:jc w:val="both"/>
      </w:pPr>
      <w:r w:rsidRPr="00101030">
        <w:t>Educated to Be Mothers? School Reform and Demographic Backlash</w:t>
      </w:r>
    </w:p>
    <w:p w14:paraId="577CD6D2" w14:textId="271D32DF" w:rsidR="00A30DF4" w:rsidRDefault="00101030" w:rsidP="00101030">
      <w:pPr>
        <w:jc w:val="both"/>
      </w:pPr>
      <w:r w:rsidRPr="00101030">
        <w:t xml:space="preserve">The authors study the long-run fertility effects of the 1945 Francoist reform of primary education in Spain, which mandated a gender-specific curriculum for girls emphasizing domestic roles, motherhood, and Catholic values. They present two complementary identification strategies. First, they present individual-level analysis comparing fertility outcomes across three birth cohorts using an intention-to-treat design that exploits variation in exposure driven by the interaction between year of birth, the timing of the reform, and the official age of entry and exit from primary school. Women born 1939-1950 who completed their full primary education under the reformed curriculum had significantly fewer children than women born 1920-1929 who completed schooling before the reform, with the effect concentrated at the intensive margin (family size rather than the probability of becoming a mother). Second, they conduct a </w:t>
      </w:r>
      <w:proofErr w:type="spellStart"/>
      <w:r w:rsidRPr="00101030">
        <w:t>DiD</w:t>
      </w:r>
      <w:proofErr w:type="spellEnd"/>
      <w:r w:rsidRPr="00101030">
        <w:t xml:space="preserve"> analysis at the regional level (defined as provincial</w:t>
      </w:r>
      <w:r w:rsidRPr="00101030">
        <w:br/>
        <w:t xml:space="preserve">capitals with the rest of the provinces), where they compare fertility trends in localities with high exposure to the reform (high- vs low-share of girls aged 0-14 in 1940) before and after the 1945 primary school reform. They document that areas with a higher pre-reform share of girls aged 0-14 in 1940 experienced larger fertility declines after 1945, with the effect growing in line with the mechanical pace of cohort replacement within the fertile population. The mechanism evidence shows no differential labor market participation or educational attainment across cohorts, but consistent attitude differences: more exposed women are more egalitarian on domestic roles, place less importance on motherhood as identity, and are less aligned with Catholic doctrine on fertility. </w:t>
      </w:r>
    </w:p>
    <w:p w14:paraId="4C64134F" w14:textId="12905CB7" w:rsidR="00E8229A" w:rsidRDefault="00101030" w:rsidP="00101030">
      <w:pPr>
        <w:jc w:val="both"/>
      </w:pPr>
      <w:r w:rsidRPr="00101030">
        <w:t xml:space="preserve">If these findings are credibly identified, the contribution is substantial. The paper would provide rare causal evidence that state-mandated gender-norm curricula designed to boost </w:t>
      </w:r>
      <w:r w:rsidRPr="00101030">
        <w:lastRenderedPageBreak/>
        <w:t>fertility can instead generate a cultural backlash that reduces it, with implications for contemporary policy debates in which several governments are explicitly linking demographic recovery to the reinforcement of traditional gender roles. The paper is clearly written, historically grounded, and methodologically ambitious. However, the complete absence of any discussion of Law 56/1961, the 1973 oil crisis, and the Spanish migration flows is a fundamental gap in the paper. Below, I explain why each of these items represents identification threats to the internal validity of the analysis presented in the paper.</w:t>
      </w:r>
      <w:r w:rsidRPr="00101030">
        <w:br/>
      </w:r>
      <w:r w:rsidRPr="00101030">
        <w:br/>
      </w:r>
      <w:r w:rsidRPr="00E8229A">
        <w:rPr>
          <w:b/>
          <w:bCs/>
        </w:rPr>
        <w:t>DETAILED COMMENTS</w:t>
      </w:r>
    </w:p>
    <w:p w14:paraId="60D38047" w14:textId="77777777" w:rsidR="00E8229A" w:rsidRDefault="00101030" w:rsidP="00101030">
      <w:pPr>
        <w:jc w:val="both"/>
      </w:pPr>
      <w:r w:rsidRPr="00101030">
        <w:br/>
      </w:r>
      <w:r w:rsidRPr="00E8229A">
        <w:rPr>
          <w:b/>
          <w:bCs/>
        </w:rPr>
        <w:t>First concern: Ley 56/1961 as a confound for the cohort-based strategy</w:t>
      </w:r>
    </w:p>
    <w:p w14:paraId="49AD520A" w14:textId="79906F5F" w:rsidR="00E8229A" w:rsidRDefault="00101030" w:rsidP="00101030">
      <w:pPr>
        <w:jc w:val="both"/>
      </w:pPr>
      <w:r w:rsidRPr="00101030">
        <w:t xml:space="preserve">The individual-level identification compares fertility outcomes across three birth cohorts defined entirely by their year of birth relative to the 1945 reform. The causal interpretation requires that year of birth is relevant only through exposure to the reformed curriculum, that no other systematic difference across cohorts affects fertility through a separate channel. This assumption is violated by the </w:t>
      </w:r>
      <w:r w:rsidRPr="00E94428">
        <w:rPr>
          <w:highlight w:val="yellow"/>
        </w:rPr>
        <w:t xml:space="preserve">Law 56/1961, the Ley </w:t>
      </w:r>
      <w:proofErr w:type="spellStart"/>
      <w:r w:rsidRPr="00E94428">
        <w:rPr>
          <w:highlight w:val="yellow"/>
        </w:rPr>
        <w:t>sobre</w:t>
      </w:r>
      <w:proofErr w:type="spellEnd"/>
      <w:r w:rsidRPr="00E94428">
        <w:rPr>
          <w:highlight w:val="yellow"/>
        </w:rPr>
        <w:t xml:space="preserve"> derechos </w:t>
      </w:r>
      <w:proofErr w:type="spellStart"/>
      <w:r w:rsidRPr="00E94428">
        <w:rPr>
          <w:highlight w:val="yellow"/>
        </w:rPr>
        <w:t>políticos</w:t>
      </w:r>
      <w:proofErr w:type="spellEnd"/>
      <w:r w:rsidRPr="00E94428">
        <w:rPr>
          <w:highlight w:val="yellow"/>
        </w:rPr>
        <w:t xml:space="preserve">, </w:t>
      </w:r>
      <w:proofErr w:type="spellStart"/>
      <w:r w:rsidRPr="00E94428">
        <w:rPr>
          <w:highlight w:val="yellow"/>
        </w:rPr>
        <w:t>profesionales</w:t>
      </w:r>
      <w:proofErr w:type="spellEnd"/>
      <w:r w:rsidRPr="00E94428">
        <w:rPr>
          <w:highlight w:val="yellow"/>
        </w:rPr>
        <w:t xml:space="preserve"> y de </w:t>
      </w:r>
      <w:proofErr w:type="spellStart"/>
      <w:r w:rsidRPr="00E94428">
        <w:rPr>
          <w:highlight w:val="yellow"/>
        </w:rPr>
        <w:t>trabajo</w:t>
      </w:r>
      <w:proofErr w:type="spellEnd"/>
      <w:r w:rsidRPr="00E94428">
        <w:rPr>
          <w:highlight w:val="yellow"/>
        </w:rPr>
        <w:t xml:space="preserve"> de la </w:t>
      </w:r>
      <w:proofErr w:type="spellStart"/>
      <w:r w:rsidRPr="00E94428">
        <w:rPr>
          <w:highlight w:val="yellow"/>
        </w:rPr>
        <w:t>mujer</w:t>
      </w:r>
      <w:proofErr w:type="spellEnd"/>
      <w:r w:rsidRPr="00101030">
        <w:t>, which formally extended labor market and professional rights to Spanish women, allowing married women to retain employment after marriage and opening access to previously restricted public sector positions.</w:t>
      </w:r>
      <w:r w:rsidRPr="00101030">
        <w:br/>
      </w:r>
      <w:r w:rsidRPr="00101030">
        <w:br/>
        <w:t xml:space="preserve">This law is not mentioned anywhere in the paper, yet it creates a direct confound. Women in the fully treated group (born 1939-1950) entered adulthood and formed their occupational expectations entirely under the new legal framework established in 1961. Women in the partially treated group (born 1930-1938) straddled the reform at different stages of their reproductive lives, while women in the control group (born 1920-1929) had largely completed or were completing their fertility before the law came into force. Through the standard </w:t>
      </w:r>
      <w:proofErr w:type="spellStart"/>
      <w:r w:rsidRPr="00101030">
        <w:t>Beckerian</w:t>
      </w:r>
      <w:proofErr w:type="spellEnd"/>
      <w:r w:rsidRPr="00101030">
        <w:t xml:space="preserve"> opportunity cost channel, Law 56 predicts </w:t>
      </w:r>
      <w:proofErr w:type="gramStart"/>
      <w:r w:rsidRPr="00101030">
        <w:t>exactly the same</w:t>
      </w:r>
      <w:proofErr w:type="gramEnd"/>
      <w:r w:rsidRPr="00101030">
        <w:t xml:space="preserve"> cross-cohort fertility gradient as the curriculum backlash story: more recently born cohorts face higher returns to market work, a higher shadow price of children, and consequently lower completed fertility. The dose-response pattern (partial exposure cohorts between the two endpoints) also mirrors the curriculum exposure gradient, because women born in the early 1930s were</w:t>
      </w:r>
      <w:r w:rsidR="00E8229A">
        <w:t xml:space="preserve"> </w:t>
      </w:r>
      <w:r w:rsidRPr="00101030">
        <w:t>already partially through their fertile years when Law 56 passed.</w:t>
      </w:r>
    </w:p>
    <w:p w14:paraId="479F0FA2" w14:textId="1DE0E4F2" w:rsidR="00E87009" w:rsidRDefault="00101030" w:rsidP="00101030">
      <w:pPr>
        <w:jc w:val="both"/>
      </w:pPr>
      <w:r w:rsidRPr="00101030">
        <w:t xml:space="preserve">More concerning for the authors is that </w:t>
      </w:r>
      <w:proofErr w:type="gramStart"/>
      <w:r w:rsidRPr="00101030">
        <w:t>the Law</w:t>
      </w:r>
      <w:proofErr w:type="gramEnd"/>
      <w:r w:rsidRPr="00101030">
        <w:t xml:space="preserve"> 56/1961 did not arrive in a vacuum. It coincided with, and was partly driven by, the rapid expansion of the Spanish public sector that followed the 1959 Stabilization Plan and the subsequent </w:t>
      </w:r>
      <w:proofErr w:type="spellStart"/>
      <w:r w:rsidRPr="00101030">
        <w:t>desarrollismo</w:t>
      </w:r>
      <w:proofErr w:type="spellEnd"/>
      <w:r w:rsidRPr="00101030">
        <w:t xml:space="preserve"> period of the </w:t>
      </w:r>
      <w:r w:rsidRPr="00101030">
        <w:lastRenderedPageBreak/>
        <w:t xml:space="preserve">1960s. Spain's technocratic turn produced a large expansion of state bureaucracy, public health infrastructure, public education, and state-owned enterprises. </w:t>
      </w:r>
    </w:p>
    <w:p w14:paraId="2B955B9B" w14:textId="57BBCEE9" w:rsidR="00E87009" w:rsidRDefault="00101030" w:rsidP="00101030">
      <w:pPr>
        <w:jc w:val="both"/>
      </w:pPr>
      <w:r w:rsidRPr="00101030">
        <w:t xml:space="preserve">The mechanism by which Law 56 most plausibly affects fertility is through the job continuity provision in the public sector — married women could now retain their posts. But this provision only bites if there are </w:t>
      </w:r>
      <w:proofErr w:type="gramStart"/>
      <w:r w:rsidRPr="00101030">
        <w:t>actually public</w:t>
      </w:r>
      <w:proofErr w:type="gramEnd"/>
      <w:r w:rsidRPr="00101030">
        <w:t xml:space="preserve"> sector posts to retain or obtain. Before the late 1950s, the Spanish public sector was relatively small and predominantly male</w:t>
      </w:r>
      <w:r w:rsidRPr="00760ABE">
        <w:rPr>
          <w:highlight w:val="yellow"/>
        </w:rPr>
        <w:t>. The simultaneous expansion of public sector employment and the legal opening of those positions to married women means that the effective treatment intensity of Law 56 was not fixed in 1961 but grew throughout the 1960s as the stock of relevant jobs expanded.</w:t>
      </w:r>
      <w:r w:rsidRPr="00101030">
        <w:t xml:space="preserve"> This creates a </w:t>
      </w:r>
      <w:r w:rsidRPr="00760ABE">
        <w:rPr>
          <w:highlight w:val="yellow"/>
        </w:rPr>
        <w:t>dynamic treatment</w:t>
      </w:r>
      <w:r w:rsidRPr="00101030">
        <w:t xml:space="preserve"> that deepens precisely as the fully treated cohorts (born 1939-1950) enter their prime reproductive and working years, exactly the pattern the authors attribute to the curriculum backlash mechanism.</w:t>
      </w:r>
    </w:p>
    <w:p w14:paraId="61FF0BDE" w14:textId="466AE24C" w:rsidR="00C61189" w:rsidRDefault="00101030" w:rsidP="00101030">
      <w:pPr>
        <w:jc w:val="both"/>
      </w:pPr>
      <w:r w:rsidRPr="00101030">
        <w:t xml:space="preserve">The mechanism evidence does not resolve this. While the null result on labor market participation in Table B6 could be presented as ruling out the opportunity cost channel, on the logic that Law 56 should have increased employment among treated cohorts; because employment is measured in 1979-88, the null on employment does not tell us whether the fully treated cohorts had higher employment rates in the 1960s when they were making fertility decisions. </w:t>
      </w:r>
    </w:p>
    <w:p w14:paraId="0B50817B" w14:textId="107728F4" w:rsidR="00E8229A" w:rsidRDefault="00101030" w:rsidP="00101030">
      <w:pPr>
        <w:jc w:val="both"/>
      </w:pPr>
      <w:r w:rsidRPr="00101030">
        <w:br/>
      </w:r>
      <w:r w:rsidRPr="00E8229A">
        <w:rPr>
          <w:b/>
          <w:bCs/>
        </w:rPr>
        <w:t>Second concern: the 1973 oil crisis</w:t>
      </w:r>
    </w:p>
    <w:p w14:paraId="167F5E69" w14:textId="156066F6" w:rsidR="00E87009" w:rsidRDefault="00101030" w:rsidP="00101030">
      <w:pPr>
        <w:jc w:val="both"/>
      </w:pPr>
      <w:r w:rsidRPr="00101030">
        <w:t xml:space="preserve">The 1973 oil crisis hit Spain hard and triggered a sharp economic contraction that have very specific demographic consequences. Female labor force participation, which had been growing through the late 1960s and early 1970s, stalled or reversed in the mid-to-late 1970s as unemployment rose and the economy contracted (this could explain the lack of employment results mentioned above). Women in the fully treated cohort (born 1939-1950) were aged 23-34 in 1973, right at the peak fertility age and at the stage where a third of fourth child might have been contemplated. In contrast, the fertility of the control and partially treated cohorts were largely unaffected given their age in 1973. Together, this generates a cohort fertility gradient, observationally equivalent to the curriculum backlash story in the event study and in the main regression. </w:t>
      </w:r>
    </w:p>
    <w:p w14:paraId="3004F670" w14:textId="2E5AB3AD" w:rsidR="00E8229A" w:rsidRDefault="00101030" w:rsidP="00101030">
      <w:pPr>
        <w:jc w:val="both"/>
      </w:pPr>
      <w:r w:rsidRPr="00101030">
        <w:t xml:space="preserve">The Portugal placebo substantially mitigates this concern by ruling out a common Southern European macroeconomic </w:t>
      </w:r>
      <w:proofErr w:type="gramStart"/>
      <w:r w:rsidRPr="00101030">
        <w:t>shock, but</w:t>
      </w:r>
      <w:proofErr w:type="gramEnd"/>
      <w:r w:rsidRPr="00101030">
        <w:t xml:space="preserve"> cannot rule out a Spain-specific interaction between crisis severity and cohort age structure. The most informative additional test would be to examine whether the cohort fertility gradient is larger among women who were employed in sectors most severely affected by the 1973 crisis, such as manufacturing and construction, </w:t>
      </w:r>
      <w:r w:rsidRPr="00101030">
        <w:lastRenderedPageBreak/>
        <w:t xml:space="preserve">which contracted sharply, relative to women in less affected sectors, such as services and agriculture. If the gradient is uniform across sectors, the crisis story is weakened. </w:t>
      </w:r>
      <w:r w:rsidRPr="00101030">
        <w:br/>
      </w:r>
      <w:r w:rsidRPr="00101030">
        <w:br/>
      </w:r>
      <w:r w:rsidRPr="00E8229A">
        <w:rPr>
          <w:b/>
          <w:bCs/>
        </w:rPr>
        <w:t>Third concern: internal migration and the locality-level analysis</w:t>
      </w:r>
    </w:p>
    <w:p w14:paraId="393A7123" w14:textId="64330C2C" w:rsidR="00A518AA" w:rsidRDefault="00101030" w:rsidP="00101030">
      <w:pPr>
        <w:jc w:val="both"/>
      </w:pPr>
      <w:r w:rsidRPr="00101030">
        <w:t>The locality-level analysis is the paper's second identification strategy, and it is potentially the stronger one because it uses a genuinely different source of variation (cross-sectional geographic differences in the pre-reform share of girls) that is orthogonal to the cohort-level Law 56 confound. However, a concern arises from the large-scale rural-to-urban internal migration that Spain experienced during the post-treatment window.</w:t>
      </w:r>
    </w:p>
    <w:p w14:paraId="67FA9D4B" w14:textId="00CBAA56" w:rsidR="00E8229A" w:rsidRDefault="00101030" w:rsidP="00101030">
      <w:pPr>
        <w:jc w:val="both"/>
      </w:pPr>
      <w:r w:rsidRPr="00101030">
        <w:t>Spain experienced one of the most concentrated episodes of internal migration in European postwar history, with rural-to-urban flows peaking sharply between approximately 1955 and 1975, almost exactly the post-treatment window in which the authors observe the growing negative coefficient in Figure 4. The girls aged 0-14 in 1940 who constitute the treatment variable are precisely the cohort that reaches prime reproductive and migratory age during this exodus. High-treatment localities therefore had a larger stock of exactly the women most likely to out-migrate during the post-1945 window.</w:t>
      </w:r>
    </w:p>
    <w:p w14:paraId="7301819E" w14:textId="77777777" w:rsidR="00A518AA" w:rsidRDefault="00101030" w:rsidP="00101030">
      <w:pPr>
        <w:jc w:val="both"/>
      </w:pPr>
      <w:r w:rsidRPr="00101030">
        <w:t>The outcome variable in the locality-level analysis is the raw number of live births per administrative unit per year. When women of reproductive age leave a locality, they take their fertility potential with them and their births are recorded at the destination, not the origin. The authors include the number of women of reproductive age as a control variable, which is the correct approach in principle, but this control is measured at decade frequency from decennial censuses and assigned to all years within the corresponding decade. It therefore cannot capture the rapid and uneven pace of migration flows within the 1960s, leaving a potentially important residual that is mechanically correlated with the treatment variable.</w:t>
      </w:r>
      <w:r w:rsidRPr="00101030">
        <w:br/>
      </w:r>
      <w:r w:rsidRPr="00101030">
        <w:br/>
        <w:t>The province-by-year fixed effects in this second specification mean that identification is within-province, comparing provincial capitals to the rest of their respective provinces. However, the dominant migration pattern during the relevant period (from rural southern provinces to Madrid and coastal receiving cities) was overwhelmingly inter-provincial rather than within-province. Within southern sending provinces, both the capital and the rest of the province were net senders of migrants to other provinces entirely. While this is good news for the authors as it means the within-province comparison does not produce the cross-unit birth count contamination that a SUTVA violation would require, the more fundamental problem is different: because births are recorded at the locality of residence rather than the locality of schooling, the treated women who migrated have their fertility outcomes recorded in receiving provinces that are not part of the relevant within-province</w:t>
      </w:r>
      <w:r w:rsidRPr="00101030">
        <w:br/>
      </w:r>
      <w:r w:rsidRPr="00101030">
        <w:lastRenderedPageBreak/>
        <w:t xml:space="preserve">comparison. The locality-level </w:t>
      </w:r>
      <w:proofErr w:type="spellStart"/>
      <w:r w:rsidRPr="00101030">
        <w:t>DiD</w:t>
      </w:r>
      <w:proofErr w:type="spellEnd"/>
      <w:r w:rsidRPr="00101030">
        <w:t xml:space="preserve"> is therefore identified off the stayers (women who remained in their origin locality through their reproductive years) rather than the full population of treated women. Whether the stayer population is representative of the treated population </w:t>
      </w:r>
      <w:proofErr w:type="gramStart"/>
      <w:r w:rsidRPr="00101030">
        <w:t>as a whole depends</w:t>
      </w:r>
      <w:proofErr w:type="gramEnd"/>
      <w:r w:rsidRPr="00101030">
        <w:t xml:space="preserve"> on the degree of selection into migration, which the authors do not examine. The authors should verify, using the decennial census population data they already hold, whether the female population aged 15-44 evolved symmetrically across high and low treatment localities within provinces between 1940 and 1970, and whether any differential decline in this population is correlated with the treatment intensity in ways that suggest the stayer composition is systematically different across treatment arms.   </w:t>
      </w:r>
      <w:r w:rsidRPr="00101030">
        <w:br/>
      </w:r>
      <w:r w:rsidRPr="00101030">
        <w:br/>
        <w:t xml:space="preserve">The male placebo (a coefficient roughly one-third the size of the female coefficient and statistically insignificant) is not ideal as it could be equally consistent with a migration story in which outmigration was female-selective. </w:t>
      </w:r>
    </w:p>
    <w:p w14:paraId="5ED7E84C" w14:textId="1566DA6A" w:rsidR="00E8229A" w:rsidRDefault="00101030" w:rsidP="00101030">
      <w:pPr>
        <w:jc w:val="both"/>
      </w:pPr>
      <w:r w:rsidRPr="00E8229A">
        <w:rPr>
          <w:b/>
          <w:bCs/>
        </w:rPr>
        <w:t xml:space="preserve">Fourth concern: 1973 crisis and </w:t>
      </w:r>
      <w:proofErr w:type="spellStart"/>
      <w:proofErr w:type="gramStart"/>
      <w:r w:rsidRPr="00E8229A">
        <w:rPr>
          <w:b/>
          <w:bCs/>
        </w:rPr>
        <w:t>DiD</w:t>
      </w:r>
      <w:proofErr w:type="spellEnd"/>
      <w:proofErr w:type="gramEnd"/>
      <w:r w:rsidRPr="00E8229A">
        <w:rPr>
          <w:b/>
          <w:bCs/>
        </w:rPr>
        <w:t xml:space="preserve"> aggregate analysis</w:t>
      </w:r>
    </w:p>
    <w:p w14:paraId="4AB8ECF4" w14:textId="77777777" w:rsidR="00A518AA" w:rsidRDefault="00101030" w:rsidP="00101030">
      <w:pPr>
        <w:jc w:val="both"/>
      </w:pPr>
      <w:r w:rsidRPr="00101030">
        <w:t xml:space="preserve">The 1973 crisis concern for the locality analysis is a within-province compositional concern driven by return migration. The crisis triggered inter-provincial return flows that disproportionately deposited low-fertility urban norm adopters back into the higher-treatment rural non-capital localities, which are the higher-treatment units in the within-province comparison. This could generate a spurious negative coefficient in the post-1973 portion of the panel that is observationally similar to the curriculum effect stabilizing at its peak. The pre-1973 portion of the event study trajectory, which predates any return migration, provides the cleanest identification. The authors should verify that the treatment coefficient is robust to truncating the estimation window </w:t>
      </w:r>
      <w:proofErr w:type="gramStart"/>
      <w:r w:rsidRPr="00101030">
        <w:t>at</w:t>
      </w:r>
      <w:proofErr w:type="gramEnd"/>
      <w:r w:rsidRPr="00101030">
        <w:t xml:space="preserve"> 1972. </w:t>
      </w:r>
    </w:p>
    <w:p w14:paraId="75E07557" w14:textId="77777777" w:rsidR="00A518AA" w:rsidRPr="00A518AA" w:rsidRDefault="00101030" w:rsidP="00101030">
      <w:pPr>
        <w:jc w:val="both"/>
        <w:rPr>
          <w:b/>
          <w:bCs/>
        </w:rPr>
      </w:pPr>
      <w:r w:rsidRPr="00101030">
        <w:br/>
      </w:r>
      <w:r w:rsidRPr="00A518AA">
        <w:rPr>
          <w:b/>
          <w:bCs/>
        </w:rPr>
        <w:t>Fifth concern: the 1945 reform or Catholicism?</w:t>
      </w:r>
    </w:p>
    <w:p w14:paraId="78B0C5A9" w14:textId="0D78464B" w:rsidR="00A518AA" w:rsidRDefault="00101030" w:rsidP="00101030">
      <w:pPr>
        <w:jc w:val="both"/>
      </w:pPr>
      <w:r w:rsidRPr="00101030">
        <w:t xml:space="preserve">A subtler but important interpretive concern runs through both empirical strategies. The 1945 Ley de </w:t>
      </w:r>
      <w:proofErr w:type="spellStart"/>
      <w:r w:rsidRPr="00101030">
        <w:t>Educación</w:t>
      </w:r>
      <w:proofErr w:type="spellEnd"/>
      <w:r w:rsidRPr="00101030">
        <w:t xml:space="preserve"> Primaria did not merely reform the state </w:t>
      </w:r>
      <w:proofErr w:type="gramStart"/>
      <w:r w:rsidRPr="00101030">
        <w:t>curriculum,</w:t>
      </w:r>
      <w:proofErr w:type="gramEnd"/>
      <w:r w:rsidRPr="00101030">
        <w:t xml:space="preserve"> it simultaneously transferred substantial control of primary schooling to the Catholic Church as part of the broader Francoist institutional settlement. In areas with denser Church infrastructure, the intensity of </w:t>
      </w:r>
      <w:proofErr w:type="gramStart"/>
      <w:r w:rsidRPr="00101030">
        <w:t>religiously-inflected</w:t>
      </w:r>
      <w:proofErr w:type="gramEnd"/>
      <w:r w:rsidRPr="00101030">
        <w:t xml:space="preserve"> gender-norm transmission to girls increased in 1945 through both the state curriculum channel and the parish school channel simultaneously. These two treatments cannot be separated </w:t>
      </w:r>
      <w:proofErr w:type="gramStart"/>
      <w:r w:rsidRPr="00101030">
        <w:t>in</w:t>
      </w:r>
      <w:proofErr w:type="gramEnd"/>
      <w:r w:rsidRPr="00101030">
        <w:t xml:space="preserve"> the data because they were not separable in policy.</w:t>
      </w:r>
    </w:p>
    <w:p w14:paraId="580EC115" w14:textId="77777777" w:rsidR="00A518AA" w:rsidRDefault="00101030" w:rsidP="00101030">
      <w:pPr>
        <w:jc w:val="both"/>
      </w:pPr>
      <w:r w:rsidRPr="00101030">
        <w:t xml:space="preserve">The authors acknowledge this directly and honestly in </w:t>
      </w:r>
      <w:proofErr w:type="gramStart"/>
      <w:r w:rsidRPr="00101030">
        <w:t>the conclusion</w:t>
      </w:r>
      <w:proofErr w:type="gramEnd"/>
      <w:r w:rsidRPr="00101030">
        <w:t xml:space="preserve">, noting that "data limitations do not allow us to disaggregate the bundled treatment generated by the reform." </w:t>
      </w:r>
      <w:r w:rsidRPr="00101030">
        <w:lastRenderedPageBreak/>
        <w:t xml:space="preserve">This is a defensible position: the </w:t>
      </w:r>
      <w:proofErr w:type="spellStart"/>
      <w:r w:rsidRPr="00101030">
        <w:t>estimand</w:t>
      </w:r>
      <w:proofErr w:type="spellEnd"/>
      <w:r w:rsidRPr="00101030">
        <w:t xml:space="preserve"> is the effect of the 1945 reform package as actually implemented, and decomposing its components would require counterfactual variation that never existed. However, the mechanism evidence in Figure 3 makes the decomposition question more pressing than the authors acknowledge. The finding that treated cohorts are systematically less aligned with Catholic Church positions on abortion, artificial insemination, and contraception is at least as naturally interpretable under a Church density story as under a curriculum backlash story. Women who received more intensive Catholic norm transmission in childhood may be precisely those who most strongly rejected those norms as adults. The attitude results therefore cannot discriminate between "girls rebelled against</w:t>
      </w:r>
      <w:r w:rsidR="00A518AA">
        <w:t xml:space="preserve"> </w:t>
      </w:r>
      <w:r w:rsidRPr="00101030">
        <w:t xml:space="preserve">the state curriculum's domesticity framing" and "girls rebelled against more intensive Church-mediated indoctrination in rural or </w:t>
      </w:r>
      <w:proofErr w:type="spellStart"/>
      <w:r w:rsidRPr="00101030">
        <w:t>high-Church</w:t>
      </w:r>
      <w:proofErr w:type="spellEnd"/>
      <w:r w:rsidRPr="00101030">
        <w:t>-density areas."</w:t>
      </w:r>
    </w:p>
    <w:p w14:paraId="5AC3CF68" w14:textId="1DF195DB" w:rsidR="00AD5C3B" w:rsidRDefault="00101030" w:rsidP="00101030">
      <w:pPr>
        <w:jc w:val="both"/>
      </w:pPr>
      <w:r w:rsidRPr="00101030">
        <w:br/>
      </w:r>
    </w:p>
    <w:sectPr w:rsidR="00AD5C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030"/>
    <w:rsid w:val="00092E63"/>
    <w:rsid w:val="000B5E8E"/>
    <w:rsid w:val="00101030"/>
    <w:rsid w:val="00116C4B"/>
    <w:rsid w:val="001260B5"/>
    <w:rsid w:val="00144C02"/>
    <w:rsid w:val="001C5A44"/>
    <w:rsid w:val="00457963"/>
    <w:rsid w:val="004C5FEC"/>
    <w:rsid w:val="00531B47"/>
    <w:rsid w:val="00575317"/>
    <w:rsid w:val="00760ABE"/>
    <w:rsid w:val="008049E3"/>
    <w:rsid w:val="009B53DD"/>
    <w:rsid w:val="00A30DF4"/>
    <w:rsid w:val="00A518AA"/>
    <w:rsid w:val="00AB128E"/>
    <w:rsid w:val="00AD5C3B"/>
    <w:rsid w:val="00C444E7"/>
    <w:rsid w:val="00C61189"/>
    <w:rsid w:val="00CB0AE5"/>
    <w:rsid w:val="00D00452"/>
    <w:rsid w:val="00E23F47"/>
    <w:rsid w:val="00E8229A"/>
    <w:rsid w:val="00E87009"/>
    <w:rsid w:val="00E94428"/>
    <w:rsid w:val="00EB4125"/>
    <w:rsid w:val="00FA5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8908F"/>
  <w15:chartTrackingRefBased/>
  <w15:docId w15:val="{06BD0F5A-25F9-45DE-A2D1-678A4FD42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0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0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0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0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0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0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0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0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0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0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030"/>
    <w:rPr>
      <w:rFonts w:eastAsiaTheme="majorEastAsia" w:cstheme="majorBidi"/>
      <w:color w:val="272727" w:themeColor="text1" w:themeTint="D8"/>
    </w:rPr>
  </w:style>
  <w:style w:type="paragraph" w:styleId="Title">
    <w:name w:val="Title"/>
    <w:basedOn w:val="Normal"/>
    <w:next w:val="Normal"/>
    <w:link w:val="TitleChar"/>
    <w:uiPriority w:val="10"/>
    <w:qFormat/>
    <w:rsid w:val="00101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030"/>
    <w:pPr>
      <w:spacing w:before="160"/>
      <w:jc w:val="center"/>
    </w:pPr>
    <w:rPr>
      <w:i/>
      <w:iCs/>
      <w:color w:val="404040" w:themeColor="text1" w:themeTint="BF"/>
    </w:rPr>
  </w:style>
  <w:style w:type="character" w:customStyle="1" w:styleId="QuoteChar">
    <w:name w:val="Quote Char"/>
    <w:basedOn w:val="DefaultParagraphFont"/>
    <w:link w:val="Quote"/>
    <w:uiPriority w:val="29"/>
    <w:rsid w:val="00101030"/>
    <w:rPr>
      <w:i/>
      <w:iCs/>
      <w:color w:val="404040" w:themeColor="text1" w:themeTint="BF"/>
    </w:rPr>
  </w:style>
  <w:style w:type="paragraph" w:styleId="ListParagraph">
    <w:name w:val="List Paragraph"/>
    <w:basedOn w:val="Normal"/>
    <w:uiPriority w:val="34"/>
    <w:qFormat/>
    <w:rsid w:val="00101030"/>
    <w:pPr>
      <w:ind w:left="720"/>
      <w:contextualSpacing/>
    </w:pPr>
  </w:style>
  <w:style w:type="character" w:styleId="IntenseEmphasis">
    <w:name w:val="Intense Emphasis"/>
    <w:basedOn w:val="DefaultParagraphFont"/>
    <w:uiPriority w:val="21"/>
    <w:qFormat/>
    <w:rsid w:val="00101030"/>
    <w:rPr>
      <w:i/>
      <w:iCs/>
      <w:color w:val="0F4761" w:themeColor="accent1" w:themeShade="BF"/>
    </w:rPr>
  </w:style>
  <w:style w:type="paragraph" w:styleId="IntenseQuote">
    <w:name w:val="Intense Quote"/>
    <w:basedOn w:val="Normal"/>
    <w:next w:val="Normal"/>
    <w:link w:val="IntenseQuoteChar"/>
    <w:uiPriority w:val="30"/>
    <w:qFormat/>
    <w:rsid w:val="001010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030"/>
    <w:rPr>
      <w:i/>
      <w:iCs/>
      <w:color w:val="0F4761" w:themeColor="accent1" w:themeShade="BF"/>
    </w:rPr>
  </w:style>
  <w:style w:type="character" w:styleId="IntenseReference">
    <w:name w:val="Intense Reference"/>
    <w:basedOn w:val="DefaultParagraphFont"/>
    <w:uiPriority w:val="32"/>
    <w:qFormat/>
    <w:rsid w:val="001010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7</Pages>
  <Words>2508</Words>
  <Characters>14621</Characters>
  <Application>Microsoft Office Word</Application>
  <DocSecurity>0</DocSecurity>
  <Lines>222</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Lax Martinez Gema (gema.laxmartinez)</dc:creator>
  <cp:keywords/>
  <dc:description/>
  <cp:lastModifiedBy>Lax Martinez Gema (gema.laxmartinez)</cp:lastModifiedBy>
  <cp:revision>17</cp:revision>
  <dcterms:created xsi:type="dcterms:W3CDTF">2026-03-30T13:43:00Z</dcterms:created>
  <dcterms:modified xsi:type="dcterms:W3CDTF">2026-04-01T14:25:00Z</dcterms:modified>
</cp:coreProperties>
</file>