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720" w:type="dxa"/>
        <w:tblLook w:val="04A0" w:firstRow="1" w:lastRow="0" w:firstColumn="1" w:lastColumn="0" w:noHBand="0" w:noVBand="1"/>
      </w:tblPr>
      <w:tblGrid>
        <w:gridCol w:w="473"/>
        <w:gridCol w:w="546"/>
      </w:tblGrid>
      <w:tr w:rsidR="001E4D49" w14:paraId="364992CA" w14:textId="77777777" w:rsidTr="0013665A">
        <w:tc>
          <w:tcPr>
            <w:tcW w:w="360" w:type="dxa"/>
          </w:tcPr>
          <w:p w14:paraId="3DA32FAF" w14:textId="77777777" w:rsidR="001E4D49" w:rsidRDefault="001E4D49" w:rsidP="0013665A">
            <w:pPr>
              <w:rPr>
                <w:b/>
                <w:bCs/>
              </w:rPr>
            </w:pPr>
            <w:r>
              <w:rPr>
                <w:b/>
                <w:bCs/>
              </w:rPr>
              <w:t>1</w:t>
            </w:r>
          </w:p>
        </w:tc>
        <w:tc>
          <w:tcPr>
            <w:tcW w:w="360" w:type="dxa"/>
          </w:tcPr>
          <w:p w14:paraId="38692F55" w14:textId="77777777" w:rsidR="001E4D49" w:rsidRDefault="001E4D49" w:rsidP="0013665A">
            <w:pPr>
              <w:rPr>
                <w:b/>
                <w:bCs/>
              </w:rPr>
            </w:pPr>
          </w:p>
        </w:tc>
      </w:tr>
      <w:tr w:rsidR="001E4D49" w14:paraId="03A56E27" w14:textId="77777777" w:rsidTr="0013665A">
        <w:tc>
          <w:tcPr>
            <w:tcW w:w="360" w:type="dxa"/>
          </w:tcPr>
          <w:p w14:paraId="3F913117" w14:textId="77777777" w:rsidR="001E4D49" w:rsidRDefault="001E4D49" w:rsidP="0013665A">
            <w:pPr>
              <w:rPr>
                <w:b/>
                <w:bCs/>
              </w:rPr>
            </w:pPr>
            <w:r>
              <w:rPr>
                <w:b/>
                <w:bCs/>
              </w:rPr>
              <w:t>2</w:t>
            </w:r>
          </w:p>
        </w:tc>
        <w:tc>
          <w:tcPr>
            <w:tcW w:w="360" w:type="dxa"/>
          </w:tcPr>
          <w:p w14:paraId="401513CD" w14:textId="7C78DEEA" w:rsidR="001E4D49" w:rsidRDefault="00FB3828" w:rsidP="0013665A">
            <w:pPr>
              <w:rPr>
                <w:b/>
                <w:bCs/>
              </w:rPr>
            </w:pPr>
            <w:r w:rsidRPr="0050140B">
              <w:rPr>
                <w:rFonts w:ascii="Segoe UI Emoji" w:hAnsi="Segoe UI Emoji" w:cs="Segoe UI Emoji"/>
              </w:rPr>
              <w:t>✅</w:t>
            </w:r>
          </w:p>
        </w:tc>
      </w:tr>
      <w:tr w:rsidR="001E4D49" w14:paraId="00B46BF4" w14:textId="77777777" w:rsidTr="0013665A">
        <w:tc>
          <w:tcPr>
            <w:tcW w:w="360" w:type="dxa"/>
          </w:tcPr>
          <w:p w14:paraId="7C7F7700" w14:textId="77777777" w:rsidR="001E4D49" w:rsidRDefault="001E4D49" w:rsidP="0013665A">
            <w:pPr>
              <w:rPr>
                <w:b/>
                <w:bCs/>
              </w:rPr>
            </w:pPr>
            <w:r>
              <w:rPr>
                <w:b/>
                <w:bCs/>
              </w:rPr>
              <w:t>3</w:t>
            </w:r>
          </w:p>
        </w:tc>
        <w:tc>
          <w:tcPr>
            <w:tcW w:w="360" w:type="dxa"/>
          </w:tcPr>
          <w:p w14:paraId="41053AFA" w14:textId="05B8EF3A" w:rsidR="001E4D49" w:rsidRDefault="00B35C91" w:rsidP="0013665A">
            <w:pPr>
              <w:rPr>
                <w:b/>
                <w:bCs/>
              </w:rPr>
            </w:pPr>
            <w:r w:rsidRPr="0050140B">
              <w:rPr>
                <w:rFonts w:ascii="Segoe UI Emoji" w:hAnsi="Segoe UI Emoji" w:cs="Segoe UI Emoji"/>
              </w:rPr>
              <w:t>✅</w:t>
            </w:r>
          </w:p>
        </w:tc>
      </w:tr>
      <w:tr w:rsidR="001E4D49" w14:paraId="1D09158C" w14:textId="77777777" w:rsidTr="0013665A">
        <w:tc>
          <w:tcPr>
            <w:tcW w:w="360" w:type="dxa"/>
          </w:tcPr>
          <w:p w14:paraId="249E2F08" w14:textId="77777777" w:rsidR="001E4D49" w:rsidRDefault="001E4D49" w:rsidP="0013665A">
            <w:pPr>
              <w:rPr>
                <w:b/>
                <w:bCs/>
              </w:rPr>
            </w:pPr>
            <w:r>
              <w:rPr>
                <w:b/>
                <w:bCs/>
              </w:rPr>
              <w:t>4</w:t>
            </w:r>
          </w:p>
        </w:tc>
        <w:tc>
          <w:tcPr>
            <w:tcW w:w="360" w:type="dxa"/>
          </w:tcPr>
          <w:p w14:paraId="637F1302" w14:textId="77777777" w:rsidR="001E4D49" w:rsidRDefault="001E4D49" w:rsidP="0013665A">
            <w:pPr>
              <w:rPr>
                <w:b/>
                <w:bCs/>
              </w:rPr>
            </w:pPr>
          </w:p>
        </w:tc>
      </w:tr>
      <w:tr w:rsidR="001E4D49" w14:paraId="5C92F015" w14:textId="77777777" w:rsidTr="0013665A">
        <w:tc>
          <w:tcPr>
            <w:tcW w:w="360" w:type="dxa"/>
          </w:tcPr>
          <w:p w14:paraId="008C678B" w14:textId="77777777" w:rsidR="001E4D49" w:rsidRDefault="001E4D49" w:rsidP="0013665A">
            <w:pPr>
              <w:rPr>
                <w:b/>
                <w:bCs/>
              </w:rPr>
            </w:pPr>
            <w:r>
              <w:rPr>
                <w:b/>
                <w:bCs/>
              </w:rPr>
              <w:t>5</w:t>
            </w:r>
          </w:p>
        </w:tc>
        <w:tc>
          <w:tcPr>
            <w:tcW w:w="360" w:type="dxa"/>
          </w:tcPr>
          <w:p w14:paraId="256CDE25" w14:textId="77777777" w:rsidR="001E4D49" w:rsidRDefault="001E4D49" w:rsidP="0013665A">
            <w:pPr>
              <w:rPr>
                <w:b/>
                <w:bCs/>
              </w:rPr>
            </w:pPr>
          </w:p>
        </w:tc>
      </w:tr>
      <w:tr w:rsidR="001E4D49" w14:paraId="2438E88E" w14:textId="77777777" w:rsidTr="0013665A">
        <w:tc>
          <w:tcPr>
            <w:tcW w:w="360" w:type="dxa"/>
          </w:tcPr>
          <w:p w14:paraId="0C113547" w14:textId="77777777" w:rsidR="001E4D49" w:rsidRDefault="001E4D49" w:rsidP="0013665A">
            <w:pPr>
              <w:rPr>
                <w:b/>
                <w:bCs/>
              </w:rPr>
            </w:pPr>
            <w:r>
              <w:rPr>
                <w:b/>
                <w:bCs/>
              </w:rPr>
              <w:t>6</w:t>
            </w:r>
          </w:p>
        </w:tc>
        <w:tc>
          <w:tcPr>
            <w:tcW w:w="360" w:type="dxa"/>
          </w:tcPr>
          <w:p w14:paraId="0B35A649" w14:textId="03024E77" w:rsidR="001E4D49" w:rsidRDefault="00B9426C" w:rsidP="0013665A">
            <w:pPr>
              <w:rPr>
                <w:b/>
                <w:bCs/>
              </w:rPr>
            </w:pPr>
            <w:r w:rsidRPr="0050140B">
              <w:rPr>
                <w:rFonts w:ascii="Segoe UI Emoji" w:hAnsi="Segoe UI Emoji" w:cs="Segoe UI Emoji"/>
              </w:rPr>
              <w:t>✅</w:t>
            </w:r>
          </w:p>
        </w:tc>
      </w:tr>
      <w:tr w:rsidR="001E4D49" w14:paraId="51F6B408" w14:textId="77777777" w:rsidTr="0013665A">
        <w:tc>
          <w:tcPr>
            <w:tcW w:w="360" w:type="dxa"/>
          </w:tcPr>
          <w:p w14:paraId="363E659B" w14:textId="77777777" w:rsidR="001E4D49" w:rsidRDefault="001E4D49" w:rsidP="0013665A">
            <w:pPr>
              <w:rPr>
                <w:b/>
                <w:bCs/>
              </w:rPr>
            </w:pPr>
            <w:r>
              <w:rPr>
                <w:b/>
                <w:bCs/>
              </w:rPr>
              <w:t>7</w:t>
            </w:r>
          </w:p>
        </w:tc>
        <w:tc>
          <w:tcPr>
            <w:tcW w:w="360" w:type="dxa"/>
          </w:tcPr>
          <w:p w14:paraId="12CCB2DE" w14:textId="73D78B7C" w:rsidR="001E4D49" w:rsidRDefault="006911F4" w:rsidP="0013665A">
            <w:pPr>
              <w:rPr>
                <w:b/>
                <w:bCs/>
              </w:rPr>
            </w:pPr>
            <w:r w:rsidRPr="0050140B">
              <w:rPr>
                <w:rFonts w:ascii="Segoe UI Emoji" w:hAnsi="Segoe UI Emoji" w:cs="Segoe UI Emoji"/>
              </w:rPr>
              <w:t>✅</w:t>
            </w:r>
          </w:p>
        </w:tc>
      </w:tr>
      <w:tr w:rsidR="001E4D49" w14:paraId="534646B0" w14:textId="77777777" w:rsidTr="0013665A">
        <w:tc>
          <w:tcPr>
            <w:tcW w:w="360" w:type="dxa"/>
          </w:tcPr>
          <w:p w14:paraId="00657864" w14:textId="77777777" w:rsidR="001E4D49" w:rsidRDefault="001E4D49" w:rsidP="0013665A">
            <w:pPr>
              <w:rPr>
                <w:b/>
                <w:bCs/>
              </w:rPr>
            </w:pPr>
            <w:r>
              <w:rPr>
                <w:b/>
                <w:bCs/>
              </w:rPr>
              <w:t>8</w:t>
            </w:r>
          </w:p>
        </w:tc>
        <w:tc>
          <w:tcPr>
            <w:tcW w:w="360" w:type="dxa"/>
          </w:tcPr>
          <w:p w14:paraId="4FC853DE" w14:textId="1A540F8C" w:rsidR="001E4D49" w:rsidRDefault="00110086" w:rsidP="0013665A">
            <w:pPr>
              <w:rPr>
                <w:b/>
                <w:bCs/>
              </w:rPr>
            </w:pPr>
            <w:r w:rsidRPr="0050140B">
              <w:rPr>
                <w:rFonts w:ascii="Segoe UI Emoji" w:hAnsi="Segoe UI Emoji" w:cs="Segoe UI Emoji"/>
              </w:rPr>
              <w:t>✅</w:t>
            </w:r>
          </w:p>
        </w:tc>
      </w:tr>
      <w:tr w:rsidR="001E4D49" w14:paraId="6871AD4A" w14:textId="77777777" w:rsidTr="0013665A">
        <w:tc>
          <w:tcPr>
            <w:tcW w:w="360" w:type="dxa"/>
          </w:tcPr>
          <w:p w14:paraId="4A12AA66" w14:textId="77777777" w:rsidR="001E4D49" w:rsidRDefault="001E4D49" w:rsidP="0013665A">
            <w:pPr>
              <w:rPr>
                <w:b/>
                <w:bCs/>
              </w:rPr>
            </w:pPr>
            <w:r>
              <w:rPr>
                <w:b/>
                <w:bCs/>
              </w:rPr>
              <w:t>9</w:t>
            </w:r>
          </w:p>
        </w:tc>
        <w:tc>
          <w:tcPr>
            <w:tcW w:w="360" w:type="dxa"/>
          </w:tcPr>
          <w:p w14:paraId="491FEA70" w14:textId="75E46155" w:rsidR="001E4D49" w:rsidRDefault="00C573C4" w:rsidP="0013665A">
            <w:pPr>
              <w:rPr>
                <w:b/>
                <w:bCs/>
              </w:rPr>
            </w:pPr>
            <w:r w:rsidRPr="0050140B">
              <w:rPr>
                <w:rFonts w:ascii="Segoe UI Emoji" w:hAnsi="Segoe UI Emoji" w:cs="Segoe UI Emoji"/>
              </w:rPr>
              <w:t>✅</w:t>
            </w:r>
          </w:p>
        </w:tc>
      </w:tr>
      <w:tr w:rsidR="001E4D49" w14:paraId="1A14921D" w14:textId="77777777" w:rsidTr="0013665A">
        <w:tc>
          <w:tcPr>
            <w:tcW w:w="360" w:type="dxa"/>
          </w:tcPr>
          <w:p w14:paraId="6C11F195" w14:textId="77777777" w:rsidR="001E4D49" w:rsidRDefault="001E4D49" w:rsidP="0013665A">
            <w:pPr>
              <w:rPr>
                <w:b/>
                <w:bCs/>
              </w:rPr>
            </w:pPr>
            <w:r>
              <w:rPr>
                <w:b/>
                <w:bCs/>
              </w:rPr>
              <w:t>10</w:t>
            </w:r>
          </w:p>
        </w:tc>
        <w:tc>
          <w:tcPr>
            <w:tcW w:w="360" w:type="dxa"/>
          </w:tcPr>
          <w:p w14:paraId="076DCB15" w14:textId="5A352655" w:rsidR="001E4D49" w:rsidRDefault="009C6B87" w:rsidP="0013665A">
            <w:pPr>
              <w:rPr>
                <w:b/>
                <w:bCs/>
              </w:rPr>
            </w:pPr>
            <w:r w:rsidRPr="0050140B">
              <w:rPr>
                <w:rFonts w:ascii="Segoe UI Emoji" w:hAnsi="Segoe UI Emoji" w:cs="Segoe UI Emoji"/>
              </w:rPr>
              <w:t>✅</w:t>
            </w:r>
          </w:p>
        </w:tc>
      </w:tr>
      <w:tr w:rsidR="001E4D49" w14:paraId="09D13BE9" w14:textId="77777777" w:rsidTr="0013665A">
        <w:tc>
          <w:tcPr>
            <w:tcW w:w="360" w:type="dxa"/>
          </w:tcPr>
          <w:p w14:paraId="22361FD4" w14:textId="77777777" w:rsidR="001E4D49" w:rsidRDefault="001E4D49" w:rsidP="0013665A">
            <w:pPr>
              <w:rPr>
                <w:b/>
                <w:bCs/>
              </w:rPr>
            </w:pPr>
            <w:r>
              <w:rPr>
                <w:b/>
                <w:bCs/>
              </w:rPr>
              <w:t>11</w:t>
            </w:r>
          </w:p>
        </w:tc>
        <w:tc>
          <w:tcPr>
            <w:tcW w:w="360" w:type="dxa"/>
          </w:tcPr>
          <w:p w14:paraId="116FD1D3" w14:textId="24CC91DE" w:rsidR="001E4D49" w:rsidRDefault="003721D7" w:rsidP="0013665A">
            <w:pPr>
              <w:rPr>
                <w:b/>
                <w:bCs/>
              </w:rPr>
            </w:pPr>
            <w:r w:rsidRPr="0050140B">
              <w:rPr>
                <w:rFonts w:ascii="Segoe UI Emoji" w:hAnsi="Segoe UI Emoji" w:cs="Segoe UI Emoji"/>
              </w:rPr>
              <w:t>✅</w:t>
            </w:r>
          </w:p>
        </w:tc>
      </w:tr>
      <w:tr w:rsidR="001E4D49" w14:paraId="06F6C688" w14:textId="77777777" w:rsidTr="0013665A">
        <w:tc>
          <w:tcPr>
            <w:tcW w:w="360" w:type="dxa"/>
          </w:tcPr>
          <w:p w14:paraId="3AF40C39" w14:textId="77777777" w:rsidR="001E4D49" w:rsidRDefault="001E4D49" w:rsidP="0013665A">
            <w:pPr>
              <w:rPr>
                <w:b/>
                <w:bCs/>
              </w:rPr>
            </w:pPr>
            <w:r>
              <w:rPr>
                <w:b/>
                <w:bCs/>
              </w:rPr>
              <w:t>12</w:t>
            </w:r>
          </w:p>
        </w:tc>
        <w:tc>
          <w:tcPr>
            <w:tcW w:w="360" w:type="dxa"/>
          </w:tcPr>
          <w:p w14:paraId="3F85B17C" w14:textId="77777777" w:rsidR="001E4D49" w:rsidRDefault="001E4D49" w:rsidP="0013665A">
            <w:pPr>
              <w:rPr>
                <w:b/>
                <w:bCs/>
              </w:rPr>
            </w:pPr>
          </w:p>
        </w:tc>
      </w:tr>
      <w:tr w:rsidR="001E4D49" w14:paraId="1035BBD4" w14:textId="77777777" w:rsidTr="0013665A">
        <w:tc>
          <w:tcPr>
            <w:tcW w:w="360" w:type="dxa"/>
          </w:tcPr>
          <w:p w14:paraId="442AF2C6" w14:textId="77777777" w:rsidR="001E4D49" w:rsidRDefault="001E4D49" w:rsidP="0013665A">
            <w:pPr>
              <w:rPr>
                <w:b/>
                <w:bCs/>
              </w:rPr>
            </w:pPr>
            <w:r>
              <w:rPr>
                <w:b/>
                <w:bCs/>
              </w:rPr>
              <w:t>13</w:t>
            </w:r>
          </w:p>
        </w:tc>
        <w:tc>
          <w:tcPr>
            <w:tcW w:w="360" w:type="dxa"/>
          </w:tcPr>
          <w:p w14:paraId="3EB06594" w14:textId="0112E150" w:rsidR="001E4D49" w:rsidRDefault="00146FA4" w:rsidP="0013665A">
            <w:pPr>
              <w:rPr>
                <w:b/>
                <w:bCs/>
              </w:rPr>
            </w:pPr>
            <w:r w:rsidRPr="0050140B">
              <w:rPr>
                <w:rFonts w:ascii="Segoe UI Emoji" w:hAnsi="Segoe UI Emoji" w:cs="Segoe UI Emoji"/>
              </w:rPr>
              <w:t>✅</w:t>
            </w:r>
          </w:p>
        </w:tc>
      </w:tr>
      <w:tr w:rsidR="001E4D49" w14:paraId="19056759" w14:textId="77777777" w:rsidTr="0013665A">
        <w:tc>
          <w:tcPr>
            <w:tcW w:w="360" w:type="dxa"/>
          </w:tcPr>
          <w:p w14:paraId="78737E6B" w14:textId="77777777" w:rsidR="001E4D49" w:rsidRDefault="001E4D49" w:rsidP="0013665A">
            <w:pPr>
              <w:rPr>
                <w:b/>
                <w:bCs/>
              </w:rPr>
            </w:pPr>
            <w:r>
              <w:rPr>
                <w:b/>
                <w:bCs/>
              </w:rPr>
              <w:t>14</w:t>
            </w:r>
          </w:p>
        </w:tc>
        <w:tc>
          <w:tcPr>
            <w:tcW w:w="360" w:type="dxa"/>
          </w:tcPr>
          <w:p w14:paraId="01C5B6E0" w14:textId="1199E8C4" w:rsidR="001E4D49" w:rsidRDefault="00357440" w:rsidP="0013665A">
            <w:pPr>
              <w:rPr>
                <w:b/>
                <w:bCs/>
              </w:rPr>
            </w:pPr>
            <w:r w:rsidRPr="0050140B">
              <w:rPr>
                <w:rFonts w:ascii="Segoe UI Emoji" w:hAnsi="Segoe UI Emoji" w:cs="Segoe UI Emoji"/>
              </w:rPr>
              <w:t>✅</w:t>
            </w:r>
          </w:p>
        </w:tc>
      </w:tr>
      <w:tr w:rsidR="001E4D49" w14:paraId="0385BE53" w14:textId="77777777" w:rsidTr="0013665A">
        <w:tc>
          <w:tcPr>
            <w:tcW w:w="360" w:type="dxa"/>
          </w:tcPr>
          <w:p w14:paraId="7F5A8F1B" w14:textId="77777777" w:rsidR="001E4D49" w:rsidRDefault="001E4D49" w:rsidP="0013665A">
            <w:pPr>
              <w:rPr>
                <w:b/>
                <w:bCs/>
              </w:rPr>
            </w:pPr>
            <w:r>
              <w:rPr>
                <w:b/>
                <w:bCs/>
              </w:rPr>
              <w:t>15</w:t>
            </w:r>
          </w:p>
        </w:tc>
        <w:tc>
          <w:tcPr>
            <w:tcW w:w="360" w:type="dxa"/>
          </w:tcPr>
          <w:p w14:paraId="5031047B" w14:textId="1F72955F" w:rsidR="001E4D49" w:rsidRDefault="00B757C9" w:rsidP="0013665A">
            <w:pPr>
              <w:rPr>
                <w:b/>
                <w:bCs/>
              </w:rPr>
            </w:pPr>
            <w:r w:rsidRPr="0050140B">
              <w:rPr>
                <w:rFonts w:ascii="Segoe UI Emoji" w:hAnsi="Segoe UI Emoji" w:cs="Segoe UI Emoji"/>
              </w:rPr>
              <w:t>✅</w:t>
            </w:r>
          </w:p>
        </w:tc>
      </w:tr>
      <w:tr w:rsidR="001E4D49" w14:paraId="5CAC1F15" w14:textId="77777777" w:rsidTr="0013665A">
        <w:tc>
          <w:tcPr>
            <w:tcW w:w="360" w:type="dxa"/>
          </w:tcPr>
          <w:p w14:paraId="3CE32F40" w14:textId="77777777" w:rsidR="001E4D49" w:rsidRDefault="001E4D49" w:rsidP="0013665A">
            <w:pPr>
              <w:rPr>
                <w:b/>
                <w:bCs/>
              </w:rPr>
            </w:pPr>
            <w:r>
              <w:rPr>
                <w:b/>
                <w:bCs/>
              </w:rPr>
              <w:t>16</w:t>
            </w:r>
          </w:p>
        </w:tc>
        <w:tc>
          <w:tcPr>
            <w:tcW w:w="360" w:type="dxa"/>
          </w:tcPr>
          <w:p w14:paraId="72986D75" w14:textId="5B5F4011" w:rsidR="001E4D49" w:rsidRDefault="00B24034" w:rsidP="0013665A">
            <w:pPr>
              <w:rPr>
                <w:b/>
                <w:bCs/>
              </w:rPr>
            </w:pPr>
            <w:r w:rsidRPr="0050140B">
              <w:rPr>
                <w:rFonts w:ascii="Segoe UI Emoji" w:hAnsi="Segoe UI Emoji" w:cs="Segoe UI Emoji"/>
              </w:rPr>
              <w:t>✅</w:t>
            </w:r>
          </w:p>
        </w:tc>
      </w:tr>
      <w:tr w:rsidR="001E4D49" w14:paraId="709F5509" w14:textId="77777777" w:rsidTr="0013665A">
        <w:tc>
          <w:tcPr>
            <w:tcW w:w="360" w:type="dxa"/>
          </w:tcPr>
          <w:p w14:paraId="523152F4" w14:textId="77777777" w:rsidR="001E4D49" w:rsidRDefault="001E4D49" w:rsidP="0013665A">
            <w:pPr>
              <w:rPr>
                <w:b/>
                <w:bCs/>
              </w:rPr>
            </w:pPr>
            <w:r>
              <w:rPr>
                <w:b/>
                <w:bCs/>
              </w:rPr>
              <w:t>17</w:t>
            </w:r>
          </w:p>
        </w:tc>
        <w:tc>
          <w:tcPr>
            <w:tcW w:w="360" w:type="dxa"/>
          </w:tcPr>
          <w:p w14:paraId="49482AD0" w14:textId="3F86AFBC" w:rsidR="001E4D49" w:rsidRDefault="002003FE" w:rsidP="0013665A">
            <w:pPr>
              <w:rPr>
                <w:b/>
                <w:bCs/>
              </w:rPr>
            </w:pPr>
            <w:r w:rsidRPr="0050140B">
              <w:rPr>
                <w:rFonts w:ascii="Segoe UI Emoji" w:hAnsi="Segoe UI Emoji" w:cs="Segoe UI Emoji"/>
              </w:rPr>
              <w:t>✅</w:t>
            </w:r>
          </w:p>
        </w:tc>
      </w:tr>
      <w:tr w:rsidR="001E4D49" w14:paraId="7F381D83" w14:textId="77777777" w:rsidTr="0013665A">
        <w:tc>
          <w:tcPr>
            <w:tcW w:w="360" w:type="dxa"/>
          </w:tcPr>
          <w:p w14:paraId="2B8E348E" w14:textId="77777777" w:rsidR="001E4D49" w:rsidRDefault="001E4D49" w:rsidP="0013665A">
            <w:pPr>
              <w:rPr>
                <w:b/>
                <w:bCs/>
              </w:rPr>
            </w:pPr>
            <w:r>
              <w:rPr>
                <w:b/>
                <w:bCs/>
              </w:rPr>
              <w:t>18</w:t>
            </w:r>
          </w:p>
        </w:tc>
        <w:tc>
          <w:tcPr>
            <w:tcW w:w="360" w:type="dxa"/>
          </w:tcPr>
          <w:p w14:paraId="0982EFD9" w14:textId="5A7C03D6" w:rsidR="001E4D49" w:rsidRDefault="004C27EC" w:rsidP="0013665A">
            <w:pPr>
              <w:rPr>
                <w:b/>
                <w:bCs/>
              </w:rPr>
            </w:pPr>
            <w:r w:rsidRPr="0050140B">
              <w:rPr>
                <w:rFonts w:ascii="Segoe UI Emoji" w:hAnsi="Segoe UI Emoji" w:cs="Segoe UI Emoji"/>
              </w:rPr>
              <w:t>✅</w:t>
            </w:r>
          </w:p>
        </w:tc>
      </w:tr>
      <w:tr w:rsidR="001E4D49" w14:paraId="42AB2D49" w14:textId="77777777" w:rsidTr="0013665A">
        <w:tc>
          <w:tcPr>
            <w:tcW w:w="360" w:type="dxa"/>
          </w:tcPr>
          <w:p w14:paraId="26D127F2" w14:textId="77777777" w:rsidR="001E4D49" w:rsidRDefault="001E4D49" w:rsidP="0013665A">
            <w:pPr>
              <w:rPr>
                <w:b/>
                <w:bCs/>
              </w:rPr>
            </w:pPr>
            <w:r>
              <w:rPr>
                <w:b/>
                <w:bCs/>
              </w:rPr>
              <w:t>19</w:t>
            </w:r>
          </w:p>
        </w:tc>
        <w:tc>
          <w:tcPr>
            <w:tcW w:w="360" w:type="dxa"/>
          </w:tcPr>
          <w:p w14:paraId="40F64468" w14:textId="22245091" w:rsidR="001E4D49" w:rsidRDefault="00496CCE" w:rsidP="0013665A">
            <w:pPr>
              <w:rPr>
                <w:b/>
                <w:bCs/>
              </w:rPr>
            </w:pPr>
            <w:r w:rsidRPr="0050140B">
              <w:rPr>
                <w:rFonts w:ascii="Segoe UI Emoji" w:hAnsi="Segoe UI Emoji" w:cs="Segoe UI Emoji"/>
              </w:rPr>
              <w:t>✅</w:t>
            </w:r>
          </w:p>
        </w:tc>
      </w:tr>
      <w:tr w:rsidR="001E4D49" w14:paraId="50DA8FDD" w14:textId="77777777" w:rsidTr="0013665A">
        <w:tc>
          <w:tcPr>
            <w:tcW w:w="360" w:type="dxa"/>
          </w:tcPr>
          <w:p w14:paraId="3BF52BC0" w14:textId="77777777" w:rsidR="001E4D49" w:rsidRDefault="001E4D49" w:rsidP="0013665A">
            <w:pPr>
              <w:rPr>
                <w:b/>
                <w:bCs/>
              </w:rPr>
            </w:pPr>
            <w:r>
              <w:rPr>
                <w:b/>
                <w:bCs/>
              </w:rPr>
              <w:t>20</w:t>
            </w:r>
          </w:p>
        </w:tc>
        <w:tc>
          <w:tcPr>
            <w:tcW w:w="360" w:type="dxa"/>
          </w:tcPr>
          <w:p w14:paraId="479C439C" w14:textId="5669EA51" w:rsidR="001E4D49" w:rsidRDefault="000B5948" w:rsidP="0013665A">
            <w:pPr>
              <w:rPr>
                <w:b/>
                <w:bCs/>
              </w:rPr>
            </w:pPr>
            <w:r w:rsidRPr="0050140B">
              <w:rPr>
                <w:rFonts w:ascii="Segoe UI Emoji" w:hAnsi="Segoe UI Emoji" w:cs="Segoe UI Emoji"/>
              </w:rPr>
              <w:t>✅</w:t>
            </w:r>
          </w:p>
        </w:tc>
      </w:tr>
      <w:tr w:rsidR="001E4D49" w14:paraId="768A86C5" w14:textId="77777777" w:rsidTr="0013665A">
        <w:tc>
          <w:tcPr>
            <w:tcW w:w="360" w:type="dxa"/>
          </w:tcPr>
          <w:p w14:paraId="6BCDE31B" w14:textId="77777777" w:rsidR="001E4D49" w:rsidRDefault="001E4D49" w:rsidP="0013665A">
            <w:pPr>
              <w:rPr>
                <w:b/>
                <w:bCs/>
              </w:rPr>
            </w:pPr>
            <w:r>
              <w:rPr>
                <w:b/>
                <w:bCs/>
              </w:rPr>
              <w:t>21</w:t>
            </w:r>
          </w:p>
        </w:tc>
        <w:tc>
          <w:tcPr>
            <w:tcW w:w="360" w:type="dxa"/>
          </w:tcPr>
          <w:p w14:paraId="548E6A22" w14:textId="03D5B7D9" w:rsidR="001E4D49" w:rsidRDefault="00302024" w:rsidP="0013665A">
            <w:pPr>
              <w:rPr>
                <w:b/>
                <w:bCs/>
              </w:rPr>
            </w:pPr>
            <w:r w:rsidRPr="0050140B">
              <w:rPr>
                <w:rFonts w:ascii="Segoe UI Emoji" w:hAnsi="Segoe UI Emoji" w:cs="Segoe UI Emoji"/>
              </w:rPr>
              <w:t>✅</w:t>
            </w:r>
          </w:p>
        </w:tc>
      </w:tr>
      <w:tr w:rsidR="001E4D49" w14:paraId="13FE3A96" w14:textId="77777777" w:rsidTr="0013665A">
        <w:tc>
          <w:tcPr>
            <w:tcW w:w="360" w:type="dxa"/>
          </w:tcPr>
          <w:p w14:paraId="3B612D67" w14:textId="77777777" w:rsidR="001E4D49" w:rsidRDefault="001E4D49" w:rsidP="0013665A">
            <w:pPr>
              <w:rPr>
                <w:b/>
                <w:bCs/>
              </w:rPr>
            </w:pPr>
            <w:r>
              <w:rPr>
                <w:b/>
                <w:bCs/>
              </w:rPr>
              <w:t>22</w:t>
            </w:r>
          </w:p>
        </w:tc>
        <w:tc>
          <w:tcPr>
            <w:tcW w:w="360" w:type="dxa"/>
          </w:tcPr>
          <w:p w14:paraId="1A178962" w14:textId="62C5C1E1" w:rsidR="001E4D49" w:rsidRDefault="006E593B" w:rsidP="0013665A">
            <w:pPr>
              <w:rPr>
                <w:b/>
                <w:bCs/>
              </w:rPr>
            </w:pPr>
            <w:r w:rsidRPr="0050140B">
              <w:rPr>
                <w:rFonts w:ascii="Segoe UI Emoji" w:hAnsi="Segoe UI Emoji" w:cs="Segoe UI Emoji"/>
              </w:rPr>
              <w:t>✅</w:t>
            </w:r>
          </w:p>
        </w:tc>
      </w:tr>
      <w:tr w:rsidR="001E4D49" w14:paraId="70910612" w14:textId="77777777" w:rsidTr="0013665A">
        <w:tc>
          <w:tcPr>
            <w:tcW w:w="360" w:type="dxa"/>
          </w:tcPr>
          <w:p w14:paraId="1B1A58FF" w14:textId="77777777" w:rsidR="001E4D49" w:rsidRDefault="001E4D49" w:rsidP="0013665A">
            <w:pPr>
              <w:rPr>
                <w:b/>
                <w:bCs/>
              </w:rPr>
            </w:pPr>
            <w:r>
              <w:rPr>
                <w:b/>
                <w:bCs/>
              </w:rPr>
              <w:t>23</w:t>
            </w:r>
          </w:p>
        </w:tc>
        <w:tc>
          <w:tcPr>
            <w:tcW w:w="360" w:type="dxa"/>
          </w:tcPr>
          <w:p w14:paraId="5CD4F392" w14:textId="6350CA46" w:rsidR="001E4D49" w:rsidRDefault="00B151D1" w:rsidP="0013665A">
            <w:pPr>
              <w:rPr>
                <w:b/>
                <w:bCs/>
              </w:rPr>
            </w:pPr>
            <w:r w:rsidRPr="0050140B">
              <w:rPr>
                <w:rFonts w:ascii="Segoe UI Emoji" w:hAnsi="Segoe UI Emoji" w:cs="Segoe UI Emoji"/>
              </w:rPr>
              <w:t>✅</w:t>
            </w:r>
          </w:p>
        </w:tc>
      </w:tr>
      <w:tr w:rsidR="001E4D49" w14:paraId="23A45818" w14:textId="77777777" w:rsidTr="0013665A">
        <w:tc>
          <w:tcPr>
            <w:tcW w:w="360" w:type="dxa"/>
          </w:tcPr>
          <w:p w14:paraId="06A2DF2C" w14:textId="77777777" w:rsidR="001E4D49" w:rsidRDefault="001E4D49" w:rsidP="0013665A">
            <w:pPr>
              <w:rPr>
                <w:b/>
                <w:bCs/>
              </w:rPr>
            </w:pPr>
            <w:r>
              <w:rPr>
                <w:b/>
                <w:bCs/>
              </w:rPr>
              <w:t>24</w:t>
            </w:r>
          </w:p>
        </w:tc>
        <w:tc>
          <w:tcPr>
            <w:tcW w:w="360" w:type="dxa"/>
          </w:tcPr>
          <w:p w14:paraId="31584D90" w14:textId="3E652CC8" w:rsidR="001E4D49" w:rsidRDefault="00B26FE1" w:rsidP="0013665A">
            <w:pPr>
              <w:rPr>
                <w:b/>
                <w:bCs/>
              </w:rPr>
            </w:pPr>
            <w:r w:rsidRPr="0050140B">
              <w:rPr>
                <w:rFonts w:ascii="Segoe UI Emoji" w:hAnsi="Segoe UI Emoji" w:cs="Segoe UI Emoji"/>
              </w:rPr>
              <w:t>✅</w:t>
            </w:r>
          </w:p>
        </w:tc>
      </w:tr>
      <w:tr w:rsidR="001E4D49" w14:paraId="3B33BE9B" w14:textId="77777777" w:rsidTr="0013665A">
        <w:tc>
          <w:tcPr>
            <w:tcW w:w="360" w:type="dxa"/>
          </w:tcPr>
          <w:p w14:paraId="72D44ED5" w14:textId="77777777" w:rsidR="001E4D49" w:rsidRDefault="001E4D49" w:rsidP="0013665A">
            <w:pPr>
              <w:rPr>
                <w:b/>
                <w:bCs/>
              </w:rPr>
            </w:pPr>
            <w:r>
              <w:rPr>
                <w:b/>
                <w:bCs/>
              </w:rPr>
              <w:t>25</w:t>
            </w:r>
          </w:p>
        </w:tc>
        <w:tc>
          <w:tcPr>
            <w:tcW w:w="360" w:type="dxa"/>
          </w:tcPr>
          <w:p w14:paraId="55E13178" w14:textId="6E002F73" w:rsidR="001E4D49" w:rsidRDefault="009B041A" w:rsidP="0013665A">
            <w:pPr>
              <w:rPr>
                <w:b/>
                <w:bCs/>
              </w:rPr>
            </w:pPr>
            <w:r w:rsidRPr="0050140B">
              <w:rPr>
                <w:rFonts w:ascii="Segoe UI Emoji" w:hAnsi="Segoe UI Emoji" w:cs="Segoe UI Emoji"/>
              </w:rPr>
              <w:t>✅</w:t>
            </w:r>
          </w:p>
        </w:tc>
      </w:tr>
      <w:tr w:rsidR="001E4D49" w14:paraId="42A8EC02" w14:textId="77777777" w:rsidTr="0013665A">
        <w:tc>
          <w:tcPr>
            <w:tcW w:w="360" w:type="dxa"/>
          </w:tcPr>
          <w:p w14:paraId="4B241D5F" w14:textId="77777777" w:rsidR="001E4D49" w:rsidRDefault="001E4D49" w:rsidP="0013665A">
            <w:pPr>
              <w:rPr>
                <w:b/>
                <w:bCs/>
              </w:rPr>
            </w:pPr>
            <w:r>
              <w:rPr>
                <w:b/>
                <w:bCs/>
              </w:rPr>
              <w:t>26</w:t>
            </w:r>
          </w:p>
        </w:tc>
        <w:tc>
          <w:tcPr>
            <w:tcW w:w="360" w:type="dxa"/>
          </w:tcPr>
          <w:p w14:paraId="43878FEA" w14:textId="4A73D77D" w:rsidR="001E4D49" w:rsidRDefault="00B26FE1" w:rsidP="0013665A">
            <w:pPr>
              <w:rPr>
                <w:b/>
                <w:bCs/>
              </w:rPr>
            </w:pPr>
            <w:r w:rsidRPr="0050140B">
              <w:rPr>
                <w:rFonts w:ascii="Segoe UI Emoji" w:hAnsi="Segoe UI Emoji" w:cs="Segoe UI Emoji"/>
              </w:rPr>
              <w:t>✅</w:t>
            </w:r>
          </w:p>
        </w:tc>
      </w:tr>
      <w:tr w:rsidR="001E4D49" w14:paraId="05FD4F2A" w14:textId="77777777" w:rsidTr="0013665A">
        <w:tc>
          <w:tcPr>
            <w:tcW w:w="360" w:type="dxa"/>
          </w:tcPr>
          <w:p w14:paraId="6572E70F" w14:textId="77777777" w:rsidR="001E4D49" w:rsidRDefault="001E4D49" w:rsidP="0013665A">
            <w:pPr>
              <w:rPr>
                <w:b/>
                <w:bCs/>
              </w:rPr>
            </w:pPr>
            <w:r>
              <w:rPr>
                <w:b/>
                <w:bCs/>
              </w:rPr>
              <w:t>27</w:t>
            </w:r>
          </w:p>
        </w:tc>
        <w:tc>
          <w:tcPr>
            <w:tcW w:w="360" w:type="dxa"/>
          </w:tcPr>
          <w:p w14:paraId="04171E98" w14:textId="591EA04A" w:rsidR="001E4D49" w:rsidRDefault="00B26FE1" w:rsidP="0013665A">
            <w:pPr>
              <w:rPr>
                <w:b/>
                <w:bCs/>
              </w:rPr>
            </w:pPr>
            <w:r w:rsidRPr="0050140B">
              <w:rPr>
                <w:rFonts w:ascii="Segoe UI Emoji" w:hAnsi="Segoe UI Emoji" w:cs="Segoe UI Emoji"/>
              </w:rPr>
              <w:t>✅</w:t>
            </w:r>
          </w:p>
        </w:tc>
      </w:tr>
      <w:tr w:rsidR="001E4D49" w14:paraId="6E9FDFA0" w14:textId="77777777" w:rsidTr="0013665A">
        <w:tc>
          <w:tcPr>
            <w:tcW w:w="360" w:type="dxa"/>
          </w:tcPr>
          <w:p w14:paraId="61D2BC99" w14:textId="77777777" w:rsidR="001E4D49" w:rsidRDefault="001E4D49" w:rsidP="0013665A">
            <w:pPr>
              <w:rPr>
                <w:b/>
                <w:bCs/>
              </w:rPr>
            </w:pPr>
            <w:r>
              <w:rPr>
                <w:b/>
                <w:bCs/>
              </w:rPr>
              <w:t>28</w:t>
            </w:r>
          </w:p>
        </w:tc>
        <w:tc>
          <w:tcPr>
            <w:tcW w:w="360" w:type="dxa"/>
          </w:tcPr>
          <w:p w14:paraId="6C9A1837" w14:textId="06F81479" w:rsidR="001E4D49" w:rsidRDefault="00B26FE1" w:rsidP="0013665A">
            <w:pPr>
              <w:rPr>
                <w:b/>
                <w:bCs/>
              </w:rPr>
            </w:pPr>
            <w:r w:rsidRPr="0050140B">
              <w:rPr>
                <w:rFonts w:ascii="Segoe UI Emoji" w:hAnsi="Segoe UI Emoji" w:cs="Segoe UI Emoji"/>
              </w:rPr>
              <w:t>✅</w:t>
            </w:r>
          </w:p>
        </w:tc>
      </w:tr>
      <w:tr w:rsidR="001E4D49" w14:paraId="10342924" w14:textId="77777777" w:rsidTr="0013665A">
        <w:tc>
          <w:tcPr>
            <w:tcW w:w="360" w:type="dxa"/>
          </w:tcPr>
          <w:p w14:paraId="065301D4" w14:textId="77777777" w:rsidR="001E4D49" w:rsidRDefault="001E4D49" w:rsidP="0013665A">
            <w:pPr>
              <w:rPr>
                <w:b/>
                <w:bCs/>
              </w:rPr>
            </w:pPr>
            <w:r>
              <w:rPr>
                <w:b/>
                <w:bCs/>
              </w:rPr>
              <w:t>29</w:t>
            </w:r>
          </w:p>
        </w:tc>
        <w:tc>
          <w:tcPr>
            <w:tcW w:w="360" w:type="dxa"/>
          </w:tcPr>
          <w:p w14:paraId="3979C981" w14:textId="76361469" w:rsidR="001E4D49" w:rsidRDefault="00B26FE1" w:rsidP="0013665A">
            <w:pPr>
              <w:rPr>
                <w:b/>
                <w:bCs/>
              </w:rPr>
            </w:pPr>
            <w:r w:rsidRPr="0050140B">
              <w:rPr>
                <w:rFonts w:ascii="Segoe UI Emoji" w:hAnsi="Segoe UI Emoji" w:cs="Segoe UI Emoji"/>
              </w:rPr>
              <w:t>✅</w:t>
            </w:r>
          </w:p>
        </w:tc>
      </w:tr>
      <w:tr w:rsidR="001E4D49" w14:paraId="2BEAB187" w14:textId="77777777" w:rsidTr="0013665A">
        <w:tc>
          <w:tcPr>
            <w:tcW w:w="360" w:type="dxa"/>
          </w:tcPr>
          <w:p w14:paraId="3C1B044C" w14:textId="77777777" w:rsidR="001E4D49" w:rsidRDefault="001E4D49" w:rsidP="0013665A">
            <w:pPr>
              <w:rPr>
                <w:b/>
                <w:bCs/>
              </w:rPr>
            </w:pPr>
            <w:r>
              <w:rPr>
                <w:b/>
                <w:bCs/>
              </w:rPr>
              <w:t>30</w:t>
            </w:r>
          </w:p>
        </w:tc>
        <w:tc>
          <w:tcPr>
            <w:tcW w:w="360" w:type="dxa"/>
          </w:tcPr>
          <w:p w14:paraId="7380B69E" w14:textId="13B9F1AA" w:rsidR="001E4D49" w:rsidRDefault="00B26FE1" w:rsidP="0013665A">
            <w:pPr>
              <w:rPr>
                <w:b/>
                <w:bCs/>
              </w:rPr>
            </w:pPr>
            <w:r w:rsidRPr="0050140B">
              <w:rPr>
                <w:rFonts w:ascii="Segoe UI Emoji" w:hAnsi="Segoe UI Emoji" w:cs="Segoe UI Emoji"/>
              </w:rPr>
              <w:t>✅</w:t>
            </w:r>
          </w:p>
        </w:tc>
      </w:tr>
      <w:tr w:rsidR="001E4D49" w14:paraId="1B4AE8F0" w14:textId="77777777" w:rsidTr="0013665A">
        <w:tc>
          <w:tcPr>
            <w:tcW w:w="360" w:type="dxa"/>
          </w:tcPr>
          <w:p w14:paraId="65A951B2" w14:textId="77777777" w:rsidR="001E4D49" w:rsidRDefault="001E4D49" w:rsidP="0013665A">
            <w:pPr>
              <w:rPr>
                <w:b/>
                <w:bCs/>
              </w:rPr>
            </w:pPr>
            <w:r>
              <w:rPr>
                <w:b/>
                <w:bCs/>
              </w:rPr>
              <w:t>31</w:t>
            </w:r>
          </w:p>
        </w:tc>
        <w:tc>
          <w:tcPr>
            <w:tcW w:w="360" w:type="dxa"/>
          </w:tcPr>
          <w:p w14:paraId="2BB008B6" w14:textId="5F78C16D" w:rsidR="001E4D49" w:rsidRDefault="00B26FE1" w:rsidP="0013665A">
            <w:pPr>
              <w:rPr>
                <w:b/>
                <w:bCs/>
              </w:rPr>
            </w:pPr>
            <w:r w:rsidRPr="0050140B">
              <w:rPr>
                <w:rFonts w:ascii="Segoe UI Emoji" w:hAnsi="Segoe UI Emoji" w:cs="Segoe UI Emoji"/>
              </w:rPr>
              <w:t>✅</w:t>
            </w:r>
          </w:p>
        </w:tc>
      </w:tr>
    </w:tbl>
    <w:p w14:paraId="2E2E348F" w14:textId="77777777" w:rsidR="001E4D49" w:rsidRDefault="001E4D49" w:rsidP="009A062F"/>
    <w:p w14:paraId="7B9EA911" w14:textId="782B3F74" w:rsidR="009A062F" w:rsidRDefault="009A062F" w:rsidP="009A062F">
      <w:r>
        <w:t>Comment 1</w:t>
      </w:r>
    </w:p>
    <w:p w14:paraId="0645DA68" w14:textId="77777777" w:rsidR="009A062F" w:rsidRDefault="009A062F" w:rsidP="009A062F">
      <w:r>
        <w:t>INCONSISTENCY IN THE "WOMAN WORKS" VARIABLE (APPENDIX A / SEC 5.2)</w:t>
      </w:r>
    </w:p>
    <w:p w14:paraId="4DFFED80" w14:textId="77777777" w:rsidR="009A062F" w:rsidRDefault="009A062F" w:rsidP="009A062F">
      <w:r>
        <w:t>"Intra-household inequality (1867) | 1990 | Woman works. Could you tell me if you currently have paid employment? Yes, No, No answer. |</w:t>
      </w:r>
    </w:p>
    <w:p w14:paraId="6E47181F" w14:textId="77777777" w:rsidR="009A062F" w:rsidRDefault="009A062F" w:rsidP="009A062F">
      <w:r>
        <w:lastRenderedPageBreak/>
        <w:t>| Intra-household inequality (1867) | 1990 | Couple's stability: Wife works. Now I am going to read you a series of attitudes and situations that some people believe contribute to a happy marriage."</w:t>
      </w:r>
    </w:p>
    <w:p w14:paraId="065F14B6" w14:textId="77777777" w:rsidR="009A062F" w:rsidRDefault="009A062F" w:rsidP="009A062F">
      <w:r>
        <w:t>Message: The item “Woman works” plotted in Figure 3 is drawn from the question “Could you tell me if you currently have paid employment?” (Appendix A2).  This is a factual self-report of the respondent’s labour-force status, not an attitudinal measure.  Section 5.2, however, introduces Figure 3 as depicting beliefs and groups “Woman works” with explicitly normative items such as “Couple’s stability: Wife works”.  As a result the variable is mis-classified, and the text does not alert readers that Figure 3 contains one behavioural outcome.  Moreover, the positive (marginally significant) coefficient for “Woman works” in Figure 3 sits awkwardly alongside the null effects on employment reported earlier in Table B6, without explanation of the differing survey years or specifications.  Clarifying that “Woman works” is a current-employment variable and briefly reconciling its 1990-only estimate with the pooled results in Table B6 would remove this inconsistency and strengthen the mechanism discussion.</w:t>
      </w:r>
    </w:p>
    <w:p w14:paraId="042F773C" w14:textId="77777777" w:rsidR="009A062F" w:rsidRDefault="009A062F" w:rsidP="009A062F">
      <w:r>
        <w:t>----------------------------------------</w:t>
      </w:r>
    </w:p>
    <w:p w14:paraId="45B77E1D" w14:textId="74DA79A0" w:rsidR="009A062F" w:rsidRDefault="009A062F" w:rsidP="009A062F">
      <w:r>
        <w:t>Comment 2</w:t>
      </w:r>
      <w:r w:rsidR="00FB3828" w:rsidRPr="0050140B">
        <w:rPr>
          <w:rFonts w:ascii="Segoe UI Emoji" w:hAnsi="Segoe UI Emoji" w:cs="Segoe UI Emoji"/>
        </w:rPr>
        <w:t>✅</w:t>
      </w:r>
    </w:p>
    <w:p w14:paraId="33997B29" w14:textId="77777777" w:rsidR="009A062F" w:rsidRDefault="009A062F" w:rsidP="009A062F">
      <w:r>
        <w:t>INCONSISTENT DEFINITIONS OF TREATMENT COHORTS IN SECTION 4</w:t>
      </w:r>
    </w:p>
    <w:p w14:paraId="5BCEAE90" w14:textId="77777777" w:rsidR="009A062F" w:rsidRDefault="009A062F" w:rsidP="009A062F">
      <w:r>
        <w:t>"The dummy variable 1930/1938 is equal to 1 if woman i was born between 1930 and 1939; the associated coefficient $\beta_{1}$ captures the effect of partial exposure to the reform on fertility outcomes, relative to the omitted category of women born between 1920 and 1929. Similarly, the dummy variable 1939/1950 equals 1 if woman i was born between 1940 and 1950, and the coefficient $\beta_{2}$ estimates the effect of full exposure to the reform on fertility outcomes."</w:t>
      </w:r>
    </w:p>
    <w:p w14:paraId="10ADDD74" w14:textId="77777777" w:rsidR="009A062F" w:rsidRDefault="009A062F" w:rsidP="009A062F">
      <w:r>
        <w:t>Message: The text defining the treatment dummies gives 1930-1939 for the “partial” indicator and 1940-1950 for the “full” indicator, whereas the surrounding paragraph (and every table caption that follows) consistently uses 1930-1938 and 1939-1950.  This mismatch makes it unclear which cohorts are actually assigned to each dummy in Equation 1 and should be corrected to avoid confusion.</w:t>
      </w:r>
    </w:p>
    <w:p w14:paraId="3B00DF7A" w14:textId="5084E424" w:rsidR="0001044B" w:rsidRDefault="0001044B" w:rsidP="009A062F">
      <w:pPr>
        <w:rPr>
          <w:color w:val="3A7C22" w:themeColor="accent6" w:themeShade="BF"/>
        </w:rPr>
      </w:pPr>
      <w:r w:rsidRPr="0001044B">
        <w:rPr>
          <w:color w:val="3A7C22" w:themeColor="accent6" w:themeShade="BF"/>
        </w:rPr>
        <w:t>The dummy variable \textit{1930/1938} is equal to 1 if woman $i$ was born between 1930 and 1938;</w:t>
      </w:r>
    </w:p>
    <w:p w14:paraId="17AF6789" w14:textId="77777777" w:rsidR="0001044B" w:rsidRDefault="0001044B" w:rsidP="009A062F">
      <w:pPr>
        <w:rPr>
          <w:color w:val="3A7C22" w:themeColor="accent6" w:themeShade="BF"/>
        </w:rPr>
      </w:pPr>
    </w:p>
    <w:p w14:paraId="5823143C" w14:textId="6A645987" w:rsidR="0001044B" w:rsidRPr="0001044B" w:rsidRDefault="0001044B" w:rsidP="009A062F">
      <w:pPr>
        <w:rPr>
          <w:color w:val="3A7C22" w:themeColor="accent6" w:themeShade="BF"/>
        </w:rPr>
      </w:pPr>
      <w:r w:rsidRPr="0001044B">
        <w:rPr>
          <w:color w:val="3A7C22" w:themeColor="accent6" w:themeShade="BF"/>
        </w:rPr>
        <w:lastRenderedPageBreak/>
        <w:t>Similarly, the dummy variable \textit{1939/1950} equals 1 if woman $i$ was born between 1939 and 1950, and the coefficient $\beta_2$ estimates the effect of full exposure to the reform on fertility outcomes.</w:t>
      </w:r>
    </w:p>
    <w:p w14:paraId="47AFD8F8" w14:textId="77777777" w:rsidR="009A062F" w:rsidRDefault="009A062F" w:rsidP="009A062F">
      <w:r>
        <w:t>----------------------------------------</w:t>
      </w:r>
    </w:p>
    <w:p w14:paraId="2E6739B4" w14:textId="74052DBF" w:rsidR="009A062F" w:rsidRDefault="009A062F" w:rsidP="009A062F">
      <w:r>
        <w:t>Comment 3</w:t>
      </w:r>
      <w:r w:rsidR="00B35C91" w:rsidRPr="0050140B">
        <w:rPr>
          <w:rFonts w:ascii="Segoe UI Emoji" w:hAnsi="Segoe UI Emoji" w:cs="Segoe UI Emoji"/>
        </w:rPr>
        <w:t>✅</w:t>
      </w:r>
    </w:p>
    <w:p w14:paraId="08880495" w14:textId="77777777" w:rsidR="009A062F" w:rsidRDefault="009A062F" w:rsidP="009A062F">
      <w:r>
        <w:t>CLARIFYING THE INDIVIDUAL-LEVEL EMPIRICAL STRATEGY IN THE INTRODUCTION</w:t>
      </w:r>
    </w:p>
    <w:p w14:paraId="422B4C0D" w14:textId="77777777" w:rsidR="009A062F" w:rsidRDefault="009A062F" w:rsidP="009A062F">
      <w:r>
        <w:t>"In particular, we compare fertility choices between women born in the 1920s, who completed primary school before the reform, in the 1930s, who were partially exposed to the reform, and from 1940 to 1950, who attended the entire primary education cycle after the reform. Therefore, our intention-to-treat (ITT) variable measures the average effect of (partial or full) exposure to the reform."</w:t>
      </w:r>
    </w:p>
    <w:p w14:paraId="41DC62DD" w14:textId="77777777" w:rsidR="009A062F" w:rsidRDefault="009A062F" w:rsidP="009A062F">
      <w:r>
        <w:t>Message: A reader coming straight from the Introduction may infer that the analysis pools all treated cohorts, because the text speaks of “our ITT variable” capturing the average effect of any exposure.  Later sections, however, estimate two separate coefficients—one for partially exposed (1930-38) and one for fully exposed (1939/40-50) women.  It would help to flag in the Introduction that the ITT indicator is split into two dummies in the main specification.</w:t>
      </w:r>
    </w:p>
    <w:p w14:paraId="3EC98889" w14:textId="3AE5D63B" w:rsidR="009A062F" w:rsidRPr="00BE529F" w:rsidRDefault="00BE529F" w:rsidP="009A062F">
      <w:pPr>
        <w:rPr>
          <w:color w:val="3A7C22" w:themeColor="accent6" w:themeShade="BF"/>
        </w:rPr>
      </w:pPr>
      <w:r w:rsidRPr="00BE529F">
        <w:rPr>
          <w:color w:val="3A7C22" w:themeColor="accent6" w:themeShade="BF"/>
        </w:rPr>
        <w:t>Therefore, our intention-to-treat (ITT) measure distinguishes between partial and full exposure to the reform.</w:t>
      </w:r>
    </w:p>
    <w:p w14:paraId="5487B7DA" w14:textId="77777777" w:rsidR="009A062F" w:rsidRDefault="009A062F" w:rsidP="009A062F">
      <w:r>
        <w:t>Relatedly, the Introduction places the fully treated group in the 1940-50 cohorts, whereas Equation (1) and several footnotes use 1939-50 (historically the correct boundary).  Aligning the cohort labels throughout the manuscript would avoid unnecessary confusion.</w:t>
      </w:r>
    </w:p>
    <w:p w14:paraId="5908AB8C" w14:textId="684CFBC0" w:rsidR="001E686E" w:rsidRPr="001E686E" w:rsidRDefault="001E686E" w:rsidP="009A062F">
      <w:pPr>
        <w:rPr>
          <w:color w:val="3A7C22" w:themeColor="accent6" w:themeShade="BF"/>
        </w:rPr>
      </w:pPr>
      <w:r w:rsidRPr="001E686E">
        <w:rPr>
          <w:color w:val="3A7C22" w:themeColor="accent6" w:themeShade="BF"/>
        </w:rPr>
        <w:t xml:space="preserve">In particular, we compare fertility choices between women born in the 1920s, who completed primary school before the reform, in the 1930s, who were partially exposed to the reform, and from </w:t>
      </w:r>
      <w:r w:rsidRPr="001E686E">
        <w:rPr>
          <w:b/>
          <w:bCs/>
          <w:color w:val="3A7C22" w:themeColor="accent6" w:themeShade="BF"/>
        </w:rPr>
        <w:t>1939</w:t>
      </w:r>
      <w:r w:rsidRPr="001E686E">
        <w:rPr>
          <w:color w:val="3A7C22" w:themeColor="accent6" w:themeShade="BF"/>
        </w:rPr>
        <w:t xml:space="preserve"> to 1950, who attended the entire primary education cycle after the reform.</w:t>
      </w:r>
    </w:p>
    <w:p w14:paraId="547DFC45" w14:textId="77777777" w:rsidR="009A062F" w:rsidRDefault="009A062F" w:rsidP="009A062F">
      <w:r>
        <w:t>----------------------------------------</w:t>
      </w:r>
    </w:p>
    <w:p w14:paraId="43E6489B" w14:textId="77777777" w:rsidR="009A062F" w:rsidRDefault="009A062F" w:rsidP="009A062F">
      <w:r>
        <w:t>Comment 4</w:t>
      </w:r>
    </w:p>
    <w:p w14:paraId="5CBAA242" w14:textId="77777777" w:rsidR="009A062F" w:rsidRDefault="009A062F" w:rsidP="009A062F">
      <w:r>
        <w:t>DESCRIPTION OF COHORT TRANSITIONS IN FIGURE 4</w:t>
      </w:r>
    </w:p>
    <w:p w14:paraId="4B96DC75" w14:textId="77777777" w:rsidR="009A062F" w:rsidRDefault="009A062F" w:rsidP="009A062F">
      <w:r>
        <w:t xml:space="preserve">"The lightest red line indicates the year when the youngest fertile age group (15-24) becomes entirely composed of partially exposed women; the medium red line corresponds to the point when the 15-24 group is fully treated and the 25-34 group is composed entirely </w:t>
      </w:r>
      <w:r>
        <w:lastRenderedPageBreak/>
        <w:t>of partially treated women; and finally, the darkest red line marks the year when the entire fertile population (ages 15-44) is composed exclusively of women either partially or fully exposed to the reform."</w:t>
      </w:r>
    </w:p>
    <w:p w14:paraId="5371EFF4" w14:textId="77777777" w:rsidR="009A062F" w:rsidRDefault="009A062F" w:rsidP="009A062F">
      <w:r>
        <w:t>Message: The cohort arithmetic described for the three vertical red lines cannot hold exactly with the cohort cut-offs specified elsewhere (partial = 1930-38; full = 1939-50).  In particular, no single year makes the 15-24 bracket entirely partially exposed, and the joint condition for the “medium” line is likewise impossible.  Re-wording the note to indicate approximate rather than exact transitions (or adjusting the cohort labels) would remove the inconsistency.</w:t>
      </w:r>
    </w:p>
    <w:p w14:paraId="45CA5CF1" w14:textId="77777777" w:rsidR="009A062F" w:rsidRDefault="009A062F" w:rsidP="009A062F">
      <w:r>
        <w:t>----------------------------------------</w:t>
      </w:r>
    </w:p>
    <w:p w14:paraId="14809A79" w14:textId="77777777" w:rsidR="009A062F" w:rsidRDefault="009A062F" w:rsidP="009A062F">
      <w:r>
        <w:t>Comment 5</w:t>
      </w:r>
    </w:p>
    <w:p w14:paraId="78914AE4" w14:textId="77777777" w:rsidR="009A062F" w:rsidRDefault="009A062F" w:rsidP="009A062F">
      <w:r>
        <w:t>INCORRECT JUSTIFICATION FOR NOT CLUSTERING STANDARD ERRORS</w:t>
      </w:r>
    </w:p>
    <w:p w14:paraId="1E8A0631" w14:textId="77777777" w:rsidR="009A062F" w:rsidRDefault="009A062F" w:rsidP="009A062F">
      <w:r>
        <w:t>"In facts, belief-related variables are only available in a single survey wave (1990), which precludes the inclusion of year or age-class fixed effects in the corresponding regressions. Similarly, standard errors cannot be clustered at the year-by-year-of-birth level and are instead adjusted for heteroskedasticity. As a result, this set of estimates should be interpreted as suggestive rather than causal."</w:t>
      </w:r>
    </w:p>
    <w:p w14:paraId="474F5923" w14:textId="77777777" w:rsidR="009A062F" w:rsidRDefault="009A062F" w:rsidP="009A062F">
      <w:r>
        <w:t>Message: The footnote states that, because the belief data come from a single 1990 survey wave, “standard errors cannot be clustered at the year-by-year-of-birth level.”  Technically, clustering by birth cohort remains feasible in a cross-section—even though the two-way cohort × survey-year scheme used elsewhere degenerates to one dimension.  If the concern is instead the small number of clusters (about thirty cohorts) or the presence of singleton clusters when the second dimension disappears, that rationale should be made explicit.  As written, the sentence may leave readers thinking that cohort clustering is mechanically impossible, which is not the case and could affect perceived reliability of the inference.</w:t>
      </w:r>
    </w:p>
    <w:p w14:paraId="16F0CD29" w14:textId="77777777" w:rsidR="009A062F" w:rsidRDefault="009A062F" w:rsidP="009A062F">
      <w:r>
        <w:t>----------------------------------------</w:t>
      </w:r>
    </w:p>
    <w:p w14:paraId="7C562532" w14:textId="213B824B" w:rsidR="009A062F" w:rsidRDefault="009A062F" w:rsidP="009A062F">
      <w:r>
        <w:t>Comment 6</w:t>
      </w:r>
      <w:r w:rsidR="00B9426C" w:rsidRPr="0050140B">
        <w:rPr>
          <w:rFonts w:ascii="Segoe UI Emoji" w:hAnsi="Segoe UI Emoji" w:cs="Segoe UI Emoji"/>
        </w:rPr>
        <w:t>✅</w:t>
      </w:r>
    </w:p>
    <w:p w14:paraId="4EA24D00" w14:textId="77777777" w:rsidR="009A062F" w:rsidRDefault="009A062F" w:rsidP="009A062F">
      <w:r>
        <w:t>INCONSISTENT COHORT DEFINITION IN TABLE NOTES</w:t>
      </w:r>
    </w:p>
    <w:p w14:paraId="5B88E5F0" w14:textId="77777777" w:rsidR="009A062F" w:rsidRDefault="009A062F" w:rsidP="009A062F">
      <w:r>
        <w:t>"1939/1950 is a dummy equal to 1 for women born between 1930 and 1938; 1939/1950 is a dummy equal to 1 for those born between 1940 and 1950. The omitted reference category includes women born between 1920 and 1929."</w:t>
      </w:r>
    </w:p>
    <w:p w14:paraId="0833D780" w14:textId="77777777" w:rsidR="009A062F" w:rsidRDefault="009A062F" w:rsidP="009A062F">
      <w:r>
        <w:lastRenderedPageBreak/>
        <w:t>Message: The notes to Tables B4 and B5 state that the “1939/1950” dummy equals 1 for women born 1940–1950, whereas the main text and other appendix tables define the same variable as 1939–1950.  Unless the 1939 cohort was intentionally excluded from those two robustness checks (which is neither explained nor reflected elsewhere), this looks like a typographical slip in the notes.  Please confirm the intended cohort span and correct the wording so it matches the rest of the paper.</w:t>
      </w:r>
    </w:p>
    <w:p w14:paraId="4F850109" w14:textId="77777777" w:rsidR="009A062F" w:rsidRDefault="009A062F" w:rsidP="009A062F">
      <w:r>
        <w:t>----------------------------------------</w:t>
      </w:r>
    </w:p>
    <w:p w14:paraId="6D4F18D0" w14:textId="1215D692" w:rsidR="009A062F" w:rsidRDefault="009A062F" w:rsidP="009A062F">
      <w:r>
        <w:t>Comment 7</w:t>
      </w:r>
      <w:r w:rsidR="00433FAD" w:rsidRPr="0050140B">
        <w:rPr>
          <w:rFonts w:ascii="Segoe UI Emoji" w:hAnsi="Segoe UI Emoji" w:cs="Segoe UI Emoji"/>
        </w:rPr>
        <w:t>✅</w:t>
      </w:r>
    </w:p>
    <w:p w14:paraId="25C066AD" w14:textId="77777777" w:rsidR="009A062F" w:rsidRDefault="009A062F" w:rsidP="009A062F">
      <w:r>
        <w:t>INCONSISTENT DEFINITION OF THE AGGREGATE TREATMENT VARIABLE</w:t>
      </w:r>
    </w:p>
    <w:p w14:paraId="01E86228" w14:textId="77777777" w:rsidR="009A062F" w:rsidRDefault="009A062F" w:rsidP="009A062F">
      <w:r>
        <w:t>"However, to investigate whether these individual-level effects aggregated into broader demographic shifts, the final part of the paper turns to historical census data and estimates a series of difference-in-differences specifications at the cohort-locality level. Here, the treated group is defined as the female population of primary school age as a fraction of total population in each locality in 1945."</w:t>
      </w:r>
    </w:p>
    <w:p w14:paraId="676B7F5F" w14:textId="77777777" w:rsidR="009A062F" w:rsidRDefault="009A062F" w:rsidP="009A062F">
      <w:r>
        <w:t>Message: The Introduction states that the locality-level treatment intensity—the share of school-age girls—is measured in 1945.  All subsequent sections (Data, Section 5.3, Equation 3, Table 2) make clear that the variable is constructed from 1940 census data, i.e., five years before the reform.  For consistency and to underline the pre-determined nature of the measure, the year in the Introduction should be corrected to 1940.</w:t>
      </w:r>
    </w:p>
    <w:p w14:paraId="4B283A50" w14:textId="77777777" w:rsidR="009A062F" w:rsidRDefault="009A062F" w:rsidP="009A062F">
      <w:r>
        <w:t>----------------------------------------</w:t>
      </w:r>
    </w:p>
    <w:p w14:paraId="2112988E" w14:textId="493F3EAB" w:rsidR="009A062F" w:rsidRDefault="009A062F" w:rsidP="009A062F">
      <w:r>
        <w:t>Comment 8</w:t>
      </w:r>
      <w:r w:rsidR="00110086" w:rsidRPr="0050140B">
        <w:rPr>
          <w:rFonts w:ascii="Segoe UI Emoji" w:hAnsi="Segoe UI Emoji" w:cs="Segoe UI Emoji"/>
        </w:rPr>
        <w:t>✅</w:t>
      </w:r>
    </w:p>
    <w:p w14:paraId="1CAB70C7" w14:textId="77777777" w:rsidR="009A062F" w:rsidRDefault="009A062F" w:rsidP="009A062F">
      <w:r>
        <w:t>CLAIM OF CAUSALITY FOR ATTITUDE CHANGES</w:t>
      </w:r>
    </w:p>
    <w:p w14:paraId="711AF067" w14:textId="77777777" w:rsidR="009A062F" w:rsidRDefault="009A062F" w:rsidP="009A062F">
      <w:r>
        <w:t>"This study generates four lessons for pro-natalist policy. […] Second, it provides causal evidence that state-led efforts to enshrine traditional roles can produce long-lasting changes in attitudes in the opposite direction."</w:t>
      </w:r>
    </w:p>
    <w:p w14:paraId="6DBF6EB7" w14:textId="77777777" w:rsidR="009A062F" w:rsidRDefault="009A062F" w:rsidP="009A062F">
      <w:r>
        <w:t>Message: I initially had trouble reconciling the conclusion with Section 5.2.  The main text (and footnote 24) describes the attitude results as “suggestive rather than causal,” because the beliefs data come from a single 1990 survey wave and cannot accommodate year or age-class fixed effects.  Yet the conclusion’s second “lesson” states that the paper “provides causal evidence” of attitude change.  Clarifying the wording in the conclusion so that it matches the more cautious language used in the mechanisms section would avoid giving readers the impression of an internal contradiction.</w:t>
      </w:r>
    </w:p>
    <w:p w14:paraId="0681F204" w14:textId="77777777" w:rsidR="009A062F" w:rsidRDefault="009A062F" w:rsidP="009A062F">
      <w:r>
        <w:lastRenderedPageBreak/>
        <w:t>----------------------------------------</w:t>
      </w:r>
    </w:p>
    <w:p w14:paraId="045C9ED9" w14:textId="3F50C884" w:rsidR="009A062F" w:rsidRDefault="009A062F" w:rsidP="009A062F">
      <w:r>
        <w:t>Comment 9</w:t>
      </w:r>
      <w:r w:rsidR="00955693">
        <w:t xml:space="preserve"> </w:t>
      </w:r>
      <w:r w:rsidR="009C10B8" w:rsidRPr="0050140B">
        <w:rPr>
          <w:rFonts w:ascii="Segoe UI Emoji" w:hAnsi="Segoe UI Emoji" w:cs="Segoe UI Emoji"/>
        </w:rPr>
        <w:t>✅</w:t>
      </w:r>
    </w:p>
    <w:p w14:paraId="620E5908" w14:textId="77777777" w:rsidR="009A062F" w:rsidRDefault="009A062F" w:rsidP="009A062F">
      <w:r>
        <w:t>UNCLEAR DISTINCTION IN CURRICULUM CATEGORIES</w:t>
      </w:r>
    </w:p>
    <w:p w14:paraId="028B9C79" w14:textId="77777777" w:rsidR="009A062F" w:rsidRDefault="009A062F" w:rsidP="009A062F">
      <w:r>
        <w:t>"The law also established the compulsory subjects to be taught in school: core subjects (such as writing and arithmetic), formative subjects (such as mathematics), and complementary subjects (such as feminine tasks, including domestic economy and family life education; see Toboso Sánchez, 2009, p. 215)."</w:t>
      </w:r>
    </w:p>
    <w:p w14:paraId="00E5F7EA" w14:textId="77777777" w:rsidR="009A062F" w:rsidRDefault="009A062F" w:rsidP="009A062F">
      <w:r>
        <w:t>Message: The difference between “core subjects” and “formative subjects” is not apparent to readers unfamiliar with Spanish</w:t>
      </w:r>
      <w:r>
        <w:rPr>
          <w:rFonts w:ascii="Cambria Math" w:hAnsi="Cambria Math" w:cs="Cambria Math"/>
        </w:rPr>
        <w:t>‐</w:t>
      </w:r>
      <w:r>
        <w:t>law terminology, especially since arithmetic is listed under one category and mathematics under the other.  A brief explanation of how the 1945 law defined these two labels</w:t>
      </w:r>
      <w:r>
        <w:rPr>
          <w:rFonts w:ascii="Aptos" w:hAnsi="Aptos" w:cs="Aptos"/>
        </w:rPr>
        <w:t>—</w:t>
      </w:r>
      <w:r>
        <w:t>and whether the distinction had practical consequences for girls versus boys</w:t>
      </w:r>
      <w:r>
        <w:rPr>
          <w:rFonts w:ascii="Aptos" w:hAnsi="Aptos" w:cs="Aptos"/>
        </w:rPr>
        <w:t>—</w:t>
      </w:r>
      <w:r>
        <w:t>would clarify an important element of the curriculum.</w:t>
      </w:r>
    </w:p>
    <w:p w14:paraId="1E0D930B" w14:textId="7AE57B75" w:rsidR="005413C3" w:rsidRPr="009C10B8" w:rsidRDefault="005413C3" w:rsidP="009A062F">
      <w:pPr>
        <w:rPr>
          <w:color w:val="3A7C22" w:themeColor="accent6" w:themeShade="BF"/>
        </w:rPr>
      </w:pPr>
      <w:r w:rsidRPr="009C10B8">
        <w:rPr>
          <w:color w:val="3A7C22" w:themeColor="accent6" w:themeShade="BF"/>
        </w:rPr>
        <w:t xml:space="preserve"> </w:t>
      </w:r>
      <w:r w:rsidR="009C10B8">
        <w:rPr>
          <w:color w:val="3A7C22" w:themeColor="accent6" w:themeShade="BF"/>
        </w:rPr>
        <w:t xml:space="preserve">IN FOOTNOTE: </w:t>
      </w:r>
      <w:r w:rsidR="009C10B8" w:rsidRPr="009C10B8">
        <w:rPr>
          <w:color w:val="3A7C22" w:themeColor="accent6" w:themeShade="BF"/>
        </w:rPr>
        <w:t>The distinction between arithmetic and mathematics  reflected the regime’s view of the former as a practical skill and the latter as part of intellectual and moral training.</w:t>
      </w:r>
    </w:p>
    <w:p w14:paraId="5608BA67" w14:textId="77777777" w:rsidR="009A062F" w:rsidRDefault="009A062F" w:rsidP="009A062F">
      <w:r>
        <w:t>----------------------------------------</w:t>
      </w:r>
    </w:p>
    <w:p w14:paraId="6C356AF9" w14:textId="3F5926E0" w:rsidR="009A062F" w:rsidRDefault="009A062F" w:rsidP="009A062F">
      <w:r>
        <w:t>Comment 10</w:t>
      </w:r>
      <w:r w:rsidR="009C6B87" w:rsidRPr="0050140B">
        <w:rPr>
          <w:rFonts w:ascii="Segoe UI Emoji" w:hAnsi="Segoe UI Emoji" w:cs="Segoe UI Emoji"/>
        </w:rPr>
        <w:t>✅</w:t>
      </w:r>
    </w:p>
    <w:p w14:paraId="6EE4361F" w14:textId="77777777" w:rsidR="009A062F" w:rsidRDefault="009A062F" w:rsidP="009A062F">
      <w:r>
        <w:t>MISMATCH BETWEEN TABLE 1 LABELS AND CAPTION</w:t>
      </w:r>
    </w:p>
    <w:p w14:paraId="65E6DFD7" w14:textId="77777777" w:rsidR="009A062F" w:rsidRDefault="009A062F" w:rsidP="009A062F">
      <w:r>
        <w:t xml:space="preserve">"Table 1 …  </w:t>
      </w:r>
    </w:p>
    <w:p w14:paraId="65262BF2" w14:textId="77777777" w:rsidR="009A062F" w:rsidRDefault="009A062F" w:rsidP="009A062F">
      <w:r>
        <w:t xml:space="preserve">| 1930/1939 | …  </w:t>
      </w:r>
    </w:p>
    <w:p w14:paraId="0470D1E3" w14:textId="77777777" w:rsidR="009A062F" w:rsidRDefault="009A062F" w:rsidP="009A062F">
      <w:r>
        <w:t xml:space="preserve">| 1940/1950 | …  </w:t>
      </w:r>
    </w:p>
    <w:p w14:paraId="7730A550" w14:textId="77777777" w:rsidR="009A062F" w:rsidRDefault="009A062F" w:rsidP="009A062F">
      <w:r>
        <w:t xml:space="preserve">…  </w:t>
      </w:r>
    </w:p>
    <w:p w14:paraId="2042E294" w14:textId="77777777" w:rsidR="009A062F" w:rsidRDefault="009A062F" w:rsidP="009A062F">
      <w:r>
        <w:t>CIS barometer surveys. 1930/1938 is a dummy equal to 1 for women born between 1930 and 1938; 1939/1950 is a dummy equal to 1 for women born between 1939 and 1950."</w:t>
      </w:r>
    </w:p>
    <w:p w14:paraId="7A202D30" w14:textId="77777777" w:rsidR="009A062F" w:rsidRDefault="009A062F" w:rsidP="009A062F">
      <w:r>
        <w:t>Message: The row headings inside Table 1 (“1930/1939” and “1940/1950”) do not match the definitions stated in the caption (1930-1938 and 1939-1950).  Because the captioned definitions are used elsewhere in the paper and fit the logic of the reform’s timing, the table labels are almost certainly incorrect and should be aligned with the caption.</w:t>
      </w:r>
    </w:p>
    <w:p w14:paraId="011CB9DC" w14:textId="6C1D6D82" w:rsidR="00B343DA" w:rsidRPr="00B343DA" w:rsidRDefault="00B343DA" w:rsidP="009A062F">
      <w:pPr>
        <w:rPr>
          <w:color w:val="3A7C22" w:themeColor="accent6" w:themeShade="BF"/>
        </w:rPr>
      </w:pPr>
      <w:r w:rsidRPr="00B343DA">
        <w:rPr>
          <w:color w:val="3A7C22" w:themeColor="accent6" w:themeShade="BF"/>
        </w:rPr>
        <w:t>Table (stata code was correct…) changed</w:t>
      </w:r>
      <w:r>
        <w:rPr>
          <w:color w:val="3A7C22" w:themeColor="accent6" w:themeShade="BF"/>
        </w:rPr>
        <w:t>: 1930/1938 1939/1950</w:t>
      </w:r>
    </w:p>
    <w:p w14:paraId="289F42EE" w14:textId="77777777" w:rsidR="009A062F" w:rsidRDefault="009A062F" w:rsidP="009A062F">
      <w:r>
        <w:t>----------------------------------------</w:t>
      </w:r>
    </w:p>
    <w:p w14:paraId="634F2196" w14:textId="405F5855" w:rsidR="009A062F" w:rsidRDefault="009A062F" w:rsidP="009A062F">
      <w:r>
        <w:lastRenderedPageBreak/>
        <w:t>Comment 11</w:t>
      </w:r>
      <w:r w:rsidR="003721D7" w:rsidRPr="0050140B">
        <w:rPr>
          <w:rFonts w:ascii="Segoe UI Emoji" w:hAnsi="Segoe UI Emoji" w:cs="Segoe UI Emoji"/>
        </w:rPr>
        <w:t>✅</w:t>
      </w:r>
    </w:p>
    <w:p w14:paraId="3BE4847C" w14:textId="77777777" w:rsidR="009A062F" w:rsidRDefault="009A062F" w:rsidP="009A062F">
      <w:r>
        <w:t>EXTERNAL VALIDITY OF POLICY IMPLICATIONS</w:t>
      </w:r>
    </w:p>
    <w:p w14:paraId="5862E969" w14:textId="77777777" w:rsidR="009A062F" w:rsidRDefault="009A062F" w:rsidP="009A062F">
      <w:r>
        <w:t>"The evidence presented here challenges this narrative. … In modern low-fertility settings, where women often bear the highest costs of childbirth, attempts to reinforce traditional gender roles are likely to backfire."</w:t>
      </w:r>
    </w:p>
    <w:p w14:paraId="77B0CC93" w14:textId="77777777" w:rsidR="009A062F" w:rsidRDefault="009A062F" w:rsidP="009A062F">
      <w:r>
        <w:t>Message: At first the strong modern-policy language in the conclusion (“likely to backfire” in today’s Western democracies) made me wonder how directly the Franco-era evidence can be applied to very different institutional and cultural environments.  The paper would read more convincingly if it briefly spelled out the specific features—such as coerciveness, existing gender norms, or media pluralism—that would have to be present for the historical backlash mechanism to operate in contemporary settings.</w:t>
      </w:r>
    </w:p>
    <w:p w14:paraId="6515A95F" w14:textId="0B8CB928" w:rsidR="003721D7" w:rsidRPr="003721D7" w:rsidRDefault="003721D7" w:rsidP="009A062F">
      <w:pPr>
        <w:rPr>
          <w:color w:val="3A7C22" w:themeColor="accent6" w:themeShade="BF"/>
        </w:rPr>
      </w:pPr>
      <w:r w:rsidRPr="003721D7">
        <w:rPr>
          <w:color w:val="3A7C22" w:themeColor="accent6" w:themeShade="BF"/>
        </w:rPr>
        <w:t>In modern low-fertility settings, where women often bear the highest costs of childbirth,  attempts to reinforce traditional gender roles may trigger resistance, especially when implemented through coercive policies in societies with limited gender equality or media pluralism.</w:t>
      </w:r>
    </w:p>
    <w:p w14:paraId="5D84CC5E" w14:textId="77777777" w:rsidR="009A062F" w:rsidRDefault="009A062F" w:rsidP="009A062F">
      <w:r>
        <w:t>----------------------------------------</w:t>
      </w:r>
    </w:p>
    <w:p w14:paraId="1EC8E0EC" w14:textId="77777777" w:rsidR="009A062F" w:rsidRDefault="009A062F" w:rsidP="009A062F">
      <w:r>
        <w:t>Comment 12</w:t>
      </w:r>
    </w:p>
    <w:p w14:paraId="389BC59B" w14:textId="77777777" w:rsidR="009A062F" w:rsidRDefault="009A062F" w:rsidP="009A062F">
      <w:r>
        <w:t>INTERPRETATION OF THE DISCRETE TREATMENT EFFECT MAGNITUDE</w:t>
      </w:r>
    </w:p>
    <w:p w14:paraId="40A50BD0" w14:textId="77777777" w:rsidR="009A062F" w:rsidRDefault="009A062F" w:rsidP="009A062F">
      <w:r>
        <w:t>"The discrete version of the treatment produces results that closely mirror those from the continuous specification, both in sign and statistical significance. The magnitude of the estimated effect is substantial: being above rather than below the median exposure reduces the number of live births by approximately 5,000 , or about $100 \%$ of the pre-reform average."</w:t>
      </w:r>
    </w:p>
    <w:p w14:paraId="16C2FC63" w14:textId="77777777" w:rsidR="009A062F" w:rsidRDefault="009A062F" w:rsidP="009A062F"/>
    <w:p w14:paraId="515922ED" w14:textId="77777777" w:rsidR="009A062F" w:rsidRDefault="009A062F" w:rsidP="009A062F">
      <w:r>
        <w:t>Message: I initially found the phrase “about 100 % of the pre-reform average” difficult to parse because it seems to imply that births were virtually eliminated in above-median areas. After working through the earlier continuous-treatment estimates, I realized that the above-median dummy corresponds to roughly an 11 percentage-point difference in exposure; multiplying this gap by the –460 coefficient in Table 2 indeed yields the –5,100 figure. Stating this linkage (or explicitly mentioning the exposure-gap size) would make the robustness discussion easier to follow for readers who do not perform the calculation themselves.</w:t>
      </w:r>
    </w:p>
    <w:p w14:paraId="639DCA71" w14:textId="77777777" w:rsidR="009A062F" w:rsidRDefault="009A062F" w:rsidP="009A062F"/>
    <w:p w14:paraId="376C43EB" w14:textId="77777777" w:rsidR="009A062F" w:rsidRDefault="009A062F" w:rsidP="009A062F">
      <w:r>
        <w:lastRenderedPageBreak/>
        <w:t>----------------------------------------</w:t>
      </w:r>
    </w:p>
    <w:p w14:paraId="0966B560" w14:textId="3A44EBB2" w:rsidR="009A062F" w:rsidRDefault="009A062F" w:rsidP="009A062F">
      <w:r>
        <w:t>Comment 13</w:t>
      </w:r>
      <w:r w:rsidR="00146FA4" w:rsidRPr="0050140B">
        <w:rPr>
          <w:rFonts w:ascii="Segoe UI Emoji" w:hAnsi="Segoe UI Emoji" w:cs="Segoe UI Emoji"/>
        </w:rPr>
        <w:t>✅</w:t>
      </w:r>
    </w:p>
    <w:p w14:paraId="393E0C15" w14:textId="77777777" w:rsidR="009A062F" w:rsidRDefault="009A062F" w:rsidP="009A062F">
      <w:r>
        <w:t>TABLE B3 NOTE ON BOOTSTRAP P-VALUES</w:t>
      </w:r>
    </w:p>
    <w:p w14:paraId="05C32C1B" w14:textId="77777777" w:rsidR="009A062F" w:rsidRDefault="009A062F" w:rsidP="009A062F">
      <w:r>
        <w:t>"Standard errors are robust to heteroskedasticity and clustered at the birth cohort level (col. 1 and 3), or using a two-way clustering procedure both at the birth cohort and survey year level (col. 2 and 4 ). Column 2 and 4 also report the p-value obtained using wild bootstrap clustering with 9999 repetitions."</w:t>
      </w:r>
    </w:p>
    <w:p w14:paraId="2B7FAA6D" w14:textId="77777777" w:rsidR="009A062F" w:rsidRDefault="009A062F" w:rsidP="009A062F"/>
    <w:p w14:paraId="5BB9EE4A" w14:textId="77777777" w:rsidR="009A062F" w:rsidRDefault="009A062F" w:rsidP="009A062F">
      <w:r>
        <w:t>Message: The explanatory note to Table B3 contradicts both the table entries and the description in Section 5.1.  The wild-bootstrap p-values are actually reported for the one-way cohort-clustered specifications (columns 1 and 3), not for the two-way clustered specifications in columns 2 and 4.  Revising “Column 2 and 4” to “Column 1 and 3” would remove the inconsistency and prevent confusion.</w:t>
      </w:r>
    </w:p>
    <w:p w14:paraId="06F76CCB" w14:textId="1DC4F61C" w:rsidR="009A062F" w:rsidRPr="00E65262" w:rsidRDefault="00E65262" w:rsidP="009A062F">
      <w:pPr>
        <w:rPr>
          <w:color w:val="3A7C22" w:themeColor="accent6" w:themeShade="BF"/>
        </w:rPr>
      </w:pPr>
      <w:r w:rsidRPr="00E65262">
        <w:rPr>
          <w:color w:val="3A7C22" w:themeColor="accent6" w:themeShade="BF"/>
        </w:rPr>
        <w:t>Columns 1 and 3 also report the p-value obtained using wild bootstrap clustering with 9999 repetitions.</w:t>
      </w:r>
    </w:p>
    <w:p w14:paraId="5D156E67" w14:textId="77777777" w:rsidR="009A062F" w:rsidRDefault="009A062F" w:rsidP="009A062F">
      <w:r>
        <w:t>----------------------------------------</w:t>
      </w:r>
    </w:p>
    <w:p w14:paraId="22E325A4" w14:textId="40D2B694" w:rsidR="009A062F" w:rsidRDefault="009A062F" w:rsidP="009A062F">
      <w:r>
        <w:t>Comment 14</w:t>
      </w:r>
      <w:r w:rsidR="003E0ADA" w:rsidRPr="0050140B">
        <w:rPr>
          <w:rFonts w:ascii="Segoe UI Emoji" w:hAnsi="Segoe UI Emoji" w:cs="Segoe UI Emoji"/>
        </w:rPr>
        <w:t>✅</w:t>
      </w:r>
    </w:p>
    <w:p w14:paraId="32EF15B2" w14:textId="77777777" w:rsidR="009A062F" w:rsidRDefault="009A062F" w:rsidP="009A062F">
      <w:r>
        <w:t>CONFIDENCE INTERVAL DESCRIPTION IN FIGURE 3 NOTE</w:t>
      </w:r>
    </w:p>
    <w:p w14:paraId="0267483A" w14:textId="77777777" w:rsidR="009A062F" w:rsidRDefault="009A062F" w:rsidP="009A062F">
      <w:r>
        <w:t>"Note: The figure shows the point estimates and the confidence intervals at $90 \%$ (i.e. widest spikes) and at $95 \%$ (i.e. least-wide spikes) of the exposure to Franco's primary school reform on personal beliefs, for women born between 1930 and 1938 (left panel) and women born between 1939 and 1950 (right panel), both with respect to women born between 1920 and 1929."</w:t>
      </w:r>
    </w:p>
    <w:p w14:paraId="4F4A9649" w14:textId="77777777" w:rsidR="009A062F" w:rsidRDefault="009A062F" w:rsidP="009A062F"/>
    <w:p w14:paraId="7B7457B8" w14:textId="77777777" w:rsidR="009A062F" w:rsidRDefault="009A062F" w:rsidP="009A062F">
      <w:r>
        <w:t>Message: The note reverses the usual ordering of confidence</w:t>
      </w:r>
      <w:r>
        <w:rPr>
          <w:rFonts w:ascii="Cambria Math" w:hAnsi="Cambria Math" w:cs="Cambria Math"/>
        </w:rPr>
        <w:t>‐</w:t>
      </w:r>
      <w:r>
        <w:t xml:space="preserve">interval widths: a 95 % interval should be the broader band, yet the text labels the 90 % intervals as </w:t>
      </w:r>
      <w:r>
        <w:rPr>
          <w:rFonts w:ascii="Aptos" w:hAnsi="Aptos" w:cs="Aptos"/>
        </w:rPr>
        <w:t>“</w:t>
      </w:r>
      <w:r>
        <w:t>widest spikes</w:t>
      </w:r>
      <w:r>
        <w:rPr>
          <w:rFonts w:ascii="Aptos" w:hAnsi="Aptos" w:cs="Aptos"/>
        </w:rPr>
        <w:t>”</w:t>
      </w:r>
      <w:r>
        <w:t xml:space="preserve"> and the 95 % as </w:t>
      </w:r>
      <w:r>
        <w:rPr>
          <w:rFonts w:ascii="Aptos" w:hAnsi="Aptos" w:cs="Aptos"/>
        </w:rPr>
        <w:t>“</w:t>
      </w:r>
      <w:r>
        <w:t>least-wide.</w:t>
      </w:r>
      <w:r>
        <w:rPr>
          <w:rFonts w:ascii="Aptos" w:hAnsi="Aptos" w:cs="Aptos"/>
        </w:rPr>
        <w:t>”</w:t>
      </w:r>
      <w:r>
        <w:t xml:space="preserve">  A brief correction would prevent misinterpretation of the figure.</w:t>
      </w:r>
    </w:p>
    <w:p w14:paraId="39561F96" w14:textId="77777777" w:rsidR="009A062F" w:rsidRDefault="009A062F" w:rsidP="009A062F"/>
    <w:p w14:paraId="38068D24" w14:textId="77777777" w:rsidR="009A062F" w:rsidRDefault="009A062F" w:rsidP="009A062F">
      <w:r>
        <w:t>----------------------------------------</w:t>
      </w:r>
    </w:p>
    <w:p w14:paraId="2CBDDE7C" w14:textId="44522C19" w:rsidR="009A062F" w:rsidRDefault="009A062F" w:rsidP="009A062F">
      <w:r>
        <w:lastRenderedPageBreak/>
        <w:t>Comment 15</w:t>
      </w:r>
      <w:r w:rsidR="00B757C9" w:rsidRPr="0050140B">
        <w:rPr>
          <w:rFonts w:ascii="Segoe UI Emoji" w:hAnsi="Segoe UI Emoji" w:cs="Segoe UI Emoji"/>
        </w:rPr>
        <w:t>✅</w:t>
      </w:r>
    </w:p>
    <w:p w14:paraId="0C4983C8" w14:textId="77777777" w:rsidR="009A062F" w:rsidRDefault="009A062F" w:rsidP="009A062F">
      <w:r>
        <w:t>UNCLEAR INFORMATION IN MANUSCRIPT CITATION</w:t>
      </w:r>
    </w:p>
    <w:p w14:paraId="7ADC1ABD" w14:textId="77777777" w:rsidR="009A062F" w:rsidRDefault="009A062F" w:rsidP="009A062F">
      <w:r>
        <w:t>"Angelov, N., P. Johansson, and E. Lindahl (2016). "Parenthood and the gender gap in pay". In: Journal of labor economics 34.3, pp. 545-579.</w:t>
      </w:r>
    </w:p>
    <w:p w14:paraId="68FACC5A" w14:textId="77777777" w:rsidR="009A062F" w:rsidRDefault="009A062F" w:rsidP="009A062F">
      <w:r>
        <w:t>Ashraf, N. et al. (2022). "Gender roles and the misallocation of labour across countries". In: Unpublished manuscript 2."</w:t>
      </w:r>
    </w:p>
    <w:p w14:paraId="787E9719" w14:textId="77777777" w:rsidR="009A062F" w:rsidRDefault="009A062F" w:rsidP="009A062F"/>
    <w:p w14:paraId="2B778455" w14:textId="77777777" w:rsidR="009A062F" w:rsidRDefault="009A062F" w:rsidP="009A062F">
      <w:r>
        <w:t>Message: The entry for Ashraf et al. (2022) finishes with “Unpublished manuscript 2”, but the digit is not linked to any series or institution, so its meaning is opaque.  Please consider replacing this with a standard locator such as the working-paper series/number or a URL, or omit the stray “2” altogether.</w:t>
      </w:r>
    </w:p>
    <w:p w14:paraId="231C7A3C" w14:textId="77777777" w:rsidR="009A062F" w:rsidRDefault="009A062F" w:rsidP="009A062F"/>
    <w:p w14:paraId="168A22F8" w14:textId="77777777" w:rsidR="009A062F" w:rsidRDefault="009A062F" w:rsidP="009A062F">
      <w:r>
        <w:t>----------------------------------------</w:t>
      </w:r>
    </w:p>
    <w:p w14:paraId="722EC495" w14:textId="38E59A5A" w:rsidR="009A062F" w:rsidRDefault="009A062F" w:rsidP="009A062F">
      <w:r>
        <w:t>Comment 16</w:t>
      </w:r>
      <w:r w:rsidR="00B24034" w:rsidRPr="0050140B">
        <w:rPr>
          <w:rFonts w:ascii="Segoe UI Emoji" w:hAnsi="Segoe UI Emoji" w:cs="Segoe UI Emoji"/>
        </w:rPr>
        <w:t>✅</w:t>
      </w:r>
    </w:p>
    <w:p w14:paraId="1DD60202" w14:textId="77777777" w:rsidR="009A062F" w:rsidRDefault="009A062F" w:rsidP="009A062F">
      <w:r>
        <w:t>MISMATCHED CONTENT IN LEVIN (N.D.) CITATION</w:t>
      </w:r>
    </w:p>
    <w:p w14:paraId="4AE4254F" w14:textId="77777777" w:rsidR="009A062F" w:rsidRDefault="009A062F" w:rsidP="009A062F">
      <w:r>
        <w:t>"Levin, Z. (n.d.). cabinet. Medal of Motherhood (Central Asia) https://encyclopedia.ushmm. org/content/en/article/lebensborn-program. Accessed: 2024-06-20."</w:t>
      </w:r>
    </w:p>
    <w:p w14:paraId="2D7816D3" w14:textId="77777777" w:rsidR="009A062F" w:rsidRDefault="009A062F" w:rsidP="009A062F"/>
    <w:p w14:paraId="73106F4C" w14:textId="77777777" w:rsidR="009A062F" w:rsidRDefault="009A062F" w:rsidP="009A062F">
      <w:r>
        <w:t>Message: In the reference list the entry for Levin (n.d.) is internally inconsistent.  The title refers to the Soviet “Medal of Motherhood,” yet the URL given is a U.S. Holocaust Memorial Museum page on the Nazi Lebensborn program.  Because the Lebensborn article is already listed separately under “US Holocaust Memorial Museum (n.d.),” the Levin entry appears to point to the wrong source and also contains the stray term “cabinet.”  Readers trying to locate information on Soviet pronatalist medals will be misdirected.  Please supply the correct publication details or link for the intended Levin source and remove the erroneous elements.</w:t>
      </w:r>
    </w:p>
    <w:p w14:paraId="588A9DDC" w14:textId="77777777" w:rsidR="009A062F" w:rsidRDefault="009A062F" w:rsidP="009A062F"/>
    <w:p w14:paraId="58D6E673" w14:textId="77777777" w:rsidR="009A062F" w:rsidRDefault="009A062F" w:rsidP="009A062F">
      <w:r>
        <w:t>----------------------------------------</w:t>
      </w:r>
    </w:p>
    <w:p w14:paraId="6F6DCDEC" w14:textId="50CF65F1" w:rsidR="009A062F" w:rsidRDefault="009A062F" w:rsidP="009A062F">
      <w:r>
        <w:t>Comment 17</w:t>
      </w:r>
      <w:r w:rsidR="002003FE" w:rsidRPr="0050140B">
        <w:rPr>
          <w:rFonts w:ascii="Segoe UI Emoji" w:hAnsi="Segoe UI Emoji" w:cs="Segoe UI Emoji"/>
        </w:rPr>
        <w:t>✅</w:t>
      </w:r>
    </w:p>
    <w:p w14:paraId="25A49A76" w14:textId="77777777" w:rsidR="009A062F" w:rsidRDefault="009A062F" w:rsidP="009A062F">
      <w:r>
        <w:t>JUXTAPOSITION OF FINDINGS ON NAZI EDUCATION</w:t>
      </w:r>
    </w:p>
    <w:p w14:paraId="7680ED61" w14:textId="77777777" w:rsidR="009A062F" w:rsidRDefault="009A062F" w:rsidP="009A062F">
      <w:r>
        <w:lastRenderedPageBreak/>
        <w:t>"Germans who grew up under Nazis had access to a significantly lower quality of education (Waldinger, 2010; Waldinger, 2012) and are much more anti-Semitic than those born before or after that period (Voigtländer and Voth, 2015)."</w:t>
      </w:r>
    </w:p>
    <w:p w14:paraId="4B1FAC68" w14:textId="77777777" w:rsidR="009A062F" w:rsidRDefault="009A062F" w:rsidP="009A062F"/>
    <w:p w14:paraId="1925E986" w14:textId="77777777" w:rsidR="009A062F" w:rsidRDefault="009A062F" w:rsidP="009A062F">
      <w:r>
        <w:t>Message: Statement groups two separate facts—lower university</w:t>
      </w:r>
      <w:r>
        <w:rPr>
          <w:rFonts w:ascii="Cambria Math" w:hAnsi="Cambria Math" w:cs="Cambria Math"/>
        </w:rPr>
        <w:t>‐</w:t>
      </w:r>
      <w:r>
        <w:t>level educational quality during the Nazi period (Waldinger, 2010; 2012) and higher post-war anti-Semitism among cohorts schooled under the Reich (Voigtl</w:t>
      </w:r>
      <w:r>
        <w:rPr>
          <w:rFonts w:ascii="Aptos" w:hAnsi="Aptos" w:cs="Aptos"/>
        </w:rPr>
        <w:t>ä</w:t>
      </w:r>
      <w:r>
        <w:t xml:space="preserve">nder &amp; Voth, 2015). Because the sentence joins them with </w:t>
      </w:r>
      <w:r>
        <w:rPr>
          <w:rFonts w:ascii="Aptos" w:hAnsi="Aptos" w:cs="Aptos"/>
        </w:rPr>
        <w:t>“</w:t>
      </w:r>
      <w:r>
        <w:t>and,</w:t>
      </w:r>
      <w:r>
        <w:rPr>
          <w:rFonts w:ascii="Aptos" w:hAnsi="Aptos" w:cs="Aptos"/>
        </w:rPr>
        <w:t>”</w:t>
      </w:r>
      <w:r>
        <w:t xml:space="preserve"> some readers may momentarily wonder whether the first is meant to explain the second, even though Voigtl</w:t>
      </w:r>
      <w:r>
        <w:rPr>
          <w:rFonts w:ascii="Aptos" w:hAnsi="Aptos" w:cs="Aptos"/>
        </w:rPr>
        <w:t>ä</w:t>
      </w:r>
      <w:r>
        <w:t xml:space="preserve">nder &amp; Voth emphasise indoctrination rather than schooling quality per se. Consider inserting a brief qualifier (e.g., </w:t>
      </w:r>
      <w:r>
        <w:rPr>
          <w:rFonts w:ascii="Aptos" w:hAnsi="Aptos" w:cs="Aptos"/>
        </w:rPr>
        <w:t>“</w:t>
      </w:r>
      <w:r>
        <w:t>separately,” “independently”) or splitting into two sentences to make clear that no causal link is being claimed.</w:t>
      </w:r>
    </w:p>
    <w:p w14:paraId="5E7C880E" w14:textId="77777777" w:rsidR="009A062F" w:rsidRDefault="009A062F" w:rsidP="009A062F"/>
    <w:p w14:paraId="6A7C5AC6" w14:textId="77777777" w:rsidR="009A062F" w:rsidRDefault="009A062F" w:rsidP="009A062F">
      <w:r>
        <w:t>----------------------------------------</w:t>
      </w:r>
    </w:p>
    <w:p w14:paraId="5BDF162C" w14:textId="08FFDADD" w:rsidR="009A062F" w:rsidRDefault="009A062F" w:rsidP="009A062F">
      <w:r>
        <w:t>Comment 18</w:t>
      </w:r>
      <w:r w:rsidR="004C27EC" w:rsidRPr="0050140B">
        <w:rPr>
          <w:rFonts w:ascii="Segoe UI Emoji" w:hAnsi="Segoe UI Emoji" w:cs="Segoe UI Emoji"/>
        </w:rPr>
        <w:t>✅</w:t>
      </w:r>
    </w:p>
    <w:p w14:paraId="174E3673" w14:textId="77777777" w:rsidR="009A062F" w:rsidRDefault="009A062F" w:rsidP="009A062F">
      <w:r>
        <w:t>POTENTIAL CONFOUNDING FROM 1941 ANTI-ABORTION LAW</w:t>
      </w:r>
    </w:p>
    <w:p w14:paraId="3ECFF915" w14:textId="77777777" w:rsidR="009A062F" w:rsidRDefault="009A062F" w:rsidP="009A062F">
      <w:r>
        <w:t>"As part of Franco's agenda to boost fertility rates in post-civil war Spain, the antiabortion and anticontraception law was soon approved in 1941 (Spanish Official Bulletin, 1941, p. 768-770). In 1945, the first Primary Education Law of the Francoist regime was also enacted."</w:t>
      </w:r>
    </w:p>
    <w:p w14:paraId="4B936C00" w14:textId="77777777" w:rsidR="009A062F" w:rsidRDefault="009A062F" w:rsidP="009A062F"/>
    <w:p w14:paraId="71A31FE0" w14:textId="77777777" w:rsidR="009A062F" w:rsidRDefault="009A062F" w:rsidP="009A062F">
      <w:r>
        <w:t>Message: I initially wondered whether the 1941 anti-abortion/anti-contraception statute might confound the cohort-based estimates, because Section 2 introduces it immediately before the education reform.  On reflection, however, the ban applies virtually equally to all cohorts examined (1920–50) and its expected sign is fertility-increasing, opposite to the paper’s findings.  The uniform timing is already absorbed by the year and province-year fixed effects, and the event-study pattern begins only with cohorts first exposed to the 1945 curriculum.  Still, a short note in the empirical-strategy section explaining why the 1941 law cannot drive the results would pre-empt this potential doubt for readers.</w:t>
      </w:r>
    </w:p>
    <w:p w14:paraId="1A0AD973" w14:textId="01A8CB56" w:rsidR="009A062F" w:rsidRPr="004C27EC" w:rsidRDefault="004C27EC" w:rsidP="009A062F">
      <w:pPr>
        <w:rPr>
          <w:color w:val="3A7C22" w:themeColor="accent6" w:themeShade="BF"/>
        </w:rPr>
      </w:pPr>
      <w:r w:rsidRPr="004C27EC">
        <w:rPr>
          <w:color w:val="3A7C22" w:themeColor="accent6" w:themeShade="BF"/>
        </w:rPr>
        <w:t>\footnote{This law applied uniformly across Spain and to all cohorts in our sample. Any fertility effect it may have had is absorbed by the year and province-by-year fixed effects, and thus it cannot account for the cohort-specific patterns that emerge only after the 1945 education reform.}</w:t>
      </w:r>
    </w:p>
    <w:p w14:paraId="2D44DB08" w14:textId="77777777" w:rsidR="009A062F" w:rsidRDefault="009A062F" w:rsidP="009A062F">
      <w:r>
        <w:lastRenderedPageBreak/>
        <w:t>----------------------------------------</w:t>
      </w:r>
    </w:p>
    <w:p w14:paraId="4AD35FAC" w14:textId="2892C88B" w:rsidR="009A062F" w:rsidRDefault="009A062F" w:rsidP="009A062F">
      <w:r>
        <w:t>Comment 19</w:t>
      </w:r>
      <w:r w:rsidR="00496CCE" w:rsidRPr="0050140B">
        <w:rPr>
          <w:rFonts w:ascii="Segoe UI Emoji" w:hAnsi="Segoe UI Emoji" w:cs="Segoe UI Emoji"/>
        </w:rPr>
        <w:t>✅</w:t>
      </w:r>
    </w:p>
    <w:p w14:paraId="600E6EF0" w14:textId="77777777" w:rsidR="009A062F" w:rsidRDefault="009A062F" w:rsidP="009A062F">
      <w:r>
        <w:t>CONFIDENCE INTERVAL DESCRIPTION IN FIGURE 2 NOTE</w:t>
      </w:r>
    </w:p>
    <w:p w14:paraId="6168318C" w14:textId="77777777" w:rsidR="009A062F" w:rsidRDefault="009A062F" w:rsidP="009A062F">
      <w:r>
        <w:t>"Note: The figure shows the point estimates and the confidence intervals at $90 \%$ (i.e. widest spikes), at $95 \%$ (i.e. least-wide spikes) for each birth cohort of women in Equation 2 and for the specification presented in column 8 of Table 1."</w:t>
      </w:r>
    </w:p>
    <w:p w14:paraId="7541AE5C" w14:textId="77777777" w:rsidR="009A062F" w:rsidRDefault="009A062F" w:rsidP="009A062F"/>
    <w:p w14:paraId="73CAEBD7" w14:textId="77777777" w:rsidR="009A062F" w:rsidRDefault="009A062F" w:rsidP="009A062F">
      <w:r>
        <w:t>Message: In the Figure 2 caption the widths are mislabeled.  A 95 % confidence interval must be wider than a 90 % interval for the same estimate and standard error, yet the note states the opposite (“90 % … widest spikes” and “95 % … least-wide spikes”).  Please reverse the descriptors or the percentages so the caption is statistically correct.</w:t>
      </w:r>
    </w:p>
    <w:p w14:paraId="3EB60E4F" w14:textId="77777777" w:rsidR="009A062F" w:rsidRDefault="009A062F" w:rsidP="009A062F">
      <w:r>
        <w:t>----------------------------------------</w:t>
      </w:r>
    </w:p>
    <w:p w14:paraId="359D0101" w14:textId="7C2A6A88" w:rsidR="009A062F" w:rsidRDefault="009A062F" w:rsidP="009A062F">
      <w:r>
        <w:t>Comment 20</w:t>
      </w:r>
      <w:r w:rsidR="005E2BB5" w:rsidRPr="0050140B">
        <w:rPr>
          <w:rFonts w:ascii="Segoe UI Emoji" w:hAnsi="Segoe UI Emoji" w:cs="Segoe UI Emoji"/>
        </w:rPr>
        <w:t>✅</w:t>
      </w:r>
    </w:p>
    <w:p w14:paraId="1A18F05F" w14:textId="77777777" w:rsidR="009A062F" w:rsidRDefault="009A062F" w:rsidP="009A062F">
      <w:r>
        <w:t>CONSTRUCTION OF CONTROLS IN THE AGGREGATE DID MODEL</w:t>
      </w:r>
    </w:p>
    <w:p w14:paraId="6D5BFA7F" w14:textId="77777777" w:rsidR="009A062F" w:rsidRDefault="009A062F" w:rsidP="009A062F">
      <w:r>
        <w:t>"We also added a set of controls $\mathbf{X}_{i t}$, which includes the interaction between Post $_{t}$ and the share of the male population aged $0-14$ in 1940, as well as the number of women of reproductive age in each unit and decade, to ensure comparability of the raw birth counts over space and time, as discussed in Section 3."</w:t>
      </w:r>
    </w:p>
    <w:p w14:paraId="01CFEC1E" w14:textId="77777777" w:rsidR="009A062F" w:rsidRDefault="009A062F" w:rsidP="009A062F">
      <w:r>
        <w:t>Message: At first it was unclear how the decennial census counts of women aged 15-44 were mapped into the annual panel used in Equation 3.  Explicitly stating whether the authors employ a step function (one figure per decade), linear interpolation, or another method would make the construction of this key control transparent and aid replication.</w:t>
      </w:r>
    </w:p>
    <w:p w14:paraId="1935F4B5" w14:textId="437FB017" w:rsidR="005E2BB5" w:rsidRPr="005E2BB5" w:rsidRDefault="005E2BB5" w:rsidP="009A062F">
      <w:pPr>
        <w:rPr>
          <w:color w:val="3A7C22" w:themeColor="accent6" w:themeShade="BF"/>
        </w:rPr>
      </w:pPr>
      <w:r w:rsidRPr="005E2BB5">
        <w:rPr>
          <w:color w:val="3A7C22" w:themeColor="accent6" w:themeShade="BF"/>
        </w:rPr>
        <w:t>\footnote{Census counts of women aged 15–44, available every ten years, were converted into annual panel values, whereby the value from each census is assigned to all years within the corresponding decade.}</w:t>
      </w:r>
    </w:p>
    <w:p w14:paraId="7F6528FE" w14:textId="77777777" w:rsidR="009A062F" w:rsidRDefault="009A062F" w:rsidP="009A062F">
      <w:r>
        <w:t>----------------------------------------</w:t>
      </w:r>
    </w:p>
    <w:p w14:paraId="1FB81E35" w14:textId="2FC7174D" w:rsidR="009A062F" w:rsidRDefault="009A062F" w:rsidP="009A062F">
      <w:r>
        <w:t>Comment 21</w:t>
      </w:r>
      <w:r w:rsidR="00302024" w:rsidRPr="0050140B">
        <w:rPr>
          <w:rFonts w:ascii="Segoe UI Emoji" w:hAnsi="Segoe UI Emoji" w:cs="Segoe UI Emoji"/>
        </w:rPr>
        <w:t>✅</w:t>
      </w:r>
    </w:p>
    <w:p w14:paraId="3CE37502" w14:textId="77777777" w:rsidR="009A062F" w:rsidRDefault="009A062F" w:rsidP="009A062F">
      <w:r>
        <w:t>INCOMPLETE BIBLIOGRAPHIC ENTRY FOR HARA AND RODRIGUEZ-PLANAS (2021)</w:t>
      </w:r>
    </w:p>
    <w:p w14:paraId="67299281" w14:textId="77777777" w:rsidR="009A062F" w:rsidRDefault="009A062F" w:rsidP="009A062F">
      <w:r w:rsidRPr="009A062F">
        <w:rPr>
          <w:lang w:val="es-ES"/>
        </w:rPr>
        <w:t xml:space="preserve">"Hara, H. and N. Rodriguez-Planas (2021). </w:t>
      </w:r>
      <w:r>
        <w:t>"Long-term consequences of teaching gender roles: Evidence from desegregating industrial arts and home economics in Japan". In."</w:t>
      </w:r>
    </w:p>
    <w:p w14:paraId="5E3EFEDA" w14:textId="77777777" w:rsidR="009A062F" w:rsidRDefault="009A062F" w:rsidP="009A062F">
      <w:r>
        <w:lastRenderedPageBreak/>
        <w:t>Message: The reference for Hara and Rodriguez-Planas (2021) ends after “In.” and omits the outlet or working-paper series (e.g. “IZA Discussion Paper No. 14812”).  As written, a reader cannot locate the cited study.  Please supply the standard publication information.</w:t>
      </w:r>
    </w:p>
    <w:p w14:paraId="3ECCAFE4" w14:textId="77777777" w:rsidR="009A062F" w:rsidRDefault="009A062F" w:rsidP="009A062F">
      <w:r>
        <w:t>----------------------------------------</w:t>
      </w:r>
    </w:p>
    <w:p w14:paraId="7253D172" w14:textId="59927600" w:rsidR="009A062F" w:rsidRDefault="009A062F" w:rsidP="009A062F">
      <w:r>
        <w:t>Comment 22</w:t>
      </w:r>
      <w:r w:rsidR="006E593B" w:rsidRPr="0050140B">
        <w:rPr>
          <w:rFonts w:ascii="Segoe UI Emoji" w:hAnsi="Segoe UI Emoji" w:cs="Segoe UI Emoji"/>
        </w:rPr>
        <w:t>✅</w:t>
      </w:r>
    </w:p>
    <w:p w14:paraId="7F7782B6" w14:textId="77777777" w:rsidR="009A062F" w:rsidRDefault="009A062F" w:rsidP="009A062F">
      <w:r>
        <w:t>UNCONVENTIONAL INSTITUTION FOR GONZÁLEZ ET AL. (2024) WORKING PAPER</w:t>
      </w:r>
    </w:p>
    <w:p w14:paraId="419CF392" w14:textId="77777777" w:rsidR="009A062F" w:rsidRDefault="009A062F" w:rsidP="009A062F">
      <w:r>
        <w:t>"González, F., M. Prem, and C. von Dessauer (2024). Empowerment or Indoctrination? Female Training Programs under Dictatorship. Tech. rep. JSTOR."</w:t>
      </w:r>
    </w:p>
    <w:p w14:paraId="3D391296" w14:textId="77777777" w:rsidR="009A062F" w:rsidRDefault="009A062F" w:rsidP="009A062F"/>
    <w:p w14:paraId="518AE992" w14:textId="77777777" w:rsidR="009A062F" w:rsidRDefault="009A062F" w:rsidP="009A062F">
      <w:r>
        <w:t>Message: The citation lists the item as “Tech. rep. JSTOR,” but JSTOR is a repository, not a working-paper series.  To make the source traceable and consistent with other entries, please replace “JSTOR” with the actual series or repository where the paper is hosted (e.g., SSRN) and, if available, include the paper number.</w:t>
      </w:r>
    </w:p>
    <w:p w14:paraId="592F6127" w14:textId="77777777" w:rsidR="009A062F" w:rsidRDefault="009A062F" w:rsidP="009A062F"/>
    <w:p w14:paraId="09AEEA37" w14:textId="77777777" w:rsidR="009A062F" w:rsidRDefault="009A062F" w:rsidP="009A062F">
      <w:r>
        <w:t>----------------------------------------</w:t>
      </w:r>
    </w:p>
    <w:p w14:paraId="61863671" w14:textId="25986B15" w:rsidR="009A062F" w:rsidRDefault="009A062F" w:rsidP="009A062F">
      <w:r>
        <w:t>Comment 23</w:t>
      </w:r>
      <w:r w:rsidR="00B151D1" w:rsidRPr="0050140B">
        <w:rPr>
          <w:rFonts w:ascii="Segoe UI Emoji" w:hAnsi="Segoe UI Emoji" w:cs="Segoe UI Emoji"/>
        </w:rPr>
        <w:t>✅</w:t>
      </w:r>
    </w:p>
    <w:p w14:paraId="535965B7" w14:textId="77777777" w:rsidR="009A062F" w:rsidRDefault="009A062F" w:rsidP="009A062F">
      <w:r>
        <w:t>GARBLED CITATION FOR NASH (1991)</w:t>
      </w:r>
    </w:p>
    <w:p w14:paraId="3EF6D56D" w14:textId="77777777" w:rsidR="009A062F" w:rsidRDefault="009A062F" w:rsidP="009A062F">
      <w:r>
        <w:t>"Nash, M. (1991). "Maternity and Gender policies. Women and the rise of the European Welfare States". In: ed. by G. Bock and P. Thane. London and New York: Routledgee. Chap. Pronatalism and motherhood in Franco's Spain 8, pp."</w:t>
      </w:r>
    </w:p>
    <w:p w14:paraId="607DA1D2" w14:textId="77777777" w:rsidR="009A062F" w:rsidRDefault="009A062F" w:rsidP="009A062F">
      <w:r>
        <w:t>Message: The Nash (1991) entry still lists the book title in quotation marks—as if it were the chapter title—while the actual chapter title (“Pronatalism and Motherhood in Franco’s Spain”) appears later after “Chap.”  Reversing these elements makes the source difficult to identify, and the publisher is misspelled “Routledgee.”  Although page numbers now appear, the remaining misordering and typo should be corrected for clarity and consistency.</w:t>
      </w:r>
    </w:p>
    <w:p w14:paraId="35023B2C" w14:textId="77777777" w:rsidR="009A062F" w:rsidRDefault="009A062F" w:rsidP="009A062F">
      <w:r>
        <w:t>----------------------------------------</w:t>
      </w:r>
    </w:p>
    <w:p w14:paraId="1ADF2C85" w14:textId="3CC07031" w:rsidR="009A062F" w:rsidRDefault="009A062F" w:rsidP="009A062F">
      <w:r>
        <w:t>Comment 24</w:t>
      </w:r>
      <w:r w:rsidR="00C7347F" w:rsidRPr="0050140B">
        <w:rPr>
          <w:rFonts w:ascii="Segoe UI Emoji" w:hAnsi="Segoe UI Emoji" w:cs="Segoe UI Emoji"/>
        </w:rPr>
        <w:t>✅</w:t>
      </w:r>
    </w:p>
    <w:p w14:paraId="00F72B86" w14:textId="77777777" w:rsidR="009A062F" w:rsidRDefault="009A062F" w:rsidP="009A062F">
      <w:r>
        <w:t>APPARENT CONTRADICTION IN SCHOOLING POLICY</w:t>
      </w:r>
    </w:p>
    <w:p w14:paraId="2375D27C" w14:textId="77777777" w:rsidR="009A062F" w:rsidRDefault="009A062F" w:rsidP="009A062F">
      <w:r>
        <w:lastRenderedPageBreak/>
        <w:t>"The regime issued precise guidelines on methodological practices and strictly regulated time usage during the school day. ${ }^{7}$ In addition, it mandated the separation of sexes in primary education and kindergarten and co-educational schools to be run by female teachers."</w:t>
      </w:r>
    </w:p>
    <w:p w14:paraId="1F505709" w14:textId="77777777" w:rsidR="009A062F" w:rsidRDefault="009A062F" w:rsidP="009A062F">
      <w:r>
        <w:t>Message: (2) Statement on sex separation initially made me think that the law both forbade and allowed co-education.  Then I recalled the earlier sentence explaining that mixed classes were permitted only when enrollment was too small for separate groups.  To avoid momentary confusion, you might add a brief qualifier (e.g., “in those exceptional cases”) before “co-educational schools.”</w:t>
      </w:r>
    </w:p>
    <w:p w14:paraId="555250F0" w14:textId="77777777" w:rsidR="009A062F" w:rsidRDefault="009A062F" w:rsidP="009A062F">
      <w:r>
        <w:t>----------------------------------------</w:t>
      </w:r>
    </w:p>
    <w:p w14:paraId="2C10ABC5" w14:textId="43CEC248" w:rsidR="009A062F" w:rsidRDefault="009A062F" w:rsidP="009A062F">
      <w:r>
        <w:t>Comment 25</w:t>
      </w:r>
      <w:r w:rsidR="009B041A" w:rsidRPr="0050140B">
        <w:rPr>
          <w:rFonts w:ascii="Segoe UI Emoji" w:hAnsi="Segoe UI Emoji" w:cs="Segoe UI Emoji"/>
        </w:rPr>
        <w:t>✅</w:t>
      </w:r>
    </w:p>
    <w:p w14:paraId="3E6EFEC8" w14:textId="77777777" w:rsidR="009A062F" w:rsidRDefault="009A062F" w:rsidP="009A062F">
      <w:r>
        <w:t>UNEXPLAINED SWITCH IN CIS SURVEY WAVES</w:t>
      </w:r>
    </w:p>
    <w:p w14:paraId="4FB8F876" w14:textId="77777777" w:rsidR="009A062F" w:rsidRDefault="009A062F" w:rsidP="009A062F">
      <w:r>
        <w:t>"From the 1979 and 1990-1992 waves, we extracted information on the total number of children ever born to each female respondent, which we used to construct our main individual-level outcome variables - both at the extensive and intensive margins. ... From the 1979 and 1986-1988 waves, we further collected data on the labor force participation of women (i.e., if women are employed, unemployed or housewives), their educational attainment, and whether they voted for right-wing parties in the last elections."</w:t>
      </w:r>
    </w:p>
    <w:p w14:paraId="2C6055D3" w14:textId="77777777" w:rsidR="009A062F" w:rsidRDefault="009A062F" w:rsidP="009A062F">
      <w:r>
        <w:t>Message: Statement on data construction leaves unclear why labour-force participation and education are drawn from the 1979 and 1986-88 CIS waves, whereas fertility outcomes use 1979 and 1990-92.  Because the mechanism analysis is most transparent when based on the same variable definitions and cohort window as the main analysis, a brief note indicating that the relevant LFP/education questions are not available (or are not comparable) in the 1990-92 barometers would remove this ambiguity and reassure readers that sample comparability is preserved.</w:t>
      </w:r>
    </w:p>
    <w:p w14:paraId="736A203D" w14:textId="77777777" w:rsidR="009A062F" w:rsidRDefault="009A062F" w:rsidP="009A062F">
      <w:r>
        <w:t>----------------------------------------</w:t>
      </w:r>
    </w:p>
    <w:p w14:paraId="1206C5D5" w14:textId="111B4A27" w:rsidR="009A062F" w:rsidRDefault="009A062F" w:rsidP="009A062F">
      <w:r>
        <w:t>Comment 26</w:t>
      </w:r>
      <w:r w:rsidR="00CC3563" w:rsidRPr="0050140B">
        <w:rPr>
          <w:rFonts w:ascii="Segoe UI Emoji" w:hAnsi="Segoe UI Emoji" w:cs="Segoe UI Emoji"/>
        </w:rPr>
        <w:t>✅</w:t>
      </w:r>
    </w:p>
    <w:p w14:paraId="39E6A9C2" w14:textId="77777777" w:rsidR="009A062F" w:rsidRDefault="009A062F" w:rsidP="009A062F">
      <w:r>
        <w:t>MISCHARACTERIZATION OF REGRESSION ESTIMATES IN SECTION 5</w:t>
      </w:r>
    </w:p>
    <w:p w14:paraId="0B6EF443" w14:textId="77777777" w:rsidR="009A062F" w:rsidRDefault="009A062F" w:rsidP="009A062F">
      <w:r>
        <w:t>"“It is important to note that these estimates average over partially and fully exposed cohorts.”"</w:t>
      </w:r>
    </w:p>
    <w:p w14:paraId="45959FE1" w14:textId="77777777" w:rsidR="009A062F" w:rsidRDefault="009A062F" w:rsidP="009A062F">
      <w:r>
        <w:t xml:space="preserve">Message: I initially read the phrase “these estimates average over partially and fully exposed cohorts” as suggesting that the regression pooled the two treatment groups.  </w:t>
      </w:r>
      <w:r>
        <w:lastRenderedPageBreak/>
        <w:t>Because Equation 1 actually estimates separate coefficients for the 1930-1938 and 1939-1950 dummies, it would be clearer to rephrase this line—for example, by noting that each coefficient represents the average effect within its respective cohort block.</w:t>
      </w:r>
    </w:p>
    <w:p w14:paraId="1D59AFFC" w14:textId="77777777" w:rsidR="009A062F" w:rsidRDefault="009A062F" w:rsidP="009A062F">
      <w:r>
        <w:t>----------------------------------------</w:t>
      </w:r>
    </w:p>
    <w:p w14:paraId="4F031ED2" w14:textId="150118FA" w:rsidR="009A062F" w:rsidRDefault="009A062F" w:rsidP="009A062F">
      <w:r>
        <w:t>Comment 27</w:t>
      </w:r>
      <w:r w:rsidR="002A25F1" w:rsidRPr="0050140B">
        <w:rPr>
          <w:rFonts w:ascii="Segoe UI Emoji" w:hAnsi="Segoe UI Emoji" w:cs="Segoe UI Emoji"/>
        </w:rPr>
        <w:t>✅</w:t>
      </w:r>
    </w:p>
    <w:p w14:paraId="4A069818" w14:textId="77777777" w:rsidR="009A062F" w:rsidRDefault="009A062F" w:rsidP="009A062F">
      <w:r>
        <w:t>EXPLANATION FOR SMALLER CENSUS ESTIMATES</w:t>
      </w:r>
    </w:p>
    <w:p w14:paraId="48FF4401" w14:textId="77777777" w:rsidR="009A062F" w:rsidRDefault="009A062F" w:rsidP="009A062F">
      <w:r>
        <w:t>"However, in relation to the baseline analysis, two key differences stand out. First, the estimates are now statistically significant for both partially and fully treated cohorts. Second, the magnitude of the effect is considerably smaller in both absolute terms and relative to the mean of the control group. Both differences likely reflect the substantial increase in sample size afforded by census data, which improves the precision of the estimates."</w:t>
      </w:r>
    </w:p>
    <w:p w14:paraId="60ACE6B2" w14:textId="77777777" w:rsidR="009A062F" w:rsidRDefault="009A062F" w:rsidP="009A062F">
      <w:r>
        <w:t>Message: Statement “Both differences likely reflect the substantial increase in sample size…which improves the precision of the estimates” can momentarily read as if greater N itself drives a smaller coefficient.  Readers will understand that the intended point is: a much larger census sample yields far smaller standard errors, so the resulting estimate is both statistically significant and less influenced by sampling noise than the CIS figure.  Consider spelling out this logic explicitly to avoid any impression of conflating precision with true effect size.</w:t>
      </w:r>
    </w:p>
    <w:p w14:paraId="00D4092C" w14:textId="77777777" w:rsidR="009A062F" w:rsidRDefault="009A062F" w:rsidP="009A062F">
      <w:r>
        <w:t>----------------------------------------</w:t>
      </w:r>
    </w:p>
    <w:p w14:paraId="37F53E6F" w14:textId="352DA572" w:rsidR="009A062F" w:rsidRDefault="009A062F" w:rsidP="009A062F">
      <w:r>
        <w:t>Comment 28</w:t>
      </w:r>
      <w:r w:rsidR="000D185E" w:rsidRPr="0050140B">
        <w:rPr>
          <w:rFonts w:ascii="Segoe UI Emoji" w:hAnsi="Segoe UI Emoji" w:cs="Segoe UI Emoji"/>
        </w:rPr>
        <w:t>✅</w:t>
      </w:r>
    </w:p>
    <w:p w14:paraId="16F1E682" w14:textId="77777777" w:rsidR="009A062F" w:rsidRDefault="009A062F" w:rsidP="009A062F">
      <w:r>
        <w:t>AMBIGUOUS VOLUME NUMBER IN HANDBOOK CITATION</w:t>
      </w:r>
    </w:p>
    <w:p w14:paraId="7364E02B" w14:textId="77777777" w:rsidR="009A062F" w:rsidRDefault="009A062F" w:rsidP="009A062F">
      <w:r w:rsidRPr="00BE49B0">
        <w:rPr>
          <w:lang w:val="it-IT"/>
        </w:rPr>
        <w:t xml:space="preserve">"Albanesi, S., C. Olivetti, and B. Petrongolo (2023). </w:t>
      </w:r>
      <w:r>
        <w:t>"Families, labor markets, and policy". In: Handbook of the Economics of the Family. Vol. 1. 1. Elsevier, pp. 255-326."</w:t>
      </w:r>
    </w:p>
    <w:p w14:paraId="0770FF29" w14:textId="77777777" w:rsidR="009A062F" w:rsidRDefault="009A062F" w:rsidP="009A062F">
      <w:r>
        <w:t>Message: At first the notation “Vol. 1. 1.” made me think a piece of the citation was missing (e.g., “Part 1” or “Issue 1”).  Handbooks are normally cited with a single volume (or “Volume 1A/1B”), so the double “1” could briefly confuse readers.  You might consider replacing it with a clearer form such as “Vol. 1, Part 1” or “Vol. 1A”.</w:t>
      </w:r>
    </w:p>
    <w:p w14:paraId="408ECDBD" w14:textId="77777777" w:rsidR="009A062F" w:rsidRDefault="009A062F" w:rsidP="009A062F">
      <w:r>
        <w:t>----------------------------------------</w:t>
      </w:r>
    </w:p>
    <w:p w14:paraId="2493C281" w14:textId="4489E71A" w:rsidR="009A062F" w:rsidRDefault="009A062F" w:rsidP="009A062F">
      <w:r>
        <w:t>Comment 29</w:t>
      </w:r>
      <w:r w:rsidR="00A15C9F" w:rsidRPr="0050140B">
        <w:rPr>
          <w:rFonts w:ascii="Segoe UI Emoji" w:hAnsi="Segoe UI Emoji" w:cs="Segoe UI Emoji"/>
        </w:rPr>
        <w:t>✅</w:t>
      </w:r>
    </w:p>
    <w:p w14:paraId="455D7BEE" w14:textId="7AA5C52A" w:rsidR="009A062F" w:rsidRDefault="009A062F" w:rsidP="009A062F">
      <w:r>
        <w:t>PAGE NUMBERING IN A REFERENCE</w:t>
      </w:r>
    </w:p>
    <w:p w14:paraId="6E23270A" w14:textId="77777777" w:rsidR="009A062F" w:rsidRDefault="009A062F" w:rsidP="009A062F">
      <w:r>
        <w:lastRenderedPageBreak/>
        <w:t>"Clark, W. A. (2012). "Do women delay family formation in expensive housing markets?" In: Demographic Research 27.1, p. 1."</w:t>
      </w:r>
    </w:p>
    <w:p w14:paraId="1A9EBD4A" w14:textId="77777777" w:rsidR="009A062F" w:rsidRDefault="009A062F" w:rsidP="009A062F">
      <w:r>
        <w:t>Message: The citation lists only “p. 1,” which is unusual for a full-length article in Demographic Research.  Please verify whether the correct entry should show the full page range (e.g., 1–24) or an article-identifier format.</w:t>
      </w:r>
    </w:p>
    <w:p w14:paraId="56D070E3" w14:textId="77777777" w:rsidR="009A062F" w:rsidRDefault="009A062F" w:rsidP="009A062F"/>
    <w:p w14:paraId="1587865D" w14:textId="77777777" w:rsidR="009A062F" w:rsidRDefault="009A062F" w:rsidP="009A062F">
      <w:r>
        <w:t>----------------------------------------</w:t>
      </w:r>
    </w:p>
    <w:p w14:paraId="5A5D05B4" w14:textId="09F4F354" w:rsidR="009A062F" w:rsidRDefault="009A062F" w:rsidP="009A062F">
      <w:r>
        <w:t>Comment 30</w:t>
      </w:r>
      <w:r w:rsidR="00BC4B44">
        <w:t xml:space="preserve"> </w:t>
      </w:r>
      <w:r w:rsidR="00BC4B44" w:rsidRPr="0050140B">
        <w:rPr>
          <w:rFonts w:ascii="Segoe UI Emoji" w:hAnsi="Segoe UI Emoji" w:cs="Segoe UI Emoji"/>
        </w:rPr>
        <w:t>✅</w:t>
      </w:r>
    </w:p>
    <w:p w14:paraId="4067B144" w14:textId="77777777" w:rsidR="009A062F" w:rsidRDefault="009A062F" w:rsidP="009A062F">
      <w:r>
        <w:t>MISLEADING DESCRIPTION OF BALANCING TEST METHODOLOGY</w:t>
      </w:r>
    </w:p>
    <w:p w14:paraId="099DBD7E" w14:textId="77777777" w:rsidR="009A062F" w:rsidRDefault="009A062F" w:rsidP="009A062F">
      <w:r>
        <w:t>"Note: This table presents balancing tests between treated and control areas across various local characteristics. We estimate cross-sectional regressions that closely follow the structure of Equation 3, changing only the dependent variable."</w:t>
      </w:r>
    </w:p>
    <w:p w14:paraId="037B51F6" w14:textId="77777777" w:rsidR="009A062F" w:rsidRDefault="009A062F" w:rsidP="009A062F"/>
    <w:p w14:paraId="2D03ECE9" w14:textId="77777777" w:rsidR="009A062F" w:rsidRDefault="009A062F" w:rsidP="009A062F">
      <w:r>
        <w:t>Message: Statement “cross-sectional regressions that closely follow the structure of Equation 3” may read ambiguously, since Equation 3 is a panel DiD.  Consider wording that spells out the actual specification—for example, regress each 1940 covariate on Treat&lt;sub&gt;i&lt;/sub&gt; with province fixed effects (and the capital dummy)—to make the balancing exercise fully transparent.</w:t>
      </w:r>
    </w:p>
    <w:p w14:paraId="0AA4765F" w14:textId="77777777" w:rsidR="009A062F" w:rsidRDefault="009A062F" w:rsidP="009A062F"/>
    <w:p w14:paraId="625DD82D" w14:textId="77777777" w:rsidR="009A062F" w:rsidRDefault="009A062F" w:rsidP="009A062F">
      <w:r>
        <w:t>----------------------------------------</w:t>
      </w:r>
    </w:p>
    <w:p w14:paraId="08BA52A7" w14:textId="0BB01E94" w:rsidR="009A062F" w:rsidRDefault="009A062F" w:rsidP="009A062F">
      <w:r>
        <w:t>Comment 31</w:t>
      </w:r>
      <w:r w:rsidR="0050140B" w:rsidRPr="0050140B">
        <w:rPr>
          <w:rFonts w:ascii="Segoe UI Emoji" w:hAnsi="Segoe UI Emoji" w:cs="Segoe UI Emoji"/>
        </w:rPr>
        <w:t xml:space="preserve"> ✅</w:t>
      </w:r>
    </w:p>
    <w:p w14:paraId="285CAF6F" w14:textId="3061C54E" w:rsidR="009A062F" w:rsidRDefault="009A062F" w:rsidP="009A062F">
      <w:r>
        <w:t>DUPLICATED SENTENCE IN TABLE B4 NOTE</w:t>
      </w:r>
      <w:r w:rsidR="00D64B5F" w:rsidRPr="00D64B5F">
        <w:rPr>
          <w:rFonts w:ascii="Segoe UI Emoji" w:hAnsi="Segoe UI Emoji" w:cs="Segoe UI Emoji"/>
        </w:rPr>
        <w:t xml:space="preserve"> </w:t>
      </w:r>
    </w:p>
    <w:p w14:paraId="01D3AAD5" w14:textId="77777777" w:rsidR="009A062F" w:rsidRDefault="009A062F" w:rsidP="009A062F">
      <w:r>
        <w:t>"All specifications include the full interaction between year, municipality of residence, and age group fixed effects. Standard errors are robust to heteroskedasticity and clustered at the birth cohort × survey year level. Standard errors are robust to heteroskedasticity and clustered at the birth cohort × survey year level."</w:t>
      </w:r>
    </w:p>
    <w:p w14:paraId="25722D40" w14:textId="77777777" w:rsidR="009A062F" w:rsidRDefault="009A062F" w:rsidP="009A062F">
      <w:r>
        <w:t>Message: The sentence describing the clustering procedure is duplicated verbatim in the Table B4 note.  Please delete the redundant copy to tidy up the appendix.</w:t>
      </w:r>
    </w:p>
    <w:p w14:paraId="283EB03E" w14:textId="77777777" w:rsidR="009A062F" w:rsidRDefault="009A062F" w:rsidP="009A062F"/>
    <w:p w14:paraId="07FBF2A6" w14:textId="77777777" w:rsidR="009A062F" w:rsidRDefault="009A062F" w:rsidP="009A062F">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5A6DB8" w:rsidRPr="005A6DB8" w14:paraId="6D73A8F6" w14:textId="77777777" w:rsidTr="005A6DB8">
        <w:trPr>
          <w:tblHeader/>
          <w:tblCellSpacing w:w="15" w:type="dxa"/>
        </w:trPr>
        <w:tc>
          <w:tcPr>
            <w:tcW w:w="0" w:type="auto"/>
            <w:vAlign w:val="center"/>
          </w:tcPr>
          <w:p w14:paraId="51A7E4C4" w14:textId="4495D3C7" w:rsidR="005A6DB8" w:rsidRPr="005A6DB8" w:rsidRDefault="005A6DB8" w:rsidP="005A6DB8">
            <w:pPr>
              <w:rPr>
                <w:b/>
                <w:bCs/>
              </w:rPr>
            </w:pPr>
          </w:p>
        </w:tc>
        <w:tc>
          <w:tcPr>
            <w:tcW w:w="0" w:type="auto"/>
            <w:vAlign w:val="center"/>
          </w:tcPr>
          <w:p w14:paraId="3100240C" w14:textId="695A3450" w:rsidR="005A6DB8" w:rsidRPr="005A6DB8" w:rsidRDefault="005A6DB8" w:rsidP="005A6DB8">
            <w:pPr>
              <w:rPr>
                <w:b/>
                <w:bCs/>
              </w:rPr>
            </w:pPr>
          </w:p>
        </w:tc>
      </w:tr>
      <w:tr w:rsidR="005A6DB8" w:rsidRPr="005A6DB8" w14:paraId="4860A7F6" w14:textId="77777777" w:rsidTr="005A6DB8">
        <w:trPr>
          <w:tblCellSpacing w:w="15" w:type="dxa"/>
        </w:trPr>
        <w:tc>
          <w:tcPr>
            <w:tcW w:w="0" w:type="auto"/>
            <w:vAlign w:val="center"/>
          </w:tcPr>
          <w:p w14:paraId="0925E5F3" w14:textId="42EA56A7" w:rsidR="005A6DB8" w:rsidRPr="005A6DB8" w:rsidRDefault="005A6DB8" w:rsidP="005A6DB8"/>
        </w:tc>
        <w:tc>
          <w:tcPr>
            <w:tcW w:w="0" w:type="auto"/>
            <w:vAlign w:val="center"/>
          </w:tcPr>
          <w:p w14:paraId="0DF34311" w14:textId="77777777" w:rsidR="005A6DB8" w:rsidRPr="005A6DB8" w:rsidRDefault="005A6DB8" w:rsidP="005A6DB8"/>
        </w:tc>
      </w:tr>
      <w:tr w:rsidR="005A6DB8" w:rsidRPr="005A6DB8" w14:paraId="2F4403B4" w14:textId="77777777" w:rsidTr="005A6DB8">
        <w:trPr>
          <w:tblCellSpacing w:w="15" w:type="dxa"/>
        </w:trPr>
        <w:tc>
          <w:tcPr>
            <w:tcW w:w="0" w:type="auto"/>
            <w:vAlign w:val="center"/>
          </w:tcPr>
          <w:p w14:paraId="3F185877" w14:textId="330B2AF2" w:rsidR="005A6DB8" w:rsidRPr="005A6DB8" w:rsidRDefault="005A6DB8" w:rsidP="005A6DB8"/>
        </w:tc>
        <w:tc>
          <w:tcPr>
            <w:tcW w:w="0" w:type="auto"/>
            <w:vAlign w:val="center"/>
          </w:tcPr>
          <w:p w14:paraId="2406ADBD" w14:textId="77777777" w:rsidR="005A6DB8" w:rsidRPr="005A6DB8" w:rsidRDefault="005A6DB8" w:rsidP="005A6DB8"/>
        </w:tc>
      </w:tr>
      <w:tr w:rsidR="005A6DB8" w:rsidRPr="005A6DB8" w14:paraId="2025D23C" w14:textId="77777777" w:rsidTr="005A6DB8">
        <w:trPr>
          <w:tblCellSpacing w:w="15" w:type="dxa"/>
        </w:trPr>
        <w:tc>
          <w:tcPr>
            <w:tcW w:w="0" w:type="auto"/>
            <w:vAlign w:val="center"/>
          </w:tcPr>
          <w:p w14:paraId="5F4ED446" w14:textId="4E7B5D6E" w:rsidR="005A6DB8" w:rsidRPr="005A6DB8" w:rsidRDefault="005A6DB8" w:rsidP="005A6DB8"/>
        </w:tc>
        <w:tc>
          <w:tcPr>
            <w:tcW w:w="0" w:type="auto"/>
            <w:vAlign w:val="center"/>
          </w:tcPr>
          <w:p w14:paraId="6E3270FF" w14:textId="77777777" w:rsidR="005A6DB8" w:rsidRPr="005A6DB8" w:rsidRDefault="005A6DB8" w:rsidP="005A6DB8"/>
        </w:tc>
      </w:tr>
      <w:tr w:rsidR="005A6DB8" w:rsidRPr="005A6DB8" w14:paraId="5F7D8E09" w14:textId="77777777" w:rsidTr="005A6DB8">
        <w:trPr>
          <w:tblCellSpacing w:w="15" w:type="dxa"/>
        </w:trPr>
        <w:tc>
          <w:tcPr>
            <w:tcW w:w="0" w:type="auto"/>
            <w:vAlign w:val="center"/>
          </w:tcPr>
          <w:p w14:paraId="65FF1B57" w14:textId="6DBC24CB" w:rsidR="005A6DB8" w:rsidRPr="005A6DB8" w:rsidRDefault="005A6DB8" w:rsidP="005A6DB8"/>
        </w:tc>
        <w:tc>
          <w:tcPr>
            <w:tcW w:w="0" w:type="auto"/>
            <w:vAlign w:val="center"/>
          </w:tcPr>
          <w:p w14:paraId="06C8C6C1" w14:textId="77777777" w:rsidR="005A6DB8" w:rsidRPr="005A6DB8" w:rsidRDefault="005A6DB8" w:rsidP="005A6DB8"/>
        </w:tc>
      </w:tr>
      <w:tr w:rsidR="005A6DB8" w:rsidRPr="005A6DB8" w14:paraId="257DD8D8" w14:textId="77777777" w:rsidTr="005A6DB8">
        <w:trPr>
          <w:tblCellSpacing w:w="15" w:type="dxa"/>
        </w:trPr>
        <w:tc>
          <w:tcPr>
            <w:tcW w:w="0" w:type="auto"/>
            <w:vAlign w:val="center"/>
          </w:tcPr>
          <w:p w14:paraId="6EBEEAC0" w14:textId="65DC65CC" w:rsidR="005A6DB8" w:rsidRPr="005A6DB8" w:rsidRDefault="005A6DB8" w:rsidP="005A6DB8"/>
        </w:tc>
        <w:tc>
          <w:tcPr>
            <w:tcW w:w="0" w:type="auto"/>
            <w:vAlign w:val="center"/>
          </w:tcPr>
          <w:p w14:paraId="2D40AEC7" w14:textId="77777777" w:rsidR="005A6DB8" w:rsidRPr="005A6DB8" w:rsidRDefault="005A6DB8" w:rsidP="005A6DB8"/>
        </w:tc>
      </w:tr>
      <w:tr w:rsidR="005A6DB8" w:rsidRPr="005A6DB8" w14:paraId="4B5C5D1F" w14:textId="77777777" w:rsidTr="005A6DB8">
        <w:trPr>
          <w:tblCellSpacing w:w="15" w:type="dxa"/>
        </w:trPr>
        <w:tc>
          <w:tcPr>
            <w:tcW w:w="0" w:type="auto"/>
            <w:vAlign w:val="center"/>
          </w:tcPr>
          <w:p w14:paraId="67F4940F" w14:textId="533A2C3C" w:rsidR="005A6DB8" w:rsidRPr="005A6DB8" w:rsidRDefault="005A6DB8" w:rsidP="005A6DB8"/>
        </w:tc>
        <w:tc>
          <w:tcPr>
            <w:tcW w:w="0" w:type="auto"/>
            <w:vAlign w:val="center"/>
          </w:tcPr>
          <w:p w14:paraId="2CE0E921" w14:textId="77777777" w:rsidR="005A6DB8" w:rsidRPr="005A6DB8" w:rsidRDefault="005A6DB8" w:rsidP="005A6DB8"/>
        </w:tc>
      </w:tr>
      <w:tr w:rsidR="005A6DB8" w:rsidRPr="005A6DB8" w14:paraId="1276AA6B" w14:textId="77777777" w:rsidTr="005A6DB8">
        <w:trPr>
          <w:tblCellSpacing w:w="15" w:type="dxa"/>
        </w:trPr>
        <w:tc>
          <w:tcPr>
            <w:tcW w:w="0" w:type="auto"/>
            <w:vAlign w:val="center"/>
          </w:tcPr>
          <w:p w14:paraId="316D48B4" w14:textId="79BFCD90" w:rsidR="005A6DB8" w:rsidRPr="005A6DB8" w:rsidRDefault="005A6DB8" w:rsidP="005A6DB8"/>
        </w:tc>
        <w:tc>
          <w:tcPr>
            <w:tcW w:w="0" w:type="auto"/>
            <w:vAlign w:val="center"/>
          </w:tcPr>
          <w:p w14:paraId="488ADE15" w14:textId="77777777" w:rsidR="005A6DB8" w:rsidRPr="005A6DB8" w:rsidRDefault="005A6DB8" w:rsidP="005A6DB8"/>
        </w:tc>
      </w:tr>
      <w:tr w:rsidR="005A6DB8" w:rsidRPr="005A6DB8" w14:paraId="3F58E467" w14:textId="77777777" w:rsidTr="005A6DB8">
        <w:trPr>
          <w:tblCellSpacing w:w="15" w:type="dxa"/>
        </w:trPr>
        <w:tc>
          <w:tcPr>
            <w:tcW w:w="0" w:type="auto"/>
            <w:vAlign w:val="center"/>
          </w:tcPr>
          <w:p w14:paraId="6D7475BA" w14:textId="4E3E105D" w:rsidR="005A6DB8" w:rsidRPr="005A6DB8" w:rsidRDefault="005A6DB8" w:rsidP="005A6DB8"/>
        </w:tc>
        <w:tc>
          <w:tcPr>
            <w:tcW w:w="0" w:type="auto"/>
            <w:vAlign w:val="center"/>
          </w:tcPr>
          <w:p w14:paraId="27D55CE1" w14:textId="77777777" w:rsidR="005A6DB8" w:rsidRPr="005A6DB8" w:rsidRDefault="005A6DB8" w:rsidP="005A6DB8"/>
        </w:tc>
      </w:tr>
      <w:tr w:rsidR="005A6DB8" w:rsidRPr="005A6DB8" w14:paraId="35D88B5D" w14:textId="77777777" w:rsidTr="005A6DB8">
        <w:trPr>
          <w:tblCellSpacing w:w="15" w:type="dxa"/>
        </w:trPr>
        <w:tc>
          <w:tcPr>
            <w:tcW w:w="0" w:type="auto"/>
            <w:vAlign w:val="center"/>
          </w:tcPr>
          <w:p w14:paraId="503F13E4" w14:textId="3E068DC9" w:rsidR="005A6DB8" w:rsidRPr="005A6DB8" w:rsidRDefault="005A6DB8" w:rsidP="005A6DB8"/>
        </w:tc>
        <w:tc>
          <w:tcPr>
            <w:tcW w:w="0" w:type="auto"/>
            <w:vAlign w:val="center"/>
          </w:tcPr>
          <w:p w14:paraId="1EEAEED1" w14:textId="77777777" w:rsidR="005A6DB8" w:rsidRPr="005A6DB8" w:rsidRDefault="005A6DB8" w:rsidP="005A6DB8"/>
        </w:tc>
      </w:tr>
      <w:tr w:rsidR="005A6DB8" w:rsidRPr="005A6DB8" w14:paraId="4C33D7CD" w14:textId="77777777" w:rsidTr="005A6DB8">
        <w:trPr>
          <w:tblCellSpacing w:w="15" w:type="dxa"/>
        </w:trPr>
        <w:tc>
          <w:tcPr>
            <w:tcW w:w="0" w:type="auto"/>
            <w:vAlign w:val="center"/>
          </w:tcPr>
          <w:p w14:paraId="4F67348B" w14:textId="1C7A353C" w:rsidR="005A6DB8" w:rsidRPr="005A6DB8" w:rsidRDefault="005A6DB8" w:rsidP="005A6DB8"/>
        </w:tc>
        <w:tc>
          <w:tcPr>
            <w:tcW w:w="0" w:type="auto"/>
            <w:vAlign w:val="center"/>
          </w:tcPr>
          <w:p w14:paraId="45579675" w14:textId="77777777" w:rsidR="005A6DB8" w:rsidRPr="005A6DB8" w:rsidRDefault="005A6DB8" w:rsidP="005A6DB8"/>
        </w:tc>
      </w:tr>
      <w:tr w:rsidR="005A6DB8" w:rsidRPr="005A6DB8" w14:paraId="6B01A647" w14:textId="77777777" w:rsidTr="005A6DB8">
        <w:trPr>
          <w:tblCellSpacing w:w="15" w:type="dxa"/>
        </w:trPr>
        <w:tc>
          <w:tcPr>
            <w:tcW w:w="0" w:type="auto"/>
            <w:vAlign w:val="center"/>
          </w:tcPr>
          <w:p w14:paraId="7BEAB061" w14:textId="1758F0C7" w:rsidR="005A6DB8" w:rsidRPr="005A6DB8" w:rsidRDefault="005A6DB8" w:rsidP="005A6DB8"/>
        </w:tc>
        <w:tc>
          <w:tcPr>
            <w:tcW w:w="0" w:type="auto"/>
            <w:vAlign w:val="center"/>
          </w:tcPr>
          <w:p w14:paraId="757D826E" w14:textId="77777777" w:rsidR="005A6DB8" w:rsidRPr="005A6DB8" w:rsidRDefault="005A6DB8" w:rsidP="005A6DB8"/>
        </w:tc>
      </w:tr>
      <w:tr w:rsidR="005A6DB8" w:rsidRPr="005A6DB8" w14:paraId="133B7933" w14:textId="77777777" w:rsidTr="005A6DB8">
        <w:trPr>
          <w:tblCellSpacing w:w="15" w:type="dxa"/>
        </w:trPr>
        <w:tc>
          <w:tcPr>
            <w:tcW w:w="0" w:type="auto"/>
            <w:vAlign w:val="center"/>
          </w:tcPr>
          <w:p w14:paraId="3954D66C" w14:textId="4A19BBB0" w:rsidR="005A6DB8" w:rsidRPr="005A6DB8" w:rsidRDefault="005A6DB8" w:rsidP="005A6DB8"/>
        </w:tc>
        <w:tc>
          <w:tcPr>
            <w:tcW w:w="0" w:type="auto"/>
            <w:vAlign w:val="center"/>
          </w:tcPr>
          <w:p w14:paraId="06B2C4FB" w14:textId="77777777" w:rsidR="005A6DB8" w:rsidRPr="005A6DB8" w:rsidRDefault="005A6DB8" w:rsidP="005A6DB8"/>
        </w:tc>
      </w:tr>
      <w:tr w:rsidR="005A6DB8" w:rsidRPr="005A6DB8" w14:paraId="00A9EBE2" w14:textId="77777777" w:rsidTr="005A6DB8">
        <w:trPr>
          <w:tblCellSpacing w:w="15" w:type="dxa"/>
        </w:trPr>
        <w:tc>
          <w:tcPr>
            <w:tcW w:w="0" w:type="auto"/>
            <w:vAlign w:val="center"/>
          </w:tcPr>
          <w:p w14:paraId="6BA54CDA" w14:textId="58422E05" w:rsidR="005A6DB8" w:rsidRPr="005A6DB8" w:rsidRDefault="005A6DB8" w:rsidP="005A6DB8"/>
        </w:tc>
        <w:tc>
          <w:tcPr>
            <w:tcW w:w="0" w:type="auto"/>
            <w:vAlign w:val="center"/>
          </w:tcPr>
          <w:p w14:paraId="3F82314B" w14:textId="77777777" w:rsidR="005A6DB8" w:rsidRPr="005A6DB8" w:rsidRDefault="005A6DB8" w:rsidP="005A6DB8"/>
        </w:tc>
      </w:tr>
    </w:tbl>
    <w:p w14:paraId="67987FA7" w14:textId="30449228" w:rsidR="009A062F" w:rsidRDefault="009A062F" w:rsidP="005A6DB8"/>
    <w:sectPr w:rsidR="009A06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62F"/>
    <w:rsid w:val="0001044B"/>
    <w:rsid w:val="00041282"/>
    <w:rsid w:val="00092E63"/>
    <w:rsid w:val="000B5948"/>
    <w:rsid w:val="000D185E"/>
    <w:rsid w:val="00110086"/>
    <w:rsid w:val="00146FA4"/>
    <w:rsid w:val="001C5A44"/>
    <w:rsid w:val="001E4D49"/>
    <w:rsid w:val="001E686E"/>
    <w:rsid w:val="002003FE"/>
    <w:rsid w:val="002A25F1"/>
    <w:rsid w:val="002B652B"/>
    <w:rsid w:val="00302024"/>
    <w:rsid w:val="00307BCB"/>
    <w:rsid w:val="00357440"/>
    <w:rsid w:val="003721D7"/>
    <w:rsid w:val="003E0ADA"/>
    <w:rsid w:val="00433FAD"/>
    <w:rsid w:val="00455723"/>
    <w:rsid w:val="00496CCE"/>
    <w:rsid w:val="004C27EC"/>
    <w:rsid w:val="004F0ADB"/>
    <w:rsid w:val="0050140B"/>
    <w:rsid w:val="005413C3"/>
    <w:rsid w:val="005A6DB8"/>
    <w:rsid w:val="005E2BB5"/>
    <w:rsid w:val="00630E7F"/>
    <w:rsid w:val="00643D16"/>
    <w:rsid w:val="006911F4"/>
    <w:rsid w:val="006D5790"/>
    <w:rsid w:val="006E593B"/>
    <w:rsid w:val="008049E3"/>
    <w:rsid w:val="00826635"/>
    <w:rsid w:val="00854642"/>
    <w:rsid w:val="008C6ED6"/>
    <w:rsid w:val="008E1ABA"/>
    <w:rsid w:val="00955693"/>
    <w:rsid w:val="009A062F"/>
    <w:rsid w:val="009B041A"/>
    <w:rsid w:val="009C10B8"/>
    <w:rsid w:val="009C6B87"/>
    <w:rsid w:val="00A15C9F"/>
    <w:rsid w:val="00A443A1"/>
    <w:rsid w:val="00A63431"/>
    <w:rsid w:val="00AD5C3B"/>
    <w:rsid w:val="00AF2AF3"/>
    <w:rsid w:val="00B151D1"/>
    <w:rsid w:val="00B24034"/>
    <w:rsid w:val="00B26FE1"/>
    <w:rsid w:val="00B343DA"/>
    <w:rsid w:val="00B35C91"/>
    <w:rsid w:val="00B37C46"/>
    <w:rsid w:val="00B7191D"/>
    <w:rsid w:val="00B757C9"/>
    <w:rsid w:val="00B9426C"/>
    <w:rsid w:val="00B94D35"/>
    <w:rsid w:val="00B95C9D"/>
    <w:rsid w:val="00BC4B44"/>
    <w:rsid w:val="00BE49B0"/>
    <w:rsid w:val="00BE529F"/>
    <w:rsid w:val="00C23C67"/>
    <w:rsid w:val="00C573C4"/>
    <w:rsid w:val="00C7347F"/>
    <w:rsid w:val="00CA0D4A"/>
    <w:rsid w:val="00CC3563"/>
    <w:rsid w:val="00D00452"/>
    <w:rsid w:val="00D031A2"/>
    <w:rsid w:val="00D13720"/>
    <w:rsid w:val="00D64B5F"/>
    <w:rsid w:val="00E65262"/>
    <w:rsid w:val="00FB3828"/>
    <w:rsid w:val="00FC54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A00CB"/>
  <w15:chartTrackingRefBased/>
  <w15:docId w15:val="{2AAAF673-6A94-4915-9AF6-118FCA9627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06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06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06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06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06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06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06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06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06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06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06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06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06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06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06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06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06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062F"/>
    <w:rPr>
      <w:rFonts w:eastAsiaTheme="majorEastAsia" w:cstheme="majorBidi"/>
      <w:color w:val="272727" w:themeColor="text1" w:themeTint="D8"/>
    </w:rPr>
  </w:style>
  <w:style w:type="paragraph" w:styleId="Title">
    <w:name w:val="Title"/>
    <w:basedOn w:val="Normal"/>
    <w:next w:val="Normal"/>
    <w:link w:val="TitleChar"/>
    <w:uiPriority w:val="10"/>
    <w:qFormat/>
    <w:rsid w:val="009A06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06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06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06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062F"/>
    <w:pPr>
      <w:spacing w:before="160"/>
      <w:jc w:val="center"/>
    </w:pPr>
    <w:rPr>
      <w:i/>
      <w:iCs/>
      <w:color w:val="404040" w:themeColor="text1" w:themeTint="BF"/>
    </w:rPr>
  </w:style>
  <w:style w:type="character" w:customStyle="1" w:styleId="QuoteChar">
    <w:name w:val="Quote Char"/>
    <w:basedOn w:val="DefaultParagraphFont"/>
    <w:link w:val="Quote"/>
    <w:uiPriority w:val="29"/>
    <w:rsid w:val="009A062F"/>
    <w:rPr>
      <w:i/>
      <w:iCs/>
      <w:color w:val="404040" w:themeColor="text1" w:themeTint="BF"/>
    </w:rPr>
  </w:style>
  <w:style w:type="paragraph" w:styleId="ListParagraph">
    <w:name w:val="List Paragraph"/>
    <w:basedOn w:val="Normal"/>
    <w:uiPriority w:val="34"/>
    <w:qFormat/>
    <w:rsid w:val="009A062F"/>
    <w:pPr>
      <w:ind w:left="720"/>
      <w:contextualSpacing/>
    </w:pPr>
  </w:style>
  <w:style w:type="character" w:styleId="IntenseEmphasis">
    <w:name w:val="Intense Emphasis"/>
    <w:basedOn w:val="DefaultParagraphFont"/>
    <w:uiPriority w:val="21"/>
    <w:qFormat/>
    <w:rsid w:val="009A062F"/>
    <w:rPr>
      <w:i/>
      <w:iCs/>
      <w:color w:val="0F4761" w:themeColor="accent1" w:themeShade="BF"/>
    </w:rPr>
  </w:style>
  <w:style w:type="paragraph" w:styleId="IntenseQuote">
    <w:name w:val="Intense Quote"/>
    <w:basedOn w:val="Normal"/>
    <w:next w:val="Normal"/>
    <w:link w:val="IntenseQuoteChar"/>
    <w:uiPriority w:val="30"/>
    <w:qFormat/>
    <w:rsid w:val="009A06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062F"/>
    <w:rPr>
      <w:i/>
      <w:iCs/>
      <w:color w:val="0F4761" w:themeColor="accent1" w:themeShade="BF"/>
    </w:rPr>
  </w:style>
  <w:style w:type="character" w:styleId="IntenseReference">
    <w:name w:val="Intense Reference"/>
    <w:basedOn w:val="DefaultParagraphFont"/>
    <w:uiPriority w:val="32"/>
    <w:qFormat/>
    <w:rsid w:val="009A062F"/>
    <w:rPr>
      <w:b/>
      <w:bCs/>
      <w:smallCaps/>
      <w:color w:val="0F4761" w:themeColor="accent1" w:themeShade="BF"/>
      <w:spacing w:val="5"/>
    </w:rPr>
  </w:style>
  <w:style w:type="table" w:styleId="TableGrid">
    <w:name w:val="Table Grid"/>
    <w:basedOn w:val="TableNormal"/>
    <w:uiPriority w:val="39"/>
    <w:rsid w:val="001E4D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174</TotalTime>
  <Pages>16</Pages>
  <Words>4280</Words>
  <Characters>24398</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Lax Martinez Gema (gema.laxmartinez)</dc:creator>
  <cp:keywords/>
  <dc:description/>
  <cp:lastModifiedBy>Lax Martinez Gema (gema.laxmartinez)</cp:lastModifiedBy>
  <cp:revision>62</cp:revision>
  <dcterms:created xsi:type="dcterms:W3CDTF">2025-10-29T14:43:00Z</dcterms:created>
  <dcterms:modified xsi:type="dcterms:W3CDTF">2025-10-30T11:43:00Z</dcterms:modified>
</cp:coreProperties>
</file>