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Heading"/>
      </w:pPr>
      <w:r>
        <w:t>01_Problem_Statement</w:t>
      </w:r>
    </w:p>
    <w:p>
      <w:pPr>
        <w:pStyle w:val="MainTitle"/>
      </w:pPr>
      <w:r>
        <w:t>Problem Statement</w:t>
      </w:r>
    </w:p>
    <w:p>
      <w:pPr>
        <w:pStyle w:val="Metadata"/>
      </w:pPr>
      <w:r>
        <w:t>Progetto: DAMA Shoes</w:t>
      </w:r>
    </w:p>
    <w:p>
      <w:pPr>
        <w:pStyle w:val="Metadata"/>
      </w:pPr>
      <w:r>
        <w:t>Repository: https://github.com/marcoleomessi10/progetto2026</w:t>
      </w:r>
    </w:p>
    <w:p>
      <w:pPr>
        <w:pStyle w:val="Metadata"/>
        <w:spacing w:after="0"/>
      </w:pPr>
      <w:r>
        <w:t>Versione del documento: 0.1</w:t>
      </w:r>
    </w:p>
    <w:p>
      <w:pPr>
        <w:pStyle w:val="SectionHeading"/>
      </w:pPr>
      <w:r>
        <w:t>1. Problem domain</w:t>
      </w:r>
    </w:p>
    <w:p>
      <w:pPr>
        <w:pStyle w:val="SubsectionHeading"/>
      </w:pPr>
      <w:r>
        <w:t>1.1 Problema da affrontare</w:t>
      </w:r>
    </w:p>
    <w:p>
      <w:pPr>
        <w:pStyle w:val="Body"/>
        <w:spacing w:after="240"/>
      </w:pPr>
      <w:r>
        <w:t>Il dominio è la vendita al dettaglio di calzature attraverso un negozio web. Un cliente deve individuare scarpe per tipologia, marca, caratteristiche e disponibilità, accumulare gli articoli in un carrello, identificarsi, indicare un recapito di spedizione, confermare l’acquisto, ritrovare gli ordini e verificarne lo stato. L’operatore del negozio deve amministrare il catalogo, la quantità disponibile e l’evasione degli ordini. Senza un sistema coordinato, informazioni di catalogo, giacenze e ordini possono diventare incoerenti, mentre il cliente non ha un percorso autosufficiente e tracciabile.</w:t>
      </w:r>
    </w:p>
    <w:p>
      <w:pPr>
        <w:pStyle w:val="SubsectionHeading"/>
      </w:pPr>
      <w:r>
        <w:t>1.2 Contesto e situazione di partenza</w:t>
      </w:r>
    </w:p>
    <w:p>
      <w:pPr>
        <w:pStyle w:val="Body"/>
        <w:spacing w:after="180"/>
      </w:pPr>
      <w:r>
        <w:t>AS-IS: catalogo con nove articoli di esempio appartenenti a Sneakers, Running, Eleganti; immagini locali; home con navigazione per categoria; dettaglio prodotto; registrazione e login; carrello di sessione; selezione del metodo di pagamento (Carta, PayPal, Contrassegno); registrazione ordini e righe d’ordine; consultazione degli ordini personali; area amministrativa per prodotti e ordini, comprensiva di filtri e aggiornamento stato. La struttura è Java Servlet/JSP, modello DAO/JDBC, database MySQL shoe_store, Java 21, Eclipse e configurazione Tomcat 11.</w:t>
      </w:r>
    </w:p>
    <w:p>
      <w:pPr>
        <w:pStyle w:val="Body"/>
        <w:spacing w:after="0"/>
      </w:pPr>
      <w:r>
        <w:t>Limiti osservabili: la giacenza è associata al prodotto, non alla taglia; il checkout salva testata, righe e aggiornamenti di stock con connessioni indipendenti; le pagine JSP stampano campi senza escaping HTML; il file context.xml include credenziali di database dimostrative.</w:t>
      </w:r>
    </w:p>
    <w:p>
      <w:pPr>
        <w:pStyle w:val="SubsectionHeading"/>
        <w:spacing w:before="240" w:after="0"/>
      </w:pPr>
      <w:r>
        <w:t>1.3 Stakeholder, utenti e responsabilità</w:t>
      </w:r>
    </w:p>
    <w:p>
      <w:pPr>
        <w:pageBreakBefore/>
        <w:spacing w:after="0" w:before="0" w:line="240" w:lineRule="auto"/>
      </w:pPr>
      <w:r>
        <w:rPr>
          <w:sz w:val="2"/>
        </w:rPr>
        <w:t xml:space="preserve"> </w:t>
      </w:r>
    </w:p>
    <w:p>
      <w:pPr>
        <w:pStyle w:val="Body"/>
        <w:spacing w:after="240"/>
      </w:pPr>
      <w:r>
        <w:rPr>
          <w:b/>
        </w:rPr>
        <w:t>Il visitatore anonimo</w:t>
      </w:r>
      <w:r>
        <w:t xml:space="preserve"> ha bisogno di conoscere le offerte, i prezzi, le categorie, le descrizioni dei prodotti e la loro disponibilità. Può consultare il catalogo e provare il carrello, preparando una selezione di articoli prima di accedere o registrarsi.</w:t>
      </w:r>
    </w:p>
    <w:p>
      <w:pPr>
        <w:pStyle w:val="Body"/>
        <w:spacing w:after="240"/>
      </w:pPr>
      <w:r>
        <w:rPr>
          <w:b/>
        </w:rPr>
        <w:t>L’amministratore del negozio</w:t>
      </w:r>
      <w:r>
        <w:t xml:space="preserve"> è responsabile della coerenza del catalogo, del controllo delle giacenze e della lavorazione degli ordini. Può creare e modificare i prodotti, attivarli o disattivarli, filtrare gli ordini e aggiornarne lo stato.</w:t>
      </w:r>
    </w:p>
    <w:p>
      <w:pPr>
        <w:pStyle w:val="Body"/>
        <w:spacing w:after="0"/>
      </w:pPr>
      <w:r>
        <w:rPr>
          <w:b/>
        </w:rPr>
        <w:t>Gli sviluppatori e i tester</w:t>
      </w:r>
      <w:r>
        <w:t xml:space="preserve"> si occupano della realizzazione, della revisione e del collaudo dei sottosistemi. Inoltre si occupano della configurazione sicura dell’ambiente, della disponibilità del sistema e della tracciabilità degli errori. Predispone Tomcat, il JDK, il database, le procedure di backup e gli strumenti di diagnostica.</w:t>
      </w:r>
    </w:p>
    <w:p>
      <w:pPr>
        <w:pStyle w:val="SubsectionHeading"/>
        <w:spacing w:before="260" w:after="260"/>
      </w:pPr>
      <w:r>
        <w:t>1.5 Problemi concretamente da risolvere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90"/>
        <w:gridCol w:w="2848"/>
      </w:tblGrid>
      <w:tr>
        <w:trPr>
          <w:tblHeader w:val="true"/>
        </w:trP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ID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Problema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Effetto</w:t>
            </w:r>
          </w:p>
        </w:tc>
      </w:tr>
      <w:t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P-01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Creazione testata, righe e decrementi giacenza senza transazione unitaria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Ordini parziali e giacenze incoerenti se una fase fallisce</w:t>
            </w:r>
          </w:p>
        </w:tc>
      </w:tr>
      <w:t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P-02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Nessuna scelta/taglia in catalogo, carrello o checkout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Un acquirente di calzature non può ordinare un numero specifico</w:t>
            </w:r>
          </w:p>
        </w:tc>
      </w:tr>
      <w:t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P-03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Valori di database visualizzati con espressioni JSP non escape-ate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Rischio di XSS attraverso dati salvati o riflessi</w:t>
            </w:r>
          </w:p>
        </w:tc>
      </w:tr>
      <w:t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P-04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Credenziali root/root presenti in context.xml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Gestione insicura delle credenziali e possibili privilegi eccessivi</w:t>
            </w:r>
          </w:p>
        </w:tc>
      </w:tr>
      <w:t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P-05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Promessa spedizione gratuita a soglia 100 € ma nessun costo spedizione computato nel checkout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Totale potenzialmente ambiguo; costo reale non definito</w:t>
            </w:r>
          </w:p>
        </w:tc>
      </w:tr>
      <w:t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P-06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Assenti scelte e gestione strutturate per annullamenti/resi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Ciclo post-vendita incompleto, da decidere come estensione</w:t>
            </w:r>
          </w:p>
        </w:tc>
      </w:tr>
      <w:t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P-07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Aggiunta al carrello rimane abilitato anche se articoli esauriti ma il server ne impedisce l’aggiunta(interfeccia incoerente)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Bottone visibile anche se articolo esaurito</w:t>
            </w:r>
          </w:p>
        </w:tc>
      </w:tr>
    </w:tbl>
    <w:p>
      <w:pPr>
        <w:pageBreakBefore/>
        <w:spacing w:after="0" w:before="0" w:line="240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90"/>
        <w:gridCol w:w="2848"/>
      </w:tblGrid>
      <w:tr>
        <w:trPr>
          <w:tblHeader w:val="true"/>
        </w:trP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ID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Problema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Effetto</w:t>
            </w:r>
          </w:p>
        </w:tc>
      </w:tr>
      <w:t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P-08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Controlli JavaScript aggirabili, formati e lunghezza dei campi non validati correttamente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Sql injection</w:t>
            </w:r>
          </w:p>
        </w:tc>
      </w:tr>
      <w:tr>
        <w:tc>
          <w:tcPr>
            <w:tcW w:type="dxa" w:w="180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P-09</w:t>
            </w:r>
          </w:p>
        </w:tc>
        <w:tc>
          <w:tcPr>
            <w:tcW w:type="dxa" w:w="4390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Assenza barra di ricerca</w:t>
            </w:r>
          </w:p>
        </w:tc>
        <w:tc>
          <w:tcPr>
            <w:tcW w:type="dxa" w:w="2848"/>
            <w:vAlign w:val="center"/>
            <w:tcMar>
              <w:top w:w="10" w:type="dxa"/>
              <w:start w:w="110" w:type="dxa"/>
              <w:bottom w:w="1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Ricerca difficoltosa per l’utente in presenza di numerosi articoli</w:t>
            </w:r>
          </w:p>
        </w:tc>
      </w:tr>
    </w:tbl>
    <w:p>
      <w:pPr>
        <w:pStyle w:val="SectionHeading"/>
        <w:spacing w:before="200" w:after="220"/>
      </w:pPr>
      <w:r>
        <w:t>2. Scenarios</w:t>
      </w:r>
    </w:p>
    <w:p>
      <w:pPr>
        <w:pStyle w:val="SubsectionHeading"/>
        <w:spacing w:before="80" w:after="80"/>
      </w:pPr>
      <w:r>
        <w:t>SC-01 — Registrazione di un nuovo cliente</w:t>
      </w:r>
    </w:p>
    <w:p>
      <w:pPr>
        <w:pStyle w:val="Body"/>
        <w:spacing w:after="220"/>
      </w:pPr>
      <w:r>
        <w:t>Un visitatore inserisce nome, cognome, e-mail, telefono opzionale, password e conferma. Il sistema controlla obbligatorietà, formato, corrispondenza password e unicità dell’e-mail; se corretti crea un account con ruolo CUSTOMER e lo autentica. Se l’e-mail è in uso o i dati non validi, la registrazione non avviene e un messaggio leggibile invita alla correzione.</w:t>
      </w:r>
    </w:p>
    <w:p>
      <w:pPr>
        <w:pStyle w:val="SubsectionHeading"/>
        <w:spacing w:before="100" w:after="80"/>
      </w:pPr>
      <w:r>
        <w:t>SC-02 — Conferma ordine riuscita</w:t>
      </w:r>
    </w:p>
    <w:p>
      <w:pPr>
        <w:pStyle w:val="Body"/>
        <w:spacing w:after="220"/>
      </w:pPr>
      <w:r>
        <w:t>Un cliente autenticato raggiunge il checkout con prodotti disponibili. Inserisce indirizzo di spedizione valido e sceglie un metodo di pagamento tra paypal, carta e contrassegno nel prototipo. Dopo il controllo finale, il sistema crea una sola testata ordine e le relative righe, scala correttamente lo stock e svuota il carrello. L’ordine risulta PROCESSING e compare nella cronologia personale. Non si comunica l’avvenuto incasso salvo integrazione reale autorizzata.</w:t>
      </w:r>
    </w:p>
    <w:p>
      <w:pPr>
        <w:pStyle w:val="SubsectionHeading"/>
        <w:spacing w:before="100" w:after="80"/>
      </w:pPr>
      <w:r>
        <w:t>SC-03 — Composizione del carrello senza account</w:t>
      </w:r>
    </w:p>
    <w:p>
      <w:pPr>
        <w:pStyle w:val="Body"/>
        <w:spacing w:after="160"/>
      </w:pPr>
      <w:r>
        <w:t>Un visitatore aggiunge una scarpa dal catalogo, incrementa/riduce la quantità, rimuove una riga o svuota il carrello. Il sito mostra quantità e subtotali aggiornati. L’utente può preparare il carrello anonimamente; per ordinare deve entrare con un account. Un carrello vuoto non può essere confermato. Il sistema non deve accettare quantità negative o maggiori dello stock effettivo.</w:t>
      </w:r>
    </w:p>
    <w:p>
      <w:pPr>
        <w:pStyle w:val="SectionHeading"/>
        <w:spacing w:before="120" w:after="120"/>
      </w:pPr>
      <w:r>
        <w:t>3. Functional requirements</w:t>
      </w:r>
    </w:p>
    <w:p>
      <w:pPr>
        <w:pStyle w:val="Body"/>
        <w:spacing w:after="0"/>
      </w:pPr>
      <w:r>
        <w:t>I requisiti esprimono ciò che il sistema deve fornire; lo stato nell’implementazione è segnalato per evitare di scambiare il codice esistente per un requisito verificato.</w:t>
      </w:r>
    </w:p>
    <w:p>
      <w:pPr>
        <w:pageBreakBefore/>
        <w:spacing w:after="0" w:before="0" w:line="240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38"/>
      </w:tblGrid>
      <w:tr>
        <w:trPr>
          <w:tblHeader w:val="true"/>
        </w:trP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ID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Requisito funzionale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FR-01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Mostrare solo prodotti attivi nel catalogo pubblico con nome, marca, prezzo, categoria, immagine e disponibilità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FR-02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Filtrare il catalogo per categorie supportate e ripristinare la vista completa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FR-03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Mostrare scheda prodotto e impedire acquisto di prodotti esauriti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FR-04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Registrare clienti con e-mail unica, dati coerenti e ruolo cliente, impedendo registrazioni incomplete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FR-05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Autenticare utenti e chiudere la sessione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FR-06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Gestire carrello anonimo o autenticato: aggiunta, aggiornamento, rimozione, svuotamento e totali coerenti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FR-07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Non consentire checkout anonimo o con carrello vuoto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FR-08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Prevenire invii duplicati e ripetizioni dell’ordine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FR-09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Consentire selezione e prenotazione della taglia e giacenze per variante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FR-10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Definire prezzo spedizione, soglia gratuità e totale finale prima della conferma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FR-11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Visualizzare elenco e dettaglio ordini solo al proprietario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FR-12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Admin: inserire, modificare, attivare e disattivare prodotti con controlli sui valori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FR-13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Admin: vedere ordini, filtrarli e consultarne le righe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FR-14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Admin: modificare stato ordine solo con transizioni valide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FR-15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Restituire messaggi chiari per input malformati, indisponibilità e errori applicativi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FR-16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Consentire ricerca per parola chiave, ordinamento, paginazione</w:t>
            </w:r>
          </w:p>
        </w:tc>
      </w:tr>
      <w:tr>
        <w:tc>
          <w:tcPr>
            <w:tcW w:type="dxa" w:w="1800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FR-17</w:t>
            </w:r>
          </w:p>
        </w:tc>
        <w:tc>
          <w:tcPr>
            <w:tcW w:type="dxa" w:w="7238"/>
            <w:vAlign w:val="center"/>
            <w:tcMar>
              <w:top w:w="28" w:type="dxa"/>
              <w:start w:w="110" w:type="dxa"/>
              <w:bottom w:w="28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Gestire notifiche, resi e pagamenti</w:t>
            </w:r>
          </w:p>
        </w:tc>
      </w:tr>
    </w:tbl>
    <w:p>
      <w:pPr>
        <w:pStyle w:val="SectionHeading"/>
        <w:spacing w:before="260" w:after="120"/>
      </w:pPr>
      <w:r>
        <w:t>4. Nonfunctional requirements</w:t>
      </w:r>
    </w:p>
    <w:p>
      <w:pPr>
        <w:pStyle w:val="Body"/>
        <w:spacing w:after="220"/>
      </w:pPr>
      <w:r>
        <w:t>I valori seguenti sono criteri proposti per il collaudo, non prestazioni già misurate.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0"/>
        <w:gridCol w:w="1888"/>
        <w:gridCol w:w="5330"/>
      </w:tblGrid>
      <w:tr>
        <w:trPr>
          <w:tblHeader w:val="true"/>
        </w:trPr>
        <w:tc>
          <w:tcPr>
            <w:tcW w:type="dxa" w:w="182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36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ID</w:t>
            </w:r>
          </w:p>
        </w:tc>
        <w:tc>
          <w:tcPr>
            <w:tcW w:type="dxa" w:w="1888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36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Campo</w:t>
            </w:r>
          </w:p>
        </w:tc>
        <w:tc>
          <w:tcPr>
            <w:tcW w:type="dxa" w:w="533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36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Descrizione del requisito</w:t>
            </w:r>
          </w:p>
        </w:tc>
      </w:tr>
      <w:tr>
        <w:tc>
          <w:tcPr>
            <w:tcW w:type="dxa" w:w="182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36" w:lineRule="auto"/>
            </w:pPr>
            <w:r>
              <w:rPr>
                <w:rFonts w:ascii="Arial" w:hAnsi="Arial"/>
                <w:color w:val="191919"/>
                <w:sz w:val="21"/>
              </w:rPr>
              <w:t>NFR-01</w:t>
            </w:r>
          </w:p>
        </w:tc>
        <w:tc>
          <w:tcPr>
            <w:tcW w:type="dxa" w:w="1888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36" w:lineRule="auto"/>
            </w:pPr>
            <w:r>
              <w:rPr>
                <w:rFonts w:ascii="Arial" w:hAnsi="Arial"/>
                <w:color w:val="191919"/>
                <w:sz w:val="21"/>
              </w:rPr>
              <w:t>Sicurezza account</w:t>
            </w:r>
          </w:p>
        </w:tc>
        <w:tc>
          <w:tcPr>
            <w:tcW w:type="dxa" w:w="533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36" w:lineRule="auto"/>
            </w:pPr>
            <w:r>
              <w:rPr>
                <w:rFonts w:ascii="Arial" w:hAnsi="Arial"/>
                <w:color w:val="191919"/>
                <w:sz w:val="21"/>
              </w:rPr>
              <w:t>Il sistema deve memorizzare le password degli utenti in forma non reversibile e consentire l’accesso solo dopo aver verificato le credenziali. Le sessioni devono essere invalidate al logout e</w:t>
            </w:r>
          </w:p>
        </w:tc>
      </w:tr>
    </w:tbl>
    <w:p>
      <w:pPr>
        <w:pageBreakBefore/>
        <w:spacing w:after="0" w:before="0" w:line="240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0"/>
        <w:gridCol w:w="1888"/>
        <w:gridCol w:w="5330"/>
      </w:tblGrid>
      <w:tr>
        <w:trPr>
          <w:tblHeader w:val="true"/>
        </w:trPr>
        <w:tc>
          <w:tcPr>
            <w:tcW w:type="dxa" w:w="182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ID</w:t>
            </w:r>
          </w:p>
        </w:tc>
        <w:tc>
          <w:tcPr>
            <w:tcW w:type="dxa" w:w="1888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Campo</w:t>
            </w:r>
          </w:p>
        </w:tc>
        <w:tc>
          <w:tcPr>
            <w:tcW w:type="dxa" w:w="533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Descrizione del requisito</w:t>
            </w:r>
          </w:p>
        </w:tc>
      </w:tr>
      <w:tr>
        <w:tc>
          <w:tcPr>
            <w:tcW w:type="dxa" w:w="182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</w:r>
          </w:p>
        </w:tc>
        <w:tc>
          <w:tcPr>
            <w:tcW w:type="dxa" w:w="1888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</w:r>
          </w:p>
        </w:tc>
        <w:tc>
          <w:tcPr>
            <w:tcW w:type="dxa" w:w="533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quando scadono, impedendo l’accesso alle pagine riservate senza autenticazione.</w:t>
            </w:r>
          </w:p>
        </w:tc>
      </w:tr>
      <w:tr>
        <w:tc>
          <w:tcPr>
            <w:tcW w:type="dxa" w:w="182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NFR-02</w:t>
            </w:r>
          </w:p>
        </w:tc>
        <w:tc>
          <w:tcPr>
            <w:tcW w:type="dxa" w:w="1888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Sicurezza applicativa</w:t>
            </w:r>
          </w:p>
        </w:tc>
        <w:tc>
          <w:tcPr>
            <w:tcW w:type="dxa" w:w="533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Il sistema deve verificare lato server tutti i dati ricevuti dal browser. Le query al database devono usare parametri separati dai comandi SQL e i dati dinamici visualizzati nelle pagine devono essere codificati, così da prevenire SQL injection e cross-site scripting.</w:t>
            </w:r>
          </w:p>
        </w:tc>
      </w:tr>
      <w:tr>
        <w:tc>
          <w:tcPr>
            <w:tcW w:type="dxa" w:w="182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NFR-03</w:t>
            </w:r>
          </w:p>
        </w:tc>
        <w:tc>
          <w:tcPr>
            <w:tcW w:type="dxa" w:w="1888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Riservatezza</w:t>
            </w:r>
          </w:p>
        </w:tc>
        <w:tc>
          <w:tcPr>
            <w:tcW w:type="dxa" w:w="533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Il sistema deve consentire l’accesso ai dati personali e alle funzioni riservate solo agli utenti autorizzati, secondo il loro ruolo. Le credenziali del database devono essere conservate nella configurazione dell’ambiente e non esposte nelle pagine, nelle risposte alle richieste o nel codice pubblicato.</w:t>
            </w:r>
          </w:p>
        </w:tc>
      </w:tr>
      <w:tr>
        <w:tc>
          <w:tcPr>
            <w:tcW w:type="dxa" w:w="182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NFR-04</w:t>
            </w:r>
          </w:p>
        </w:tc>
        <w:tc>
          <w:tcPr>
            <w:tcW w:type="dxa" w:w="1888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Consistenza</w:t>
            </w:r>
          </w:p>
        </w:tc>
        <w:tc>
          <w:tcPr>
            <w:tcW w:type="dxa" w:w="533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Durante la conferma di un ordine, il salvataggio dell’ordine, delle relative righe e l’aggiornamento delle giacenze devono essere eseguiti come un’unica operazione. Se una fase fallisce, il sistema deve annullare tutte le modifiche; le quantità disponibili non devono diventare negative.</w:t>
            </w:r>
          </w:p>
        </w:tc>
      </w:tr>
      <w:tr>
        <w:tc>
          <w:tcPr>
            <w:tcW w:type="dxa" w:w="182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NFR-05</w:t>
            </w:r>
          </w:p>
        </w:tc>
        <w:tc>
          <w:tcPr>
            <w:tcW w:type="dxa" w:w="1888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Affidabilità</w:t>
            </w:r>
          </w:p>
        </w:tc>
        <w:tc>
          <w:tcPr>
            <w:tcW w:type="dxa" w:w="533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Il sistema deve gestire errori di connessione e invii ripetuti senza creare ordini duplicati né lasciare ordini incompleti. In caso di errore, deve informare l’utente senza esporre dettagli tecnici e mantenere integri i dati già registrati.</w:t>
            </w:r>
          </w:p>
        </w:tc>
      </w:tr>
      <w:tr>
        <w:tc>
          <w:tcPr>
            <w:tcW w:type="dxa" w:w="182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NFR-06</w:t>
            </w:r>
          </w:p>
        </w:tc>
        <w:tc>
          <w:tcPr>
            <w:tcW w:type="dxa" w:w="1888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Usabilità</w:t>
            </w:r>
          </w:p>
        </w:tc>
        <w:tc>
          <w:tcPr>
            <w:tcW w:type="dxa" w:w="533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Il sistema deve presentare le informazioni e le azioni di catalogo, prodotto, carrello e checkout in modo comprensibile e coerente. Durante il checkout deve indicare chiaramente i passaggi da completare, i dati mancanti o non validi e il riepilogo dei prodotti e dei costi prima della conferma dell’ordine.</w:t>
            </w:r>
          </w:p>
        </w:tc>
      </w:tr>
      <w:tr>
        <w:tc>
          <w:tcPr>
            <w:tcW w:type="dxa" w:w="182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NFR-07</w:t>
            </w:r>
          </w:p>
        </w:tc>
        <w:tc>
          <w:tcPr>
            <w:tcW w:type="dxa" w:w="1888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Prestazioni</w:t>
            </w:r>
          </w:p>
        </w:tc>
        <w:tc>
          <w:tcPr>
            <w:tcW w:type="dxa" w:w="5330"/>
            <w:vAlign w:val="center"/>
            <w:tcMar>
              <w:top w:w="20" w:type="dxa"/>
              <w:start w:w="110" w:type="dxa"/>
              <w:bottom w:w="2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41" w:lineRule="auto"/>
            </w:pPr>
            <w:r>
              <w:rPr>
                <w:rFonts w:ascii="Arial" w:hAnsi="Arial"/>
                <w:color w:val="191919"/>
                <w:sz w:val="21"/>
              </w:rPr>
              <w:t>Il sistema deve caricare catalogo, dettagli dei prodotti, carrello e checkout entro 2 secondi nel 95% delle richieste, in condizioni di normale utilizzo e con un catalogo fino a 500 prodotti. Le operazioni di consultazione non devono bloccare le richieste degli altri utenti.</w:t>
            </w:r>
          </w:p>
        </w:tc>
      </w:tr>
    </w:tbl>
    <w:p>
      <w:pPr>
        <w:pageBreakBefore/>
        <w:spacing w:after="0" w:before="0" w:line="240" w:lineRule="auto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0"/>
        <w:gridCol w:w="1888"/>
        <w:gridCol w:w="5330"/>
      </w:tblGrid>
      <w:tr>
        <w:trPr>
          <w:tblHeader w:val="true"/>
        </w:trPr>
        <w:tc>
          <w:tcPr>
            <w:tcW w:type="dxa" w:w="1820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ID</w:t>
            </w:r>
          </w:p>
        </w:tc>
        <w:tc>
          <w:tcPr>
            <w:tcW w:type="dxa" w:w="1888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Campo</w:t>
            </w:r>
          </w:p>
        </w:tc>
        <w:tc>
          <w:tcPr>
            <w:tcW w:type="dxa" w:w="5330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Descrizione del requisito</w:t>
            </w:r>
          </w:p>
        </w:tc>
      </w:tr>
      <w:tr>
        <w:tc>
          <w:tcPr>
            <w:tcW w:type="dxa" w:w="1820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NFR-08</w:t>
            </w:r>
          </w:p>
        </w:tc>
        <w:tc>
          <w:tcPr>
            <w:tcW w:type="dxa" w:w="1888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Compatibilità</w:t>
            </w:r>
          </w:p>
        </w:tc>
        <w:tc>
          <w:tcPr>
            <w:tcW w:type="dxa" w:w="5330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Il sistema deve consentire la consultazione del catalogo e il completamento dell’acquisto nelle versioni stabili correnti di Chrome, Firefox ed Edge. L’interfaccia deve adattarsi a schermi desktop e mobili, mantenendo visibili e utilizzabili contenuti, moduli e comandi principali.</w:t>
            </w:r>
          </w:p>
        </w:tc>
      </w:tr>
      <w:tr>
        <w:tc>
          <w:tcPr>
            <w:tcW w:type="dxa" w:w="1820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NFR-09</w:t>
            </w:r>
          </w:p>
        </w:tc>
        <w:tc>
          <w:tcPr>
            <w:tcW w:type="dxa" w:w="1888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Manutenibilità</w:t>
            </w:r>
          </w:p>
        </w:tc>
        <w:tc>
          <w:tcPr>
            <w:tcW w:type="dxa" w:w="5330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Il sistema deve avere una struttura del codice organizzata e comprensibile, che consenta di correggere errori, aggiornare funzionalità e verificare le modifiche senza compromettere le altre parti dell'applicazione. Architettura MVC+DAO.</w:t>
            </w:r>
          </w:p>
        </w:tc>
      </w:tr>
      <w:tr>
        <w:tc>
          <w:tcPr>
            <w:tcW w:type="dxa" w:w="1820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NFR-10</w:t>
            </w:r>
          </w:p>
        </w:tc>
        <w:tc>
          <w:tcPr>
            <w:tcW w:type="dxa" w:w="1888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Privacy/legal</w:t>
            </w:r>
          </w:p>
        </w:tc>
        <w:tc>
          <w:tcPr>
            <w:tcW w:type="dxa" w:w="5330"/>
            <w:vAlign w:val="center"/>
            <w:tcMar>
              <w:top w:w="30" w:type="dxa"/>
              <w:start w:w="110" w:type="dxa"/>
              <w:bottom w:w="3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Il sistema deve raccogliere e usare i dati personali solo per le funzioni previste, limitarne l’accesso ai soggetti autorizzati e non mostrarli a utenti diversi dal proprietario o dagli amministratori autorizzati. I dati non più necessari devono poter essere rimossi o anonimizzati secondo le regole applicabili al contesto del progetto.</w:t>
            </w:r>
          </w:p>
        </w:tc>
      </w:tr>
    </w:tbl>
    <w:p>
      <w:pPr>
        <w:pStyle w:val="SectionHeading"/>
        <w:spacing w:before="320" w:after="180"/>
      </w:pPr>
      <w:r>
        <w:t>5. Target environment</w:t>
      </w:r>
    </w:p>
    <w:p>
      <w:pPr>
        <w:pStyle w:val="ListBody"/>
        <w:spacing w:after="80"/>
        <w:ind w:left="420" w:hanging="240"/>
      </w:pPr>
      <w:r>
        <w:rPr>
          <w:b/>
        </w:rPr>
        <w:t>•  Linguaggio:</w:t>
      </w:r>
      <w:r>
        <w:t xml:space="preserve"> Java, Eclipse Dynamic Web Project, Tomcat; file web.xml versione 6.0.</w:t>
      </w:r>
    </w:p>
    <w:p>
      <w:pPr>
        <w:pStyle w:val="ListBody"/>
        <w:spacing w:after="80"/>
        <w:ind w:left="420" w:hanging="240"/>
      </w:pPr>
      <w:r>
        <w:rPr>
          <w:b/>
        </w:rPr>
        <w:t>•  Lato server:</w:t>
      </w:r>
      <w:r>
        <w:t xml:space="preserve"> servlet Jakarta, JSP in WebContent/WEB-INF/view, DAO JDBC con javax.sql.DataSource ottenuto tramite JNDI (MainContext.java).</w:t>
      </w:r>
    </w:p>
    <w:p>
      <w:pPr>
        <w:pStyle w:val="ListBody"/>
        <w:spacing w:after="80"/>
        <w:ind w:left="420" w:hanging="240"/>
      </w:pPr>
      <w:r>
        <w:rPr>
          <w:b/>
        </w:rPr>
        <w:t>•  Database:</w:t>
      </w:r>
      <w:r>
        <w:t xml:space="preserve"> MySQL (shoe_store) con tabelle users, categories, products, orders, order_items, script db/storage.sql.</w:t>
      </w:r>
    </w:p>
    <w:p>
      <w:pPr>
        <w:pStyle w:val="ListBody"/>
        <w:spacing w:after="80"/>
        <w:ind w:left="420" w:hanging="240"/>
      </w:pPr>
      <w:r>
        <w:rPr>
          <w:b/>
        </w:rPr>
        <w:t>•  Front end:</w:t>
      </w:r>
      <w:r>
        <w:t xml:space="preserve"> HTML/CSS e JavaScript.</w:t>
      </w:r>
    </w:p>
    <w:p>
      <w:pPr>
        <w:pStyle w:val="ListBody"/>
        <w:spacing w:after="80"/>
        <w:ind w:left="420" w:hanging="240"/>
      </w:pPr>
      <w:r>
        <w:rPr>
          <w:b/>
        </w:rPr>
        <w:t>•  Deployment locale:</w:t>
      </w:r>
      <w:r>
        <w:t xml:space="preserve"> context.xml punta a localhost:3306 con credenziali dimostrative.</w:t>
      </w:r>
    </w:p>
    <w:p>
      <w:pPr>
        <w:pStyle w:val="SectionHeading"/>
        <w:spacing w:before="160" w:after="200"/>
      </w:pPr>
      <w:r>
        <w:t>6. Deliverable &amp; deadlines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38"/>
      </w:tblGrid>
      <w:tr>
        <w:trPr>
          <w:tblHeader w:val="true"/>
        </w:trPr>
        <w:tc>
          <w:tcPr>
            <w:tcW w:type="dxa" w:w="1800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Scadenza</w:t>
            </w:r>
          </w:p>
        </w:tc>
        <w:tc>
          <w:tcPr>
            <w:tcW w:type="dxa" w:w="7238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  <w:shd w:fill="F4F4F4"/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Deliverable richiesto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15 ottobre</w:t>
            </w:r>
          </w:p>
        </w:tc>
        <w:tc>
          <w:tcPr>
            <w:tcW w:type="dxa" w:w="7238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Problem Statement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27 ottobre</w:t>
            </w:r>
          </w:p>
        </w:tc>
        <w:tc>
          <w:tcPr>
            <w:tcW w:type="dxa" w:w="7238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Requisiti e casi d’uso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10 novembre</w:t>
            </w:r>
          </w:p>
        </w:tc>
        <w:tc>
          <w:tcPr>
            <w:tcW w:type="dxa" w:w="7238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Requirements Analysis Document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23 novembre</w:t>
            </w:r>
          </w:p>
        </w:tc>
        <w:tc>
          <w:tcPr>
            <w:tcW w:type="dxa" w:w="7238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System Design Document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15 dicembre</w:t>
            </w:r>
          </w:p>
        </w:tc>
        <w:tc>
          <w:tcPr>
            <w:tcW w:type="dxa" w:w="7238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Piano di test e specifica interfacce dei moduli</w:t>
            </w:r>
          </w:p>
        </w:tc>
      </w:tr>
      <w:tr>
        <w:tc>
          <w:tcPr>
            <w:tcW w:type="dxa" w:w="1800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b/>
                <w:color w:val="191919"/>
                <w:sz w:val="21"/>
              </w:rPr>
              <w:t>Consegna finale</w:t>
            </w:r>
          </w:p>
        </w:tc>
        <w:tc>
          <w:tcPr>
            <w:tcW w:type="dxa" w:w="7238"/>
            <w:vAlign w:val="center"/>
            <w:tcMar>
              <w:top w:w="40" w:type="dxa"/>
              <w:start w:w="110" w:type="dxa"/>
              <w:bottom w:w="40" w:type="dxa"/>
              <w:end w:w="110" w:type="dxa"/>
            </w:tcMar>
            <w:tcBorders>
              <w:top w:val="single" w:sz="3" w:color="DEDEDE"/>
              <w:left w:val="single" w:sz="3" w:color="DEDEDE"/>
              <w:bottom w:val="single" w:sz="3" w:color="DEDEDE"/>
              <w:right w:val="single" w:sz="3" w:color="DEDEDE"/>
            </w:tcBorders>
          </w:tcPr>
          <w:p>
            <w:pPr>
              <w:spacing w:after="0" w:before="0" w:line="355" w:lineRule="auto"/>
            </w:pPr>
            <w:r>
              <w:rPr>
                <w:rFonts w:ascii="Arial" w:hAnsi="Arial"/>
                <w:color w:val="191919"/>
                <w:sz w:val="21"/>
              </w:rPr>
              <w:t>Esecuzione dei test, Object Design e codice</w:t>
            </w:r>
          </w:p>
        </w:tc>
      </w:tr>
    </w:tbl>
    <w:sectPr w:rsidR="00FC693F" w:rsidRPr="0006063C" w:rsidSect="00034616">
      <w:footerReference w:type="default" r:id="rId9"/>
      <w:pgSz w:w="11918" w:h="16858"/>
      <w:pgMar w:top="1440" w:right="1440" w:bottom="1380" w:left="1440" w:header="500" w:footer="3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40" w:val="left"/>
      </w:tabs>
      <w:spacing w:after="0" w:line="240" w:lineRule="auto"/>
      <w:jc w:val="left"/>
    </w:pPr>
    <w:r>
      <w:rPr>
        <w:rFonts w:ascii="Arial" w:hAnsi="Arial"/>
        <w:color w:val="919191"/>
        <w:sz w:val="15"/>
      </w:rPr>
      <w:t>01_Problem_Statement</w:t>
    </w:r>
    <w:r>
      <w:tab/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48" w:lineRule="auto"/>
    </w:pPr>
    <w:rPr>
      <w:rFonts w:ascii="Arial" w:hAnsi="Arial"/>
      <w:color w:val="191919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Heading">
    <w:name w:val="Cover Heading"/>
    <w:basedOn w:val="Normal"/>
    <w:pPr>
      <w:spacing w:before="0" w:after="440" w:line="264" w:lineRule="auto"/>
    </w:pPr>
    <w:rPr>
      <w:rFonts w:ascii="Arial" w:hAnsi="Arial"/>
      <w:b/>
      <w:color w:val="101010"/>
      <w:sz w:val="60"/>
    </w:rPr>
  </w:style>
  <w:style w:type="paragraph" w:customStyle="1" w:styleId="MainTitle">
    <w:name w:val="Main Title"/>
    <w:basedOn w:val="Normal"/>
    <w:pPr>
      <w:spacing w:before="0" w:after="40" w:line="269" w:lineRule="auto"/>
    </w:pPr>
    <w:rPr>
      <w:rFonts w:ascii="Arial" w:hAnsi="Arial"/>
      <w:b/>
      <w:color w:val="101010"/>
      <w:sz w:val="45"/>
    </w:rPr>
  </w:style>
  <w:style w:type="paragraph" w:customStyle="1" w:styleId="SectionHeading">
    <w:name w:val="Section Heading"/>
    <w:basedOn w:val="Normal"/>
    <w:pPr>
      <w:spacing w:before="300" w:after="240" w:line="276" w:lineRule="auto"/>
    </w:pPr>
    <w:rPr>
      <w:rFonts w:ascii="Arial" w:hAnsi="Arial"/>
      <w:b/>
      <w:color w:val="101010"/>
      <w:sz w:val="36"/>
    </w:rPr>
  </w:style>
  <w:style w:type="paragraph" w:customStyle="1" w:styleId="SubsectionHeading">
    <w:name w:val="Subsection Heading"/>
    <w:basedOn w:val="Normal"/>
    <w:pPr>
      <w:spacing w:before="200" w:after="100" w:line="276" w:lineRule="auto"/>
    </w:pPr>
    <w:rPr>
      <w:rFonts w:ascii="Arial" w:hAnsi="Arial"/>
      <w:b/>
      <w:color w:val="101010"/>
      <w:sz w:val="30"/>
    </w:rPr>
  </w:style>
  <w:style w:type="paragraph" w:customStyle="1" w:styleId="Metadata">
    <w:name w:val="Metadata"/>
    <w:basedOn w:val="Normal"/>
    <w:pPr>
      <w:spacing w:before="0" w:after="140" w:line="288" w:lineRule="auto"/>
    </w:pPr>
    <w:rPr>
      <w:rFonts w:ascii="Arial" w:hAnsi="Arial"/>
      <w:b w:val="0"/>
      <w:color w:val="101010"/>
      <w:sz w:val="24"/>
    </w:rPr>
  </w:style>
  <w:style w:type="paragraph" w:customStyle="1" w:styleId="Body">
    <w:name w:val="Body"/>
    <w:basedOn w:val="Normal"/>
    <w:pPr>
      <w:spacing w:before="0" w:after="200" w:line="348" w:lineRule="auto"/>
    </w:pPr>
    <w:rPr>
      <w:rFonts w:ascii="Arial" w:hAnsi="Arial"/>
      <w:b w:val="0"/>
      <w:color w:val="101010"/>
      <w:sz w:val="24"/>
    </w:rPr>
  </w:style>
  <w:style w:type="paragraph" w:customStyle="1" w:styleId="ListBody">
    <w:name w:val="List Body"/>
    <w:basedOn w:val="Normal"/>
    <w:pPr>
      <w:spacing w:before="0" w:after="140" w:line="348" w:lineRule="auto"/>
    </w:pPr>
    <w:rPr>
      <w:rFonts w:ascii="Arial" w:hAnsi="Arial"/>
      <w:b w:val="0"/>
      <w:color w:val="10101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Statement — DAMA Shoes</dc:title>
  <dc:subject>Requisiti e problem statement del progetto DAMA Shoes</dc:subject>
  <dc:creator>Team DAMA Shoes</dc:creator>
  <cp:keywords>DAMA Shoes, Problem Statement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