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4F995" w14:textId="77777777" w:rsidR="00BD0F1D" w:rsidRDefault="00000000">
      <w:pPr>
        <w:spacing w:before="600" w:after="60"/>
        <w:jc w:val="center"/>
      </w:pPr>
      <w:r>
        <w:rPr>
          <w:b/>
          <w:bCs/>
          <w:color w:val="1F3A5F"/>
          <w:sz w:val="26"/>
          <w:szCs w:val="26"/>
        </w:rPr>
        <w:t>TECNOLÓGICO DE ESTUDIOS SUPERIORES DE ECATEPEC</w:t>
      </w:r>
    </w:p>
    <w:p w14:paraId="24F7A06C" w14:textId="77777777" w:rsidR="00BD0F1D" w:rsidRDefault="00000000">
      <w:pPr>
        <w:spacing w:after="60"/>
        <w:jc w:val="center"/>
      </w:pPr>
      <w:r>
        <w:rPr>
          <w:color w:val="555555"/>
          <w:sz w:val="24"/>
          <w:szCs w:val="24"/>
        </w:rPr>
        <w:t>División de Informática</w:t>
      </w:r>
    </w:p>
    <w:p w14:paraId="7942894F" w14:textId="77777777" w:rsidR="00BD0F1D" w:rsidRDefault="00000000">
      <w:pPr>
        <w:spacing w:before="400" w:after="120"/>
        <w:jc w:val="center"/>
      </w:pPr>
      <w:r>
        <w:rPr>
          <w:b/>
          <w:bCs/>
          <w:color w:val="1F3A5F"/>
          <w:sz w:val="44"/>
          <w:szCs w:val="44"/>
        </w:rPr>
        <w:t>REPORTE DE AVANCE METODOLÓGICO</w:t>
      </w:r>
    </w:p>
    <w:p w14:paraId="089A838E" w14:textId="39D3ABED" w:rsidR="00BD0F1D" w:rsidRDefault="00F7002B">
      <w:pPr>
        <w:spacing w:after="200"/>
        <w:jc w:val="center"/>
      </w:pPr>
      <w:r>
        <w:rPr>
          <w:b/>
          <w:bCs/>
          <w:color w:val="1F3A5F"/>
          <w:sz w:val="44"/>
          <w:szCs w:val="44"/>
        </w:rPr>
        <w:t>SEMANAL</w:t>
      </w:r>
    </w:p>
    <w:p w14:paraId="2AB588C6" w14:textId="77777777" w:rsidR="00BD0F1D" w:rsidRDefault="00000000">
      <w:pPr>
        <w:spacing w:after="700"/>
        <w:jc w:val="center"/>
      </w:pPr>
      <w:r>
        <w:rPr>
          <w:color w:val="2E75B6"/>
          <w:sz w:val="28"/>
          <w:szCs w:val="28"/>
        </w:rPr>
        <w:t>Proyecto de Residencia Profesional — Fase 2</w:t>
      </w:r>
    </w:p>
    <w:p w14:paraId="114CD186" w14:textId="77777777" w:rsidR="00BD0F1D" w:rsidRDefault="00000000">
      <w:pPr>
        <w:spacing w:after="700"/>
        <w:jc w:val="center"/>
      </w:pPr>
      <w:r>
        <w:rPr>
          <w:i/>
          <w:iCs/>
          <w:color w:val="555555"/>
          <w:sz w:val="24"/>
          <w:szCs w:val="24"/>
        </w:rPr>
        <w:t>Evolución de Estrategias y Experimentación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D0F1D" w14:paraId="206CAC02" w14:textId="77777777">
        <w:tblPrEx>
          <w:tblCellMar>
            <w:top w:w="0" w:type="dxa"/>
            <w:bottom w:w="0" w:type="dxa"/>
          </w:tblCellMar>
        </w:tblPrEx>
        <w:tc>
          <w:tcPr>
            <w:tcW w:w="2500" w:type="dxa"/>
            <w:tcBorders>
              <w:top w:val="single" w:sz="4" w:space="0" w:color="BFC9D4"/>
              <w:left w:val="single" w:sz="4" w:space="0" w:color="BFC9D4"/>
              <w:bottom w:val="single" w:sz="4" w:space="0" w:color="BFC9D4"/>
              <w:right w:val="single" w:sz="4" w:space="0" w:color="BFC9D4"/>
            </w:tcBorders>
            <w:shd w:val="clear" w:color="auto" w:fill="E8F0F8"/>
            <w:tcMar>
              <w:top w:w="90" w:type="dxa"/>
              <w:left w:w="130" w:type="dxa"/>
              <w:bottom w:w="90" w:type="dxa"/>
              <w:right w:w="130" w:type="dxa"/>
            </w:tcMar>
            <w:vAlign w:val="center"/>
          </w:tcPr>
          <w:p w14:paraId="4B0EC0FE" w14:textId="77777777" w:rsidR="00BD0F1D" w:rsidRDefault="00000000">
            <w:pPr>
              <w:spacing w:after="40"/>
            </w:pPr>
            <w:r>
              <w:rPr>
                <w:b/>
                <w:bCs/>
                <w:color w:val="1F3A5F"/>
                <w:sz w:val="21"/>
                <w:szCs w:val="21"/>
              </w:rPr>
              <w:t>Proyecto</w:t>
            </w:r>
          </w:p>
        </w:tc>
        <w:tc>
          <w:tcPr>
            <w:tcW w:w="686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100EBCC6" w14:textId="77777777" w:rsidR="00BD0F1D" w:rsidRDefault="00000000">
            <w:pPr>
              <w:spacing w:after="40"/>
            </w:pPr>
            <w:r>
              <w:rPr>
                <w:sz w:val="21"/>
                <w:szCs w:val="21"/>
              </w:rPr>
              <w:t xml:space="preserve">Prototipo de Motor de Decisiones Comportamentales para Riesgo de Crédito (Arquitectura Basada en </w:t>
            </w:r>
            <w:proofErr w:type="spellStart"/>
            <w:r>
              <w:rPr>
                <w:sz w:val="21"/>
                <w:szCs w:val="21"/>
              </w:rPr>
              <w:t>PowerCurve</w:t>
            </w:r>
            <w:proofErr w:type="spellEnd"/>
            <w:r>
              <w:rPr>
                <w:sz w:val="21"/>
                <w:szCs w:val="21"/>
              </w:rPr>
              <w:t xml:space="preserve"> </w:t>
            </w:r>
            <w:proofErr w:type="spellStart"/>
            <w:r>
              <w:rPr>
                <w:sz w:val="21"/>
                <w:szCs w:val="21"/>
              </w:rPr>
              <w:t>Strategy</w:t>
            </w:r>
            <w:proofErr w:type="spellEnd"/>
            <w:r>
              <w:rPr>
                <w:sz w:val="21"/>
                <w:szCs w:val="21"/>
              </w:rPr>
              <w:t xml:space="preserve"> Management)</w:t>
            </w:r>
          </w:p>
        </w:tc>
      </w:tr>
      <w:tr w:rsidR="00BD0F1D" w14:paraId="1F505641" w14:textId="77777777">
        <w:tblPrEx>
          <w:tblCellMar>
            <w:top w:w="0" w:type="dxa"/>
            <w:bottom w:w="0" w:type="dxa"/>
          </w:tblCellMar>
        </w:tblPrEx>
        <w:tc>
          <w:tcPr>
            <w:tcW w:w="2500" w:type="dxa"/>
            <w:tcBorders>
              <w:top w:val="single" w:sz="4" w:space="0" w:color="BFC9D4"/>
              <w:left w:val="single" w:sz="4" w:space="0" w:color="BFC9D4"/>
              <w:bottom w:val="single" w:sz="4" w:space="0" w:color="BFC9D4"/>
              <w:right w:val="single" w:sz="4" w:space="0" w:color="BFC9D4"/>
            </w:tcBorders>
            <w:shd w:val="clear" w:color="auto" w:fill="E8F0F8"/>
            <w:tcMar>
              <w:top w:w="90" w:type="dxa"/>
              <w:left w:w="130" w:type="dxa"/>
              <w:bottom w:w="90" w:type="dxa"/>
              <w:right w:w="130" w:type="dxa"/>
            </w:tcMar>
            <w:vAlign w:val="center"/>
          </w:tcPr>
          <w:p w14:paraId="040F856C" w14:textId="77777777" w:rsidR="00BD0F1D" w:rsidRDefault="00000000">
            <w:pPr>
              <w:spacing w:after="40"/>
            </w:pPr>
            <w:r>
              <w:rPr>
                <w:b/>
                <w:bCs/>
                <w:color w:val="1F3A5F"/>
                <w:sz w:val="21"/>
                <w:szCs w:val="21"/>
              </w:rPr>
              <w:t>Autor / Residente</w:t>
            </w:r>
          </w:p>
        </w:tc>
        <w:tc>
          <w:tcPr>
            <w:tcW w:w="686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627E38A7" w14:textId="77777777" w:rsidR="00BD0F1D" w:rsidRDefault="00000000">
            <w:pPr>
              <w:spacing w:after="40"/>
            </w:pPr>
            <w:r>
              <w:rPr>
                <w:sz w:val="21"/>
                <w:szCs w:val="21"/>
              </w:rPr>
              <w:t>Marco Antonio Oroza Ortega</w:t>
            </w:r>
          </w:p>
        </w:tc>
      </w:tr>
      <w:tr w:rsidR="00BD0F1D" w14:paraId="676246A3" w14:textId="77777777">
        <w:tblPrEx>
          <w:tblCellMar>
            <w:top w:w="0" w:type="dxa"/>
            <w:bottom w:w="0" w:type="dxa"/>
          </w:tblCellMar>
        </w:tblPrEx>
        <w:tc>
          <w:tcPr>
            <w:tcW w:w="2500" w:type="dxa"/>
            <w:tcBorders>
              <w:top w:val="single" w:sz="4" w:space="0" w:color="BFC9D4"/>
              <w:left w:val="single" w:sz="4" w:space="0" w:color="BFC9D4"/>
              <w:bottom w:val="single" w:sz="4" w:space="0" w:color="BFC9D4"/>
              <w:right w:val="single" w:sz="4" w:space="0" w:color="BFC9D4"/>
            </w:tcBorders>
            <w:shd w:val="clear" w:color="auto" w:fill="E8F0F8"/>
            <w:tcMar>
              <w:top w:w="90" w:type="dxa"/>
              <w:left w:w="130" w:type="dxa"/>
              <w:bottom w:w="90" w:type="dxa"/>
              <w:right w:w="130" w:type="dxa"/>
            </w:tcMar>
            <w:vAlign w:val="center"/>
          </w:tcPr>
          <w:p w14:paraId="6809D18E" w14:textId="77777777" w:rsidR="00BD0F1D" w:rsidRDefault="00000000">
            <w:pPr>
              <w:spacing w:after="40"/>
            </w:pPr>
            <w:r>
              <w:rPr>
                <w:b/>
                <w:bCs/>
                <w:color w:val="1F3A5F"/>
                <w:sz w:val="21"/>
                <w:szCs w:val="21"/>
              </w:rPr>
              <w:t>Fecha de reporte</w:t>
            </w:r>
          </w:p>
        </w:tc>
        <w:tc>
          <w:tcPr>
            <w:tcW w:w="686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5BB91B89" w14:textId="4B71AFE5" w:rsidR="00BD0F1D" w:rsidRDefault="0035362C">
            <w:pPr>
              <w:spacing w:after="40"/>
            </w:pPr>
            <w:r>
              <w:rPr>
                <w:sz w:val="21"/>
                <w:szCs w:val="21"/>
              </w:rPr>
              <w:t xml:space="preserve">16 </w:t>
            </w:r>
            <w:r w:rsidR="00000000">
              <w:rPr>
                <w:sz w:val="21"/>
                <w:szCs w:val="21"/>
              </w:rPr>
              <w:t>Octubre 2026</w:t>
            </w:r>
          </w:p>
        </w:tc>
      </w:tr>
      <w:tr w:rsidR="00BD0F1D" w14:paraId="3B4A2A43" w14:textId="77777777">
        <w:tblPrEx>
          <w:tblCellMar>
            <w:top w:w="0" w:type="dxa"/>
            <w:bottom w:w="0" w:type="dxa"/>
          </w:tblCellMar>
        </w:tblPrEx>
        <w:tc>
          <w:tcPr>
            <w:tcW w:w="2500" w:type="dxa"/>
            <w:tcBorders>
              <w:top w:val="single" w:sz="4" w:space="0" w:color="BFC9D4"/>
              <w:left w:val="single" w:sz="4" w:space="0" w:color="BFC9D4"/>
              <w:bottom w:val="single" w:sz="4" w:space="0" w:color="BFC9D4"/>
              <w:right w:val="single" w:sz="4" w:space="0" w:color="BFC9D4"/>
            </w:tcBorders>
            <w:shd w:val="clear" w:color="auto" w:fill="E8F0F8"/>
            <w:tcMar>
              <w:top w:w="90" w:type="dxa"/>
              <w:left w:w="130" w:type="dxa"/>
              <w:bottom w:w="90" w:type="dxa"/>
              <w:right w:w="130" w:type="dxa"/>
            </w:tcMar>
            <w:vAlign w:val="center"/>
          </w:tcPr>
          <w:p w14:paraId="403CBC52" w14:textId="77777777" w:rsidR="00BD0F1D" w:rsidRDefault="00000000">
            <w:pPr>
              <w:spacing w:after="40"/>
            </w:pPr>
            <w:r>
              <w:rPr>
                <w:b/>
                <w:bCs/>
                <w:color w:val="1F3A5F"/>
                <w:sz w:val="21"/>
                <w:szCs w:val="21"/>
              </w:rPr>
              <w:t>Tipo de entrega</w:t>
            </w:r>
          </w:p>
        </w:tc>
        <w:tc>
          <w:tcPr>
            <w:tcW w:w="686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75117F36" w14:textId="77777777" w:rsidR="00BD0F1D" w:rsidRDefault="00000000">
            <w:pPr>
              <w:spacing w:after="40"/>
            </w:pPr>
            <w:r>
              <w:rPr>
                <w:sz w:val="21"/>
                <w:szCs w:val="21"/>
              </w:rPr>
              <w:t>Avance de Metodología e Implementación Semanal</w:t>
            </w:r>
          </w:p>
        </w:tc>
      </w:tr>
    </w:tbl>
    <w:p w14:paraId="274418B2" w14:textId="77777777" w:rsidR="00BD0F1D" w:rsidRDefault="00000000">
      <w:r>
        <w:br w:type="page"/>
      </w:r>
    </w:p>
    <w:p w14:paraId="7A741BA8" w14:textId="77777777" w:rsidR="00BD0F1D" w:rsidRDefault="00BD0F1D">
      <w:pPr>
        <w:sectPr w:rsidR="00BD0F1D">
          <w:pgSz w:w="12240" w:h="15840"/>
          <w:pgMar w:top="1440" w:right="1440" w:bottom="1440" w:left="1440" w:header="708" w:footer="708" w:gutter="0"/>
          <w:cols w:space="720"/>
          <w:docGrid w:linePitch="360"/>
        </w:sectPr>
      </w:pPr>
    </w:p>
    <w:p w14:paraId="535608AC" w14:textId="77777777" w:rsidR="00BD0F1D" w:rsidRDefault="00000000">
      <w:pPr>
        <w:pStyle w:val="Ttulo1"/>
        <w:keepNext/>
      </w:pPr>
      <w:r>
        <w:lastRenderedPageBreak/>
        <w:t>1. Introducción y Contexto de la Evolución del Proyecto</w:t>
      </w:r>
    </w:p>
    <w:p w14:paraId="26978614" w14:textId="77777777" w:rsidR="00BD0F1D" w:rsidRDefault="00000000">
      <w:pPr>
        <w:spacing w:after="120" w:line="276" w:lineRule="auto"/>
        <w:jc w:val="both"/>
      </w:pPr>
      <w:r>
        <w:t xml:space="preserve">En el avance inicial del proyecto se resolvió la problemática medular de la banca minorista: la sustitución de procesos manuales y heurísticos en hojas de cálculo (Microsoft Excel) —carentes de trazabilidad, gobierno de datos y auditabilidad— por un </w:t>
      </w:r>
      <w:r>
        <w:rPr>
          <w:b/>
          <w:bCs/>
        </w:rPr>
        <w:t>motor de decisiones determinístico</w:t>
      </w:r>
      <w:r>
        <w:t xml:space="preserve"> basado en una arquitectura en capas en Python.</w:t>
      </w:r>
    </w:p>
    <w:p w14:paraId="1DFF6DB5" w14:textId="77777777" w:rsidR="00BD0F1D" w:rsidRDefault="00000000">
      <w:pPr>
        <w:keepNext/>
        <w:spacing w:after="120" w:line="276" w:lineRule="auto"/>
        <w:jc w:val="both"/>
      </w:pPr>
      <w:r>
        <w:t>Dicha primera fase sentó las bases operativas:</w:t>
      </w:r>
    </w:p>
    <w:p w14:paraId="6B207452" w14:textId="77777777" w:rsidR="00BD0F1D" w:rsidRDefault="00000000">
      <w:pPr>
        <w:pStyle w:val="Prrafodelista"/>
        <w:numPr>
          <w:ilvl w:val="0"/>
          <w:numId w:val="2"/>
        </w:numPr>
        <w:spacing w:after="80" w:line="276" w:lineRule="auto"/>
      </w:pPr>
      <w:r>
        <w:t xml:space="preserve">Ingesta estructurada y contratos de calidad de datos mediante </w:t>
      </w:r>
      <w:proofErr w:type="spellStart"/>
      <w:r>
        <w:t>Pydantic</w:t>
      </w:r>
      <w:proofErr w:type="spellEnd"/>
      <w:r>
        <w:t>.</w:t>
      </w:r>
    </w:p>
    <w:p w14:paraId="571B5723" w14:textId="77777777" w:rsidR="00BD0F1D" w:rsidRDefault="00000000">
      <w:pPr>
        <w:pStyle w:val="Prrafodelista"/>
        <w:numPr>
          <w:ilvl w:val="0"/>
          <w:numId w:val="2"/>
        </w:numPr>
        <w:spacing w:after="80" w:line="276" w:lineRule="auto"/>
      </w:pPr>
      <w:r>
        <w:t xml:space="preserve">Ingeniería de variables comportamentales (ratios de utilización y roll </w:t>
      </w:r>
      <w:proofErr w:type="spellStart"/>
      <w:r>
        <w:t>rates</w:t>
      </w:r>
      <w:proofErr w:type="spellEnd"/>
      <w:r>
        <w:t xml:space="preserve"> de mora).</w:t>
      </w:r>
    </w:p>
    <w:p w14:paraId="4EEAC28A" w14:textId="77777777" w:rsidR="00BD0F1D" w:rsidRDefault="00000000">
      <w:pPr>
        <w:pStyle w:val="Prrafodelista"/>
        <w:numPr>
          <w:ilvl w:val="0"/>
          <w:numId w:val="2"/>
        </w:numPr>
        <w:spacing w:after="80" w:line="276" w:lineRule="auto"/>
      </w:pPr>
      <w:r>
        <w:t>Árbol jerárquico de prelación con cinco políticas fundamentales (</w:t>
      </w:r>
      <w:r>
        <w:rPr>
          <w:i/>
          <w:iCs/>
        </w:rPr>
        <w:t>Knock-out</w:t>
      </w:r>
      <w:r>
        <w:t xml:space="preserve">, </w:t>
      </w:r>
      <w:r>
        <w:rPr>
          <w:i/>
          <w:iCs/>
        </w:rPr>
        <w:t>Contención</w:t>
      </w:r>
      <w:r>
        <w:t xml:space="preserve">, </w:t>
      </w:r>
      <w:r>
        <w:rPr>
          <w:i/>
          <w:iCs/>
        </w:rPr>
        <w:t>Mitigación</w:t>
      </w:r>
      <w:r>
        <w:t xml:space="preserve">, </w:t>
      </w:r>
      <w:r>
        <w:rPr>
          <w:i/>
          <w:iCs/>
        </w:rPr>
        <w:t>Expansión</w:t>
      </w:r>
      <w:r>
        <w:t xml:space="preserve"> y </w:t>
      </w:r>
      <w:r>
        <w:rPr>
          <w:i/>
          <w:iCs/>
        </w:rPr>
        <w:t>Mantenimiento</w:t>
      </w:r>
      <w:r>
        <w:t>).</w:t>
      </w:r>
    </w:p>
    <w:p w14:paraId="1F360665" w14:textId="77777777" w:rsidR="00BD0F1D" w:rsidRDefault="00000000">
      <w:pPr>
        <w:pStyle w:val="Prrafodelista"/>
        <w:numPr>
          <w:ilvl w:val="0"/>
          <w:numId w:val="2"/>
        </w:numPr>
        <w:spacing w:after="80" w:line="276" w:lineRule="auto"/>
      </w:pPr>
      <w:r>
        <w:t>Generación estandarizada de códigos de razón (</w:t>
      </w:r>
      <w:r>
        <w:rPr>
          <w:i/>
          <w:iCs/>
        </w:rPr>
        <w:t>Reason Codes</w:t>
      </w:r>
      <w:r>
        <w:t xml:space="preserve">) y </w:t>
      </w:r>
      <w:proofErr w:type="spellStart"/>
      <w:r>
        <w:t>dashboard</w:t>
      </w:r>
      <w:proofErr w:type="spellEnd"/>
      <w:r>
        <w:t xml:space="preserve"> interactivo en </w:t>
      </w:r>
      <w:proofErr w:type="spellStart"/>
      <w:r>
        <w:t>Streamlit</w:t>
      </w:r>
      <w:proofErr w:type="spellEnd"/>
      <w:r>
        <w:t>.</w:t>
      </w:r>
    </w:p>
    <w:p w14:paraId="76A0177F" w14:textId="77777777" w:rsidR="00BD0F1D" w:rsidRDefault="00000000">
      <w:pPr>
        <w:spacing w:before="120" w:after="120" w:line="276" w:lineRule="auto"/>
        <w:jc w:val="both"/>
      </w:pPr>
      <w:r>
        <w:t xml:space="preserve">Para este nuevo ciclo de avance semanal, el proyecto evoluciona hacia el </w:t>
      </w:r>
      <w:r>
        <w:rPr>
          <w:b/>
          <w:bCs/>
        </w:rPr>
        <w:t>marco metodológico avanzado de toma de decisiones crediticias</w:t>
      </w:r>
      <w:r>
        <w:t xml:space="preserve">. En la industria financiera y en soluciones de misión crítica tipo Experian </w:t>
      </w:r>
      <w:proofErr w:type="spellStart"/>
      <w:r>
        <w:t>PowerCurve</w:t>
      </w:r>
      <w:proofErr w:type="spellEnd"/>
      <w:r>
        <w:t xml:space="preserve">, una entidad bancaria </w:t>
      </w:r>
      <w:r>
        <w:rPr>
          <w:b/>
          <w:bCs/>
        </w:rPr>
        <w:t>nunca</w:t>
      </w:r>
      <w:r>
        <w:t xml:space="preserve"> reemplaza una política de crédito de forma directa sobre el 100% de la cartera. Se requiere una metodología rigurosa de experimentación, partición controlada de tráfico y dimensionamiento dinámico del riesgo.</w:t>
      </w:r>
    </w:p>
    <w:p w14:paraId="76B255ED" w14:textId="77777777" w:rsidR="00BD0F1D" w:rsidRDefault="00000000">
      <w:pPr>
        <w:pStyle w:val="Ttulo1"/>
        <w:keepNext/>
      </w:pPr>
      <w:r>
        <w:t>2. Marco Metodológico Adoptado</w:t>
      </w:r>
    </w:p>
    <w:p w14:paraId="3297496E" w14:textId="77777777" w:rsidR="00BD0F1D" w:rsidRDefault="00000000">
      <w:pPr>
        <w:keepNext/>
        <w:spacing w:after="120" w:line="276" w:lineRule="auto"/>
        <w:jc w:val="both"/>
      </w:pPr>
      <w:r>
        <w:t>El desarrollo implementado en esta etapa se rige bajo dos pilares metodológicos: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D0F1D" w14:paraId="190F38EE" w14:textId="77777777">
        <w:tblPrEx>
          <w:tblCellMar>
            <w:top w:w="0" w:type="dxa"/>
            <w:bottom w:w="0" w:type="dxa"/>
          </w:tblCellMar>
        </w:tblPrEx>
        <w:tc>
          <w:tcPr>
            <w:tcW w:w="4680" w:type="dxa"/>
            <w:tcBorders>
              <w:top w:val="single" w:sz="4" w:space="0" w:color="BFC9D4"/>
              <w:left w:val="single" w:sz="4" w:space="0" w:color="BFC9D4"/>
              <w:bottom w:val="single" w:sz="4" w:space="0" w:color="BFC9D4"/>
              <w:right w:val="single" w:sz="4" w:space="0" w:color="BFC9D4"/>
            </w:tcBorders>
            <w:tcMar>
              <w:top w:w="0" w:type="dxa"/>
              <w:left w:w="0" w:type="dxa"/>
              <w:bottom w:w="100" w:type="dxa"/>
              <w:right w:w="0" w:type="dxa"/>
            </w:tcMar>
          </w:tcPr>
          <w:p w14:paraId="70E8BCD3" w14:textId="77777777" w:rsidR="00BD0F1D" w:rsidRDefault="00000000">
            <w:pPr>
              <w:shd w:val="clear" w:color="auto" w:fill="1F3A5F"/>
              <w:spacing w:after="80"/>
              <w:jc w:val="center"/>
            </w:pPr>
            <w:r>
              <w:rPr>
                <w:b/>
                <w:bCs/>
                <w:color w:val="FFFFFF"/>
                <w:sz w:val="21"/>
                <w:szCs w:val="21"/>
              </w:rPr>
              <w:t>METODOLOGÍA DE INGENIERÍA DE SOFTWARE</w:t>
            </w:r>
          </w:p>
          <w:p w14:paraId="2BA0EFE0" w14:textId="77777777" w:rsidR="00BD0F1D" w:rsidRDefault="00000000">
            <w:pPr>
              <w:pStyle w:val="Prrafodelista"/>
              <w:numPr>
                <w:ilvl w:val="0"/>
                <w:numId w:val="3"/>
              </w:numPr>
              <w:spacing w:after="60"/>
            </w:pPr>
            <w:r>
              <w:rPr>
                <w:sz w:val="21"/>
                <w:szCs w:val="21"/>
              </w:rPr>
              <w:t>Arquitectura Limpia (</w:t>
            </w:r>
            <w:proofErr w:type="spellStart"/>
            <w:r>
              <w:rPr>
                <w:sz w:val="21"/>
                <w:szCs w:val="21"/>
              </w:rPr>
              <w:t>Clean</w:t>
            </w:r>
            <w:proofErr w:type="spellEnd"/>
            <w:r>
              <w:rPr>
                <w:sz w:val="21"/>
                <w:szCs w:val="21"/>
              </w:rPr>
              <w:t xml:space="preserve"> </w:t>
            </w:r>
            <w:proofErr w:type="spellStart"/>
            <w:r>
              <w:rPr>
                <w:sz w:val="21"/>
                <w:szCs w:val="21"/>
              </w:rPr>
              <w:t>Architecture</w:t>
            </w:r>
            <w:proofErr w:type="spellEnd"/>
            <w:r>
              <w:rPr>
                <w:sz w:val="21"/>
                <w:szCs w:val="21"/>
              </w:rPr>
              <w:t>)</w:t>
            </w:r>
          </w:p>
          <w:p w14:paraId="581F3CB7" w14:textId="77777777" w:rsidR="00BD0F1D" w:rsidRDefault="00000000">
            <w:pPr>
              <w:pStyle w:val="Prrafodelista"/>
              <w:numPr>
                <w:ilvl w:val="0"/>
                <w:numId w:val="3"/>
              </w:numPr>
              <w:spacing w:after="60"/>
            </w:pPr>
            <w:r>
              <w:rPr>
                <w:sz w:val="21"/>
                <w:szCs w:val="21"/>
              </w:rPr>
              <w:t>Diseño Dirigido por el Dominio (DDD)</w:t>
            </w:r>
          </w:p>
          <w:p w14:paraId="4169183D" w14:textId="77777777" w:rsidR="00BD0F1D" w:rsidRDefault="00000000">
            <w:pPr>
              <w:pStyle w:val="Prrafodelista"/>
              <w:numPr>
                <w:ilvl w:val="0"/>
                <w:numId w:val="3"/>
              </w:numPr>
              <w:spacing w:after="60"/>
            </w:pPr>
            <w:r>
              <w:rPr>
                <w:sz w:val="21"/>
                <w:szCs w:val="21"/>
              </w:rPr>
              <w:t xml:space="preserve">Desarrollo Guiado por Pruebas (TDD / </w:t>
            </w:r>
            <w:proofErr w:type="spellStart"/>
            <w:r>
              <w:rPr>
                <w:sz w:val="21"/>
                <w:szCs w:val="21"/>
              </w:rPr>
              <w:t>Pytest</w:t>
            </w:r>
            <w:proofErr w:type="spellEnd"/>
            <w:r>
              <w:rPr>
                <w:sz w:val="21"/>
                <w:szCs w:val="21"/>
              </w:rPr>
              <w:t>)</w:t>
            </w:r>
          </w:p>
          <w:p w14:paraId="77D3BB3E" w14:textId="77777777" w:rsidR="00BD0F1D" w:rsidRDefault="00000000">
            <w:pPr>
              <w:pStyle w:val="Prrafodelista"/>
              <w:numPr>
                <w:ilvl w:val="0"/>
                <w:numId w:val="3"/>
              </w:numPr>
              <w:spacing w:after="60"/>
            </w:pPr>
            <w:r>
              <w:rPr>
                <w:sz w:val="21"/>
                <w:szCs w:val="21"/>
              </w:rPr>
              <w:t>Entrega Continua y Versionado Git</w:t>
            </w:r>
          </w:p>
        </w:tc>
        <w:tc>
          <w:tcPr>
            <w:tcW w:w="4680" w:type="dxa"/>
            <w:tcBorders>
              <w:top w:val="single" w:sz="4" w:space="0" w:color="BFC9D4"/>
              <w:left w:val="single" w:sz="4" w:space="0" w:color="BFC9D4"/>
              <w:bottom w:val="single" w:sz="4" w:space="0" w:color="BFC9D4"/>
              <w:right w:val="single" w:sz="4" w:space="0" w:color="BFC9D4"/>
            </w:tcBorders>
            <w:tcMar>
              <w:top w:w="0" w:type="dxa"/>
              <w:left w:w="0" w:type="dxa"/>
              <w:bottom w:w="100" w:type="dxa"/>
              <w:right w:w="0" w:type="dxa"/>
            </w:tcMar>
          </w:tcPr>
          <w:p w14:paraId="10C3269F" w14:textId="77777777" w:rsidR="00BD0F1D" w:rsidRDefault="00000000">
            <w:pPr>
              <w:shd w:val="clear" w:color="auto" w:fill="1F3A5F"/>
              <w:spacing w:after="80"/>
              <w:jc w:val="center"/>
            </w:pPr>
            <w:r>
              <w:rPr>
                <w:b/>
                <w:bCs/>
                <w:color w:val="FFFFFF"/>
                <w:sz w:val="21"/>
                <w:szCs w:val="21"/>
              </w:rPr>
              <w:t>METODOLOGÍA DE RIESGO FINANCIERO</w:t>
            </w:r>
          </w:p>
          <w:p w14:paraId="29AD6739" w14:textId="77777777" w:rsidR="00BD0F1D" w:rsidRPr="00F7002B" w:rsidRDefault="00000000">
            <w:pPr>
              <w:pStyle w:val="Prrafodelista"/>
              <w:numPr>
                <w:ilvl w:val="0"/>
                <w:numId w:val="3"/>
              </w:numPr>
              <w:spacing w:after="60"/>
              <w:rPr>
                <w:lang w:val="en-US"/>
              </w:rPr>
            </w:pPr>
            <w:r w:rsidRPr="00F7002B">
              <w:rPr>
                <w:sz w:val="21"/>
                <w:szCs w:val="21"/>
                <w:lang w:val="en-US"/>
              </w:rPr>
              <w:t>Framework Champion / Challenger (A/B Testing)</w:t>
            </w:r>
          </w:p>
          <w:p w14:paraId="7C5DB7CA" w14:textId="77777777" w:rsidR="00BD0F1D" w:rsidRDefault="00000000">
            <w:pPr>
              <w:pStyle w:val="Prrafodelista"/>
              <w:numPr>
                <w:ilvl w:val="0"/>
                <w:numId w:val="3"/>
              </w:numPr>
              <w:spacing w:after="60"/>
            </w:pPr>
            <w:r>
              <w:rPr>
                <w:sz w:val="21"/>
                <w:szCs w:val="21"/>
              </w:rPr>
              <w:t xml:space="preserve">Matriz Bidimensional de Cupos (Matrix </w:t>
            </w:r>
            <w:proofErr w:type="spellStart"/>
            <w:r>
              <w:rPr>
                <w:sz w:val="21"/>
                <w:szCs w:val="21"/>
              </w:rPr>
              <w:t>Sizing</w:t>
            </w:r>
            <w:proofErr w:type="spellEnd"/>
            <w:r>
              <w:rPr>
                <w:sz w:val="21"/>
                <w:szCs w:val="21"/>
              </w:rPr>
              <w:t>)</w:t>
            </w:r>
          </w:p>
          <w:p w14:paraId="3260C887" w14:textId="77777777" w:rsidR="00BD0F1D" w:rsidRDefault="00000000">
            <w:pPr>
              <w:pStyle w:val="Prrafodelista"/>
              <w:numPr>
                <w:ilvl w:val="0"/>
                <w:numId w:val="3"/>
              </w:numPr>
              <w:spacing w:after="60"/>
            </w:pPr>
            <w:r>
              <w:rPr>
                <w:sz w:val="21"/>
                <w:szCs w:val="21"/>
              </w:rPr>
              <w:t>Mitigación Controlada de Exposición (EAD)</w:t>
            </w:r>
          </w:p>
          <w:p w14:paraId="45F9BE88" w14:textId="77777777" w:rsidR="00BD0F1D" w:rsidRDefault="00000000">
            <w:pPr>
              <w:pStyle w:val="Prrafodelista"/>
              <w:numPr>
                <w:ilvl w:val="0"/>
                <w:numId w:val="3"/>
              </w:numPr>
              <w:spacing w:after="60"/>
            </w:pPr>
            <w:proofErr w:type="spellStart"/>
            <w:r>
              <w:rPr>
                <w:sz w:val="21"/>
                <w:szCs w:val="21"/>
              </w:rPr>
              <w:t>Explicabilidad</w:t>
            </w:r>
            <w:proofErr w:type="spellEnd"/>
            <w:r>
              <w:rPr>
                <w:sz w:val="21"/>
                <w:szCs w:val="21"/>
              </w:rPr>
              <w:t xml:space="preserve"> Regulatoria (Basilea / CNBV)</w:t>
            </w:r>
          </w:p>
        </w:tc>
      </w:tr>
    </w:tbl>
    <w:p w14:paraId="7807CDE9" w14:textId="77777777" w:rsidR="00BD0F1D" w:rsidRDefault="00BD0F1D">
      <w:pPr>
        <w:spacing w:after="120"/>
      </w:pPr>
    </w:p>
    <w:p w14:paraId="5E736079" w14:textId="77777777" w:rsidR="00BD0F1D" w:rsidRDefault="00000000">
      <w:pPr>
        <w:pStyle w:val="Ttulo2"/>
        <w:keepNext/>
      </w:pPr>
      <w:r>
        <w:t>2.1 Metodología de Ingeniería de Software (</w:t>
      </w:r>
      <w:proofErr w:type="spellStart"/>
      <w:r>
        <w:t>Clean</w:t>
      </w:r>
      <w:proofErr w:type="spellEnd"/>
      <w:r>
        <w:t xml:space="preserve"> </w:t>
      </w:r>
      <w:proofErr w:type="spellStart"/>
      <w:r>
        <w:t>Architecture</w:t>
      </w:r>
      <w:proofErr w:type="spellEnd"/>
      <w:r>
        <w:t xml:space="preserve"> y TDD)</w:t>
      </w:r>
    </w:p>
    <w:p w14:paraId="0B48F37A" w14:textId="77777777" w:rsidR="00BD0F1D" w:rsidRDefault="00000000">
      <w:pPr>
        <w:keepNext/>
        <w:spacing w:after="120" w:line="276" w:lineRule="auto"/>
        <w:jc w:val="both"/>
      </w:pPr>
      <w:r>
        <w:t xml:space="preserve">Se profundizó el desacoplamiento de componentes mediante principios de </w:t>
      </w:r>
      <w:proofErr w:type="spellStart"/>
      <w:r>
        <w:rPr>
          <w:b/>
          <w:bCs/>
        </w:rPr>
        <w:t>Clean</w:t>
      </w:r>
      <w:proofErr w:type="spellEnd"/>
      <w:r>
        <w:rPr>
          <w:b/>
          <w:bCs/>
        </w:rPr>
        <w:t xml:space="preserve"> </w:t>
      </w:r>
      <w:proofErr w:type="spellStart"/>
      <w:r>
        <w:rPr>
          <w:b/>
          <w:bCs/>
        </w:rPr>
        <w:t>Architecture</w:t>
      </w:r>
      <w:proofErr w:type="spellEnd"/>
      <w:r>
        <w:t>:</w:t>
      </w:r>
    </w:p>
    <w:p w14:paraId="08B149EB" w14:textId="77777777" w:rsidR="00BD0F1D" w:rsidRDefault="00000000">
      <w:pPr>
        <w:pStyle w:val="Prrafodelista"/>
        <w:numPr>
          <w:ilvl w:val="0"/>
          <w:numId w:val="3"/>
        </w:numPr>
        <w:spacing w:after="80" w:line="276" w:lineRule="auto"/>
      </w:pPr>
      <w:r>
        <w:rPr>
          <w:b/>
          <w:bCs/>
        </w:rPr>
        <w:t xml:space="preserve">Capa de Dominio y Reglas: </w:t>
      </w:r>
      <w:r>
        <w:t xml:space="preserve">funciones puras e independientes de </w:t>
      </w:r>
      <w:proofErr w:type="spellStart"/>
      <w:r>
        <w:t>frameworks</w:t>
      </w:r>
      <w:proofErr w:type="spellEnd"/>
      <w:r>
        <w:t xml:space="preserve"> externos, encargadas de evaluar predicados lógicos financieros.</w:t>
      </w:r>
    </w:p>
    <w:p w14:paraId="146D7180" w14:textId="77777777" w:rsidR="00BD0F1D" w:rsidRDefault="00000000">
      <w:pPr>
        <w:pStyle w:val="Prrafodelista"/>
        <w:numPr>
          <w:ilvl w:val="0"/>
          <w:numId w:val="3"/>
        </w:numPr>
        <w:spacing w:after="80" w:line="276" w:lineRule="auto"/>
      </w:pPr>
      <w:r>
        <w:rPr>
          <w:b/>
          <w:bCs/>
        </w:rPr>
        <w:t xml:space="preserve">Capa de Orquestación y Estrategia: </w:t>
      </w:r>
      <w:r>
        <w:t>desacoplada de la fuente de datos; recibe contratos validados y asigna tratamientos determinísticos.</w:t>
      </w:r>
    </w:p>
    <w:p w14:paraId="45A7E6A9" w14:textId="77777777" w:rsidR="00BD0F1D" w:rsidRDefault="00000000">
      <w:pPr>
        <w:pStyle w:val="Prrafodelista"/>
        <w:numPr>
          <w:ilvl w:val="0"/>
          <w:numId w:val="3"/>
        </w:numPr>
        <w:spacing w:after="80" w:line="276" w:lineRule="auto"/>
      </w:pPr>
      <w:r>
        <w:rPr>
          <w:b/>
          <w:bCs/>
        </w:rPr>
        <w:lastRenderedPageBreak/>
        <w:t xml:space="preserve">Capa de Experimentación: </w:t>
      </w:r>
      <w:r>
        <w:t>nuevo módulo que gobierna la partición estocástica de clientes sin alterar el núcleo de reglas.</w:t>
      </w:r>
    </w:p>
    <w:p w14:paraId="5548ACD9" w14:textId="77777777" w:rsidR="00BD0F1D" w:rsidRDefault="00000000">
      <w:pPr>
        <w:pStyle w:val="Prrafodelista"/>
        <w:numPr>
          <w:ilvl w:val="0"/>
          <w:numId w:val="3"/>
        </w:numPr>
        <w:spacing w:after="80" w:line="276" w:lineRule="auto"/>
      </w:pPr>
      <w:r>
        <w:rPr>
          <w:b/>
          <w:bCs/>
        </w:rPr>
        <w:t>Metodología TDD (Test-</w:t>
      </w:r>
      <w:proofErr w:type="spellStart"/>
      <w:r>
        <w:rPr>
          <w:b/>
          <w:bCs/>
        </w:rPr>
        <w:t>Driven</w:t>
      </w:r>
      <w:proofErr w:type="spellEnd"/>
      <w:r>
        <w:rPr>
          <w:b/>
          <w:bCs/>
        </w:rPr>
        <w:t xml:space="preserve"> </w:t>
      </w:r>
      <w:proofErr w:type="spellStart"/>
      <w:r>
        <w:rPr>
          <w:b/>
          <w:bCs/>
        </w:rPr>
        <w:t>Development</w:t>
      </w:r>
      <w:proofErr w:type="spellEnd"/>
      <w:r>
        <w:rPr>
          <w:b/>
          <w:bCs/>
        </w:rPr>
        <w:t xml:space="preserve">): </w:t>
      </w:r>
      <w:r>
        <w:t>ningún algoritmo de política se despliega sin pruebas unitarias automatizadas que garanticen la no-colisión de reglas y la consistencia en condiciones frontera (</w:t>
      </w:r>
      <w:proofErr w:type="spellStart"/>
      <w:r>
        <w:rPr>
          <w:i/>
          <w:iCs/>
        </w:rPr>
        <w:t>boundary</w:t>
      </w:r>
      <w:proofErr w:type="spellEnd"/>
      <w:r>
        <w:rPr>
          <w:i/>
          <w:iCs/>
        </w:rPr>
        <w:t xml:space="preserve"> </w:t>
      </w:r>
      <w:proofErr w:type="spellStart"/>
      <w:r>
        <w:rPr>
          <w:i/>
          <w:iCs/>
        </w:rPr>
        <w:t>values</w:t>
      </w:r>
      <w:proofErr w:type="spellEnd"/>
      <w:r>
        <w:t>).</w:t>
      </w:r>
    </w:p>
    <w:p w14:paraId="601BD74C" w14:textId="77777777" w:rsidR="00BD0F1D" w:rsidRDefault="00000000">
      <w:pPr>
        <w:pStyle w:val="Ttulo2"/>
        <w:keepNext/>
      </w:pPr>
      <w:r>
        <w:t xml:space="preserve">2.2 Metodología de Riesgo: Framework Champion / Challenger (A/B </w:t>
      </w:r>
      <w:proofErr w:type="spellStart"/>
      <w:r>
        <w:t>Testing</w:t>
      </w:r>
      <w:proofErr w:type="spellEnd"/>
      <w:r>
        <w:t xml:space="preserve"> Crediticio)</w:t>
      </w:r>
    </w:p>
    <w:p w14:paraId="271F6FFA" w14:textId="77777777" w:rsidR="00BD0F1D" w:rsidRDefault="00000000">
      <w:pPr>
        <w:keepNext/>
        <w:spacing w:after="120" w:line="276" w:lineRule="auto"/>
        <w:jc w:val="both"/>
      </w:pPr>
      <w:r>
        <w:t xml:space="preserve">La metodología </w:t>
      </w:r>
      <w:r>
        <w:rPr>
          <w:b/>
          <w:bCs/>
        </w:rPr>
        <w:t>Champion/Challenger</w:t>
      </w:r>
      <w:r>
        <w:t xml:space="preserve"> es el estándar de oro en el diseño estratégico de motores de crédito:</w:t>
      </w:r>
    </w:p>
    <w:p w14:paraId="7C179CD6" w14:textId="77777777" w:rsidR="00BD0F1D" w:rsidRDefault="00000000">
      <w:pPr>
        <w:pStyle w:val="Prrafodelista"/>
        <w:numPr>
          <w:ilvl w:val="0"/>
          <w:numId w:val="4"/>
        </w:numPr>
        <w:spacing w:after="80" w:line="276" w:lineRule="auto"/>
      </w:pPr>
      <w:r>
        <w:rPr>
          <w:b/>
          <w:bCs/>
        </w:rPr>
        <w:t xml:space="preserve">Estrategia Champion (línea base vigente): </w:t>
      </w:r>
      <w:r>
        <w:t>política formalmente autorizada y aprobada por el comité de riesgo, aplicada a la mayor parte de la población (típicamente entre 70% y 85% de la cartera).</w:t>
      </w:r>
    </w:p>
    <w:p w14:paraId="30E8C7D6" w14:textId="77777777" w:rsidR="00BD0F1D" w:rsidRDefault="00000000">
      <w:pPr>
        <w:pStyle w:val="Prrafodelista"/>
        <w:numPr>
          <w:ilvl w:val="0"/>
          <w:numId w:val="4"/>
        </w:numPr>
        <w:spacing w:after="80" w:line="276" w:lineRule="auto"/>
      </w:pPr>
      <w:r>
        <w:rPr>
          <w:b/>
          <w:bCs/>
        </w:rPr>
        <w:t xml:space="preserve">Estrategia Challenger (política retadora): </w:t>
      </w:r>
      <w:r>
        <w:t>variante estratégica con hipótesis de optimización (por ejemplo, umbrales de morosidad más tempranos para contener pérdidas, o deciles de score más exigentes para otorgar incrementos).</w:t>
      </w:r>
    </w:p>
    <w:p w14:paraId="6D472D96" w14:textId="77777777" w:rsidR="00BD0F1D" w:rsidRDefault="00000000">
      <w:pPr>
        <w:pStyle w:val="Prrafodelista"/>
        <w:numPr>
          <w:ilvl w:val="0"/>
          <w:numId w:val="4"/>
        </w:numPr>
        <w:spacing w:after="80" w:line="276" w:lineRule="auto"/>
      </w:pPr>
      <w:r>
        <w:rPr>
          <w:b/>
          <w:bCs/>
        </w:rPr>
        <w:t xml:space="preserve">Mecanismo de partición controlada: </w:t>
      </w:r>
      <w:r>
        <w:t>se divide la cartera de forma pseudoaleatoria y determinística para evaluar simultáneamente ambas estrategias sobre clientes homogéneos.</w:t>
      </w:r>
    </w:p>
    <w:p w14:paraId="5EACD351" w14:textId="77777777" w:rsidR="00BD0F1D" w:rsidRDefault="00000000">
      <w:pPr>
        <w:pStyle w:val="Prrafodelista"/>
        <w:numPr>
          <w:ilvl w:val="0"/>
          <w:numId w:val="4"/>
        </w:numPr>
        <w:spacing w:after="80" w:line="276" w:lineRule="auto"/>
      </w:pPr>
      <w:r>
        <w:rPr>
          <w:b/>
          <w:bCs/>
        </w:rPr>
        <w:t xml:space="preserve">Criterios de promoción: </w:t>
      </w:r>
      <w:r>
        <w:t>si tras un periodo de simulación la estrategia Challenger demuestra mitigar mayor morosidad sin castigar la rentabilidad de clientes solventes, el comité promueve la política Challenger para convertirse en el nuevo Champion.</w:t>
      </w:r>
    </w:p>
    <w:p w14:paraId="2733C622" w14:textId="77777777" w:rsidR="00BD0F1D" w:rsidRDefault="00000000">
      <w:pPr>
        <w:pStyle w:val="Ttulo2"/>
        <w:keepNext/>
      </w:pPr>
      <w:r>
        <w:t xml:space="preserve">2.3 Metodología de Asignación Bidimensional de Límites (Matrix Limit </w:t>
      </w:r>
      <w:proofErr w:type="spellStart"/>
      <w:r>
        <w:t>Sizing</w:t>
      </w:r>
      <w:proofErr w:type="spellEnd"/>
      <w:r>
        <w:t>)</w:t>
      </w:r>
    </w:p>
    <w:p w14:paraId="0844DBEC" w14:textId="77777777" w:rsidR="00BD0F1D" w:rsidRDefault="00000000">
      <w:pPr>
        <w:spacing w:after="120" w:line="276" w:lineRule="auto"/>
        <w:jc w:val="both"/>
      </w:pPr>
      <w:r>
        <w:t>En los motores elementales, los aumentos y decrementos de cupo suelen calcularse como un factor estático plano (por ejemplo, +25% general a todos los aprobados). En este avance metodológico se implementó una Matriz de Asignación Escalonada por Deciles:</w:t>
      </w:r>
    </w:p>
    <w:p w14:paraId="54B5B0D8" w14:textId="77777777" w:rsidR="00BD0F1D" w:rsidRDefault="00000000">
      <w:pPr>
        <w:keepNext/>
        <w:spacing w:before="120" w:after="80"/>
      </w:pPr>
      <w:r>
        <w:rPr>
          <w:b/>
          <w:bCs/>
          <w:color w:val="2E75B6"/>
        </w:rPr>
        <w:t>Expansión escalonada (Regla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560"/>
        <w:gridCol w:w="2400"/>
      </w:tblGrid>
      <w:tr w:rsidR="00BD0F1D" w14:paraId="4D4C98B3" w14:textId="77777777">
        <w:tblPrEx>
          <w:tblCellMar>
            <w:top w:w="0" w:type="dxa"/>
            <w:bottom w:w="0" w:type="dxa"/>
          </w:tblCellMar>
        </w:tblPrEx>
        <w:trPr>
          <w:tblHeader/>
        </w:trPr>
        <w:tc>
          <w:tcPr>
            <w:tcW w:w="3400" w:type="dxa"/>
            <w:tcBorders>
              <w:top w:val="single" w:sz="4" w:space="0" w:color="BFC9D4"/>
              <w:left w:val="single" w:sz="4" w:space="0" w:color="BFC9D4"/>
              <w:bottom w:val="single" w:sz="4" w:space="0" w:color="BFC9D4"/>
              <w:right w:val="single" w:sz="4" w:space="0" w:color="BFC9D4"/>
            </w:tcBorders>
            <w:shd w:val="clear" w:color="auto" w:fill="1F3A5F"/>
            <w:tcMar>
              <w:top w:w="90" w:type="dxa"/>
              <w:left w:w="130" w:type="dxa"/>
              <w:bottom w:w="90" w:type="dxa"/>
              <w:right w:w="130" w:type="dxa"/>
            </w:tcMar>
            <w:vAlign w:val="center"/>
          </w:tcPr>
          <w:p w14:paraId="594E2C94" w14:textId="77777777" w:rsidR="00BD0F1D" w:rsidRDefault="00000000">
            <w:pPr>
              <w:spacing w:after="40"/>
              <w:jc w:val="center"/>
            </w:pPr>
            <w:r>
              <w:rPr>
                <w:b/>
                <w:bCs/>
                <w:color w:val="FFFFFF"/>
                <w:sz w:val="21"/>
                <w:szCs w:val="21"/>
              </w:rPr>
              <w:t>Segmento</w:t>
            </w:r>
          </w:p>
        </w:tc>
        <w:tc>
          <w:tcPr>
            <w:tcW w:w="3560" w:type="dxa"/>
            <w:tcBorders>
              <w:top w:val="single" w:sz="4" w:space="0" w:color="BFC9D4"/>
              <w:left w:val="single" w:sz="4" w:space="0" w:color="BFC9D4"/>
              <w:bottom w:val="single" w:sz="4" w:space="0" w:color="BFC9D4"/>
              <w:right w:val="single" w:sz="4" w:space="0" w:color="BFC9D4"/>
            </w:tcBorders>
            <w:shd w:val="clear" w:color="auto" w:fill="1F3A5F"/>
            <w:tcMar>
              <w:top w:w="90" w:type="dxa"/>
              <w:left w:w="130" w:type="dxa"/>
              <w:bottom w:w="90" w:type="dxa"/>
              <w:right w:w="130" w:type="dxa"/>
            </w:tcMar>
            <w:vAlign w:val="center"/>
          </w:tcPr>
          <w:p w14:paraId="27110900" w14:textId="77777777" w:rsidR="00BD0F1D" w:rsidRDefault="00000000">
            <w:pPr>
              <w:spacing w:after="40"/>
              <w:jc w:val="center"/>
            </w:pPr>
            <w:r>
              <w:rPr>
                <w:b/>
                <w:bCs/>
                <w:color w:val="FFFFFF"/>
                <w:sz w:val="21"/>
                <w:szCs w:val="21"/>
              </w:rPr>
              <w:t>Score comportamental</w:t>
            </w:r>
          </w:p>
        </w:tc>
        <w:tc>
          <w:tcPr>
            <w:tcW w:w="2400" w:type="dxa"/>
            <w:tcBorders>
              <w:top w:val="single" w:sz="4" w:space="0" w:color="BFC9D4"/>
              <w:left w:val="single" w:sz="4" w:space="0" w:color="BFC9D4"/>
              <w:bottom w:val="single" w:sz="4" w:space="0" w:color="BFC9D4"/>
              <w:right w:val="single" w:sz="4" w:space="0" w:color="BFC9D4"/>
            </w:tcBorders>
            <w:shd w:val="clear" w:color="auto" w:fill="1F3A5F"/>
            <w:tcMar>
              <w:top w:w="90" w:type="dxa"/>
              <w:left w:w="130" w:type="dxa"/>
              <w:bottom w:w="90" w:type="dxa"/>
              <w:right w:w="130" w:type="dxa"/>
            </w:tcMar>
            <w:vAlign w:val="center"/>
          </w:tcPr>
          <w:p w14:paraId="539319AB" w14:textId="77777777" w:rsidR="00BD0F1D" w:rsidRDefault="00000000">
            <w:pPr>
              <w:spacing w:after="40"/>
              <w:jc w:val="center"/>
            </w:pPr>
            <w:r>
              <w:rPr>
                <w:b/>
                <w:bCs/>
                <w:color w:val="FFFFFF"/>
                <w:sz w:val="21"/>
                <w:szCs w:val="21"/>
              </w:rPr>
              <w:t>Incremento de línea</w:t>
            </w:r>
          </w:p>
        </w:tc>
      </w:tr>
      <w:tr w:rsidR="00BD0F1D" w14:paraId="50C75D81" w14:textId="77777777">
        <w:tblPrEx>
          <w:tblCellMar>
            <w:top w:w="0" w:type="dxa"/>
            <w:bottom w:w="0" w:type="dxa"/>
          </w:tblCellMar>
        </w:tblPrEx>
        <w:tc>
          <w:tcPr>
            <w:tcW w:w="34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0E8AF43B" w14:textId="77777777" w:rsidR="00BD0F1D" w:rsidRDefault="00000000">
            <w:pPr>
              <w:spacing w:after="40"/>
            </w:pPr>
            <w:r>
              <w:rPr>
                <w:b/>
                <w:bCs/>
                <w:sz w:val="21"/>
                <w:szCs w:val="21"/>
              </w:rPr>
              <w:t>Super Prime</w:t>
            </w:r>
          </w:p>
        </w:tc>
        <w:tc>
          <w:tcPr>
            <w:tcW w:w="356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03C82FD0" w14:textId="77777777" w:rsidR="00BD0F1D" w:rsidRDefault="00000000">
            <w:pPr>
              <w:spacing w:after="40"/>
              <w:jc w:val="center"/>
            </w:pPr>
            <w:r>
              <w:rPr>
                <w:sz w:val="21"/>
                <w:szCs w:val="21"/>
              </w:rPr>
              <w:t>≥ 800 puntos</w:t>
            </w:r>
          </w:p>
        </w:tc>
        <w:tc>
          <w:tcPr>
            <w:tcW w:w="24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31DEF0C4" w14:textId="77777777" w:rsidR="00BD0F1D" w:rsidRDefault="00000000">
            <w:pPr>
              <w:spacing w:after="40"/>
              <w:jc w:val="center"/>
            </w:pPr>
            <w:r>
              <w:rPr>
                <w:b/>
                <w:bCs/>
                <w:color w:val="1E7B4F"/>
                <w:sz w:val="21"/>
                <w:szCs w:val="21"/>
              </w:rPr>
              <w:t>+35%</w:t>
            </w:r>
          </w:p>
        </w:tc>
      </w:tr>
      <w:tr w:rsidR="00BD0F1D" w14:paraId="0082EEDB" w14:textId="77777777">
        <w:tblPrEx>
          <w:tblCellMar>
            <w:top w:w="0" w:type="dxa"/>
            <w:bottom w:w="0" w:type="dxa"/>
          </w:tblCellMar>
        </w:tblPrEx>
        <w:tc>
          <w:tcPr>
            <w:tcW w:w="340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0B5AF096" w14:textId="77777777" w:rsidR="00BD0F1D" w:rsidRDefault="00000000">
            <w:pPr>
              <w:spacing w:after="40"/>
            </w:pPr>
            <w:r>
              <w:rPr>
                <w:b/>
                <w:bCs/>
                <w:sz w:val="21"/>
                <w:szCs w:val="21"/>
              </w:rPr>
              <w:t>Prime Alto</w:t>
            </w:r>
          </w:p>
        </w:tc>
        <w:tc>
          <w:tcPr>
            <w:tcW w:w="356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3ACC7259" w14:textId="77777777" w:rsidR="00BD0F1D" w:rsidRDefault="00000000">
            <w:pPr>
              <w:spacing w:after="40"/>
              <w:jc w:val="center"/>
            </w:pPr>
            <w:r>
              <w:rPr>
                <w:sz w:val="21"/>
                <w:szCs w:val="21"/>
              </w:rPr>
              <w:t>750 a 799 puntos</w:t>
            </w:r>
          </w:p>
        </w:tc>
        <w:tc>
          <w:tcPr>
            <w:tcW w:w="240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504BA197" w14:textId="77777777" w:rsidR="00BD0F1D" w:rsidRDefault="00000000">
            <w:pPr>
              <w:spacing w:after="40"/>
              <w:jc w:val="center"/>
            </w:pPr>
            <w:r>
              <w:rPr>
                <w:b/>
                <w:bCs/>
                <w:color w:val="1E7B4F"/>
                <w:sz w:val="21"/>
                <w:szCs w:val="21"/>
              </w:rPr>
              <w:t>+25%</w:t>
            </w:r>
          </w:p>
        </w:tc>
      </w:tr>
      <w:tr w:rsidR="00BD0F1D" w14:paraId="2FBDABB1" w14:textId="77777777">
        <w:tblPrEx>
          <w:tblCellMar>
            <w:top w:w="0" w:type="dxa"/>
            <w:bottom w:w="0" w:type="dxa"/>
          </w:tblCellMar>
        </w:tblPrEx>
        <w:tc>
          <w:tcPr>
            <w:tcW w:w="34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3A120899" w14:textId="77777777" w:rsidR="00BD0F1D" w:rsidRDefault="00000000">
            <w:pPr>
              <w:spacing w:after="40"/>
            </w:pPr>
            <w:r>
              <w:rPr>
                <w:b/>
                <w:bCs/>
                <w:sz w:val="21"/>
                <w:szCs w:val="21"/>
              </w:rPr>
              <w:t>Prime Estándar</w:t>
            </w:r>
          </w:p>
        </w:tc>
        <w:tc>
          <w:tcPr>
            <w:tcW w:w="356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60E0A288" w14:textId="77777777" w:rsidR="00BD0F1D" w:rsidRDefault="00000000">
            <w:pPr>
              <w:spacing w:after="40"/>
              <w:jc w:val="center"/>
            </w:pPr>
            <w:r>
              <w:rPr>
                <w:sz w:val="21"/>
                <w:szCs w:val="21"/>
              </w:rPr>
              <w:t>720 a 749 puntos</w:t>
            </w:r>
          </w:p>
        </w:tc>
        <w:tc>
          <w:tcPr>
            <w:tcW w:w="24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24C8359E" w14:textId="77777777" w:rsidR="00BD0F1D" w:rsidRDefault="00000000">
            <w:pPr>
              <w:spacing w:after="40"/>
              <w:jc w:val="center"/>
            </w:pPr>
            <w:r>
              <w:rPr>
                <w:b/>
                <w:bCs/>
                <w:color w:val="1E7B4F"/>
                <w:sz w:val="21"/>
                <w:szCs w:val="21"/>
              </w:rPr>
              <w:t>+15%</w:t>
            </w:r>
          </w:p>
        </w:tc>
      </w:tr>
    </w:tbl>
    <w:p w14:paraId="1A706F1C" w14:textId="77777777" w:rsidR="00BD0F1D" w:rsidRDefault="00000000">
      <w:pPr>
        <w:keepNext/>
        <w:spacing w:before="200" w:after="80"/>
      </w:pPr>
      <w:r>
        <w:rPr>
          <w:b/>
          <w:bCs/>
          <w:color w:val="2E75B6"/>
        </w:rPr>
        <w:t>Mitigación escalonada (Regla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560"/>
        <w:gridCol w:w="2400"/>
      </w:tblGrid>
      <w:tr w:rsidR="00BD0F1D" w14:paraId="455F8E20" w14:textId="77777777">
        <w:tblPrEx>
          <w:tblCellMar>
            <w:top w:w="0" w:type="dxa"/>
            <w:bottom w:w="0" w:type="dxa"/>
          </w:tblCellMar>
        </w:tblPrEx>
        <w:trPr>
          <w:tblHeader/>
        </w:trPr>
        <w:tc>
          <w:tcPr>
            <w:tcW w:w="3400" w:type="dxa"/>
            <w:tcBorders>
              <w:top w:val="single" w:sz="4" w:space="0" w:color="BFC9D4"/>
              <w:left w:val="single" w:sz="4" w:space="0" w:color="BFC9D4"/>
              <w:bottom w:val="single" w:sz="4" w:space="0" w:color="BFC9D4"/>
              <w:right w:val="single" w:sz="4" w:space="0" w:color="BFC9D4"/>
            </w:tcBorders>
            <w:shd w:val="clear" w:color="auto" w:fill="1F3A5F"/>
            <w:tcMar>
              <w:top w:w="90" w:type="dxa"/>
              <w:left w:w="130" w:type="dxa"/>
              <w:bottom w:w="90" w:type="dxa"/>
              <w:right w:w="130" w:type="dxa"/>
            </w:tcMar>
            <w:vAlign w:val="center"/>
          </w:tcPr>
          <w:p w14:paraId="6663356C" w14:textId="77777777" w:rsidR="00BD0F1D" w:rsidRDefault="00000000">
            <w:pPr>
              <w:spacing w:after="40"/>
              <w:jc w:val="center"/>
            </w:pPr>
            <w:r>
              <w:rPr>
                <w:b/>
                <w:bCs/>
                <w:color w:val="FFFFFF"/>
                <w:sz w:val="21"/>
                <w:szCs w:val="21"/>
              </w:rPr>
              <w:t>Segmento</w:t>
            </w:r>
          </w:p>
        </w:tc>
        <w:tc>
          <w:tcPr>
            <w:tcW w:w="3560" w:type="dxa"/>
            <w:tcBorders>
              <w:top w:val="single" w:sz="4" w:space="0" w:color="BFC9D4"/>
              <w:left w:val="single" w:sz="4" w:space="0" w:color="BFC9D4"/>
              <w:bottom w:val="single" w:sz="4" w:space="0" w:color="BFC9D4"/>
              <w:right w:val="single" w:sz="4" w:space="0" w:color="BFC9D4"/>
            </w:tcBorders>
            <w:shd w:val="clear" w:color="auto" w:fill="1F3A5F"/>
            <w:tcMar>
              <w:top w:w="90" w:type="dxa"/>
              <w:left w:w="130" w:type="dxa"/>
              <w:bottom w:w="90" w:type="dxa"/>
              <w:right w:w="130" w:type="dxa"/>
            </w:tcMar>
            <w:vAlign w:val="center"/>
          </w:tcPr>
          <w:p w14:paraId="07056F8B" w14:textId="77777777" w:rsidR="00BD0F1D" w:rsidRDefault="00000000">
            <w:pPr>
              <w:spacing w:after="40"/>
              <w:jc w:val="center"/>
            </w:pPr>
            <w:r>
              <w:rPr>
                <w:b/>
                <w:bCs/>
                <w:color w:val="FFFFFF"/>
                <w:sz w:val="21"/>
                <w:szCs w:val="21"/>
              </w:rPr>
              <w:t>Score comportamental</w:t>
            </w:r>
          </w:p>
        </w:tc>
        <w:tc>
          <w:tcPr>
            <w:tcW w:w="2400" w:type="dxa"/>
            <w:tcBorders>
              <w:top w:val="single" w:sz="4" w:space="0" w:color="BFC9D4"/>
              <w:left w:val="single" w:sz="4" w:space="0" w:color="BFC9D4"/>
              <w:bottom w:val="single" w:sz="4" w:space="0" w:color="BFC9D4"/>
              <w:right w:val="single" w:sz="4" w:space="0" w:color="BFC9D4"/>
            </w:tcBorders>
            <w:shd w:val="clear" w:color="auto" w:fill="1F3A5F"/>
            <w:tcMar>
              <w:top w:w="90" w:type="dxa"/>
              <w:left w:w="130" w:type="dxa"/>
              <w:bottom w:w="90" w:type="dxa"/>
              <w:right w:w="130" w:type="dxa"/>
            </w:tcMar>
            <w:vAlign w:val="center"/>
          </w:tcPr>
          <w:p w14:paraId="7694CBE9" w14:textId="77777777" w:rsidR="00BD0F1D" w:rsidRDefault="00000000">
            <w:pPr>
              <w:spacing w:after="40"/>
              <w:jc w:val="center"/>
            </w:pPr>
            <w:r>
              <w:rPr>
                <w:b/>
                <w:bCs/>
                <w:color w:val="FFFFFF"/>
                <w:sz w:val="21"/>
                <w:szCs w:val="21"/>
              </w:rPr>
              <w:t>Línea resultante</w:t>
            </w:r>
          </w:p>
        </w:tc>
      </w:tr>
      <w:tr w:rsidR="00BD0F1D" w14:paraId="2F395189" w14:textId="77777777">
        <w:tblPrEx>
          <w:tblCellMar>
            <w:top w:w="0" w:type="dxa"/>
            <w:bottom w:w="0" w:type="dxa"/>
          </w:tblCellMar>
        </w:tblPrEx>
        <w:tc>
          <w:tcPr>
            <w:tcW w:w="34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7DDC2B6D" w14:textId="77777777" w:rsidR="00BD0F1D" w:rsidRDefault="00000000">
            <w:pPr>
              <w:spacing w:after="40"/>
            </w:pPr>
            <w:r>
              <w:rPr>
                <w:b/>
                <w:bCs/>
                <w:sz w:val="21"/>
                <w:szCs w:val="21"/>
              </w:rPr>
              <w:t>Deterioro Severo</w:t>
            </w:r>
          </w:p>
        </w:tc>
        <w:tc>
          <w:tcPr>
            <w:tcW w:w="356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027AF195" w14:textId="77777777" w:rsidR="00BD0F1D" w:rsidRDefault="00000000">
            <w:pPr>
              <w:spacing w:after="40"/>
              <w:jc w:val="center"/>
            </w:pPr>
            <w:r>
              <w:rPr>
                <w:sz w:val="21"/>
                <w:szCs w:val="21"/>
              </w:rPr>
              <w:t>&lt; 520 puntos</w:t>
            </w:r>
          </w:p>
        </w:tc>
        <w:tc>
          <w:tcPr>
            <w:tcW w:w="24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419293B5" w14:textId="77777777" w:rsidR="00BD0F1D" w:rsidRDefault="00000000">
            <w:pPr>
              <w:spacing w:after="40"/>
              <w:jc w:val="center"/>
            </w:pPr>
            <w:r>
              <w:rPr>
                <w:b/>
                <w:bCs/>
                <w:color w:val="B03A2E"/>
                <w:sz w:val="21"/>
                <w:szCs w:val="21"/>
              </w:rPr>
              <w:t>50% de la línea</w:t>
            </w:r>
          </w:p>
        </w:tc>
      </w:tr>
      <w:tr w:rsidR="00BD0F1D" w14:paraId="234467E0" w14:textId="77777777">
        <w:tblPrEx>
          <w:tblCellMar>
            <w:top w:w="0" w:type="dxa"/>
            <w:bottom w:w="0" w:type="dxa"/>
          </w:tblCellMar>
        </w:tblPrEx>
        <w:tc>
          <w:tcPr>
            <w:tcW w:w="340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44F9C9E3" w14:textId="77777777" w:rsidR="00BD0F1D" w:rsidRDefault="00000000">
            <w:pPr>
              <w:spacing w:after="40"/>
            </w:pPr>
            <w:r>
              <w:rPr>
                <w:b/>
                <w:bCs/>
                <w:sz w:val="21"/>
                <w:szCs w:val="21"/>
              </w:rPr>
              <w:t>Fatiga Moderada</w:t>
            </w:r>
          </w:p>
        </w:tc>
        <w:tc>
          <w:tcPr>
            <w:tcW w:w="356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3DC2F07E" w14:textId="77777777" w:rsidR="00BD0F1D" w:rsidRDefault="00000000">
            <w:pPr>
              <w:spacing w:after="40"/>
              <w:jc w:val="center"/>
            </w:pPr>
            <w:r>
              <w:rPr>
                <w:sz w:val="21"/>
                <w:szCs w:val="21"/>
              </w:rPr>
              <w:t>520 a 579 puntos</w:t>
            </w:r>
          </w:p>
        </w:tc>
        <w:tc>
          <w:tcPr>
            <w:tcW w:w="240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7A90E23E" w14:textId="77777777" w:rsidR="00BD0F1D" w:rsidRDefault="00000000">
            <w:pPr>
              <w:spacing w:after="40"/>
              <w:jc w:val="center"/>
            </w:pPr>
            <w:r>
              <w:rPr>
                <w:b/>
                <w:bCs/>
                <w:color w:val="B03A2E"/>
                <w:sz w:val="21"/>
                <w:szCs w:val="21"/>
              </w:rPr>
              <w:t>65% de la línea</w:t>
            </w:r>
          </w:p>
        </w:tc>
      </w:tr>
    </w:tbl>
    <w:p w14:paraId="1251BFE3" w14:textId="77777777" w:rsidR="00BD0F1D" w:rsidRDefault="00000000">
      <w:pPr>
        <w:spacing w:before="100" w:after="120"/>
      </w:pPr>
      <w:r>
        <w:rPr>
          <w:i/>
          <w:iCs/>
          <w:color w:val="555555"/>
          <w:sz w:val="20"/>
          <w:szCs w:val="20"/>
        </w:rPr>
        <w:lastRenderedPageBreak/>
        <w:t>Nota: en todos los casos se protege un colchón del 105% del saldo insoluto para erradicar sobregiros técnicos artificiales.</w:t>
      </w:r>
    </w:p>
    <w:p w14:paraId="653B3431" w14:textId="77777777" w:rsidR="00BD0F1D" w:rsidRDefault="00000000">
      <w:pPr>
        <w:pStyle w:val="Ttulo1"/>
        <w:keepNext/>
      </w:pPr>
      <w:r>
        <w:t>3. Detalle de las Nuevas Implementaciones Técnicas</w:t>
      </w:r>
    </w:p>
    <w:p w14:paraId="2B4E15A4" w14:textId="77777777" w:rsidR="00BD0F1D" w:rsidRDefault="00000000">
      <w:pPr>
        <w:keepNext/>
        <w:spacing w:after="120" w:line="276" w:lineRule="auto"/>
        <w:jc w:val="both"/>
      </w:pPr>
      <w:r>
        <w:t>Durante este ciclo semanal se programaron y agregaron los siguientes componentes al repositorio del proyecto.</w:t>
      </w:r>
    </w:p>
    <w:p w14:paraId="6DA1063F" w14:textId="77777777" w:rsidR="00BD0F1D" w:rsidRDefault="00000000">
      <w:pPr>
        <w:pStyle w:val="Ttulo2"/>
        <w:keepNext/>
      </w:pPr>
      <w:r>
        <w:t>3.1 Nuevo módulo: src/engine/champion_challenger.py</w:t>
      </w:r>
    </w:p>
    <w:p w14:paraId="55799EA3" w14:textId="77777777" w:rsidR="00BD0F1D" w:rsidRDefault="00000000">
      <w:pPr>
        <w:keepNext/>
        <w:spacing w:after="120" w:line="276" w:lineRule="auto"/>
        <w:jc w:val="both"/>
      </w:pPr>
      <w:r>
        <w:t xml:space="preserve">Se codificó la clase </w:t>
      </w:r>
      <w:proofErr w:type="spellStart"/>
      <w:r>
        <w:rPr>
          <w:rFonts w:ascii="Consolas" w:eastAsia="Consolas" w:hAnsi="Consolas" w:cs="Consolas"/>
          <w:sz w:val="21"/>
          <w:szCs w:val="21"/>
        </w:rPr>
        <w:t>ChampionChallengerSimulator</w:t>
      </w:r>
      <w:proofErr w:type="spellEnd"/>
      <w:r>
        <w:t>, la cual permite:</w:t>
      </w:r>
    </w:p>
    <w:p w14:paraId="35C7C7E1" w14:textId="77777777" w:rsidR="00BD0F1D" w:rsidRDefault="00000000">
      <w:pPr>
        <w:pStyle w:val="Prrafodelista"/>
        <w:numPr>
          <w:ilvl w:val="0"/>
          <w:numId w:val="3"/>
        </w:numPr>
        <w:spacing w:after="80" w:line="276" w:lineRule="auto"/>
      </w:pPr>
      <w:r>
        <w:rPr>
          <w:b/>
          <w:bCs/>
        </w:rPr>
        <w:t xml:space="preserve">Ejecución en partición (A/B Split): </w:t>
      </w:r>
      <w:r>
        <w:t xml:space="preserve">divide dinámicamente un </w:t>
      </w:r>
      <w:proofErr w:type="spellStart"/>
      <w:r>
        <w:t>DataFrame</w:t>
      </w:r>
      <w:proofErr w:type="spellEnd"/>
      <w:r>
        <w:t xml:space="preserve"> de cartera según un parámetro configurable (por ejemplo, 80% Champion / 20% Challenger) y procesa cada subconjunto con su propio motor parametrizado.</w:t>
      </w:r>
    </w:p>
    <w:p w14:paraId="4C4BD575" w14:textId="77777777" w:rsidR="00BD0F1D" w:rsidRDefault="00000000">
      <w:pPr>
        <w:pStyle w:val="Prrafodelista"/>
        <w:numPr>
          <w:ilvl w:val="0"/>
          <w:numId w:val="3"/>
        </w:numPr>
        <w:spacing w:after="80" w:line="276" w:lineRule="auto"/>
      </w:pPr>
      <w:r>
        <w:rPr>
          <w:b/>
          <w:bCs/>
        </w:rPr>
        <w:t>Ejecución paralela de impacto (</w:t>
      </w:r>
      <w:proofErr w:type="spellStart"/>
      <w:r>
        <w:rPr>
          <w:b/>
          <w:bCs/>
        </w:rPr>
        <w:t>What-If</w:t>
      </w:r>
      <w:proofErr w:type="spellEnd"/>
      <w:r>
        <w:rPr>
          <w:b/>
          <w:bCs/>
        </w:rPr>
        <w:t xml:space="preserve"> </w:t>
      </w:r>
      <w:proofErr w:type="spellStart"/>
      <w:r>
        <w:rPr>
          <w:b/>
          <w:bCs/>
        </w:rPr>
        <w:t>Analysis</w:t>
      </w:r>
      <w:proofErr w:type="spellEnd"/>
      <w:r>
        <w:rPr>
          <w:b/>
          <w:bCs/>
        </w:rPr>
        <w:t xml:space="preserve">): </w:t>
      </w:r>
      <w:r>
        <w:t>evalúa el 100% de los contratos bajo ambas políticas de manera concurrente para generar una matriz comparativa cuenta por cuenta, identificando qué porcentaje exacto de clientes cambiaría de decisión.</w:t>
      </w:r>
    </w:p>
    <w:p w14:paraId="1448D7BA" w14:textId="77777777" w:rsidR="00BD0F1D" w:rsidRDefault="00000000">
      <w:pPr>
        <w:pStyle w:val="Prrafodelista"/>
        <w:numPr>
          <w:ilvl w:val="0"/>
          <w:numId w:val="3"/>
        </w:numPr>
        <w:spacing w:after="80" w:line="276" w:lineRule="auto"/>
      </w:pPr>
      <w:r>
        <w:rPr>
          <w:b/>
          <w:bCs/>
        </w:rPr>
        <w:t xml:space="preserve">Generador de </w:t>
      </w:r>
      <w:proofErr w:type="spellStart"/>
      <w:r>
        <w:rPr>
          <w:b/>
          <w:bCs/>
        </w:rPr>
        <w:t>KPIs</w:t>
      </w:r>
      <w:proofErr w:type="spellEnd"/>
      <w:r>
        <w:rPr>
          <w:b/>
          <w:bCs/>
        </w:rPr>
        <w:t xml:space="preserve"> comparativos: </w:t>
      </w:r>
      <w:r>
        <w:t>calcula automáticamente la tasa de aprobación, contención, cancelación y la variación neta de exposición monetaria (Delta en MXN) para cada grupo.</w:t>
      </w:r>
    </w:p>
    <w:p w14:paraId="4988B577" w14:textId="77777777" w:rsidR="00BD0F1D" w:rsidRDefault="00000000">
      <w:pPr>
        <w:pStyle w:val="Ttulo2"/>
        <w:keepNext/>
      </w:pPr>
      <w:r>
        <w:t>3.2 Refactorización del núcleo: rules.py y strategy_manager.py</w:t>
      </w:r>
    </w:p>
    <w:p w14:paraId="1CA6673B" w14:textId="77777777" w:rsidR="00BD0F1D" w:rsidRDefault="00000000">
      <w:pPr>
        <w:pStyle w:val="Prrafodelista"/>
        <w:numPr>
          <w:ilvl w:val="0"/>
          <w:numId w:val="3"/>
        </w:numPr>
        <w:spacing w:after="80" w:line="276" w:lineRule="auto"/>
      </w:pPr>
      <w:r>
        <w:t xml:space="preserve">Se enriqueció la </w:t>
      </w:r>
      <w:proofErr w:type="spellStart"/>
      <w:r>
        <w:t>dataclass</w:t>
      </w:r>
      <w:proofErr w:type="spellEnd"/>
      <w:r>
        <w:t xml:space="preserve"> </w:t>
      </w:r>
      <w:proofErr w:type="spellStart"/>
      <w:r>
        <w:rPr>
          <w:rFonts w:ascii="Consolas" w:eastAsia="Consolas" w:hAnsi="Consolas" w:cs="Consolas"/>
          <w:sz w:val="21"/>
          <w:szCs w:val="21"/>
        </w:rPr>
        <w:t>PolicyParameters</w:t>
      </w:r>
      <w:proofErr w:type="spellEnd"/>
      <w:r>
        <w:t xml:space="preserve"> incorporando la bandera </w:t>
      </w:r>
      <w:proofErr w:type="spellStart"/>
      <w:r>
        <w:rPr>
          <w:rFonts w:ascii="Consolas" w:eastAsia="Consolas" w:hAnsi="Consolas" w:cs="Consolas"/>
          <w:sz w:val="21"/>
          <w:szCs w:val="21"/>
        </w:rPr>
        <w:t>habilitar_matriz_dinamica</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bool</w:t>
      </w:r>
      <w:proofErr w:type="spellEnd"/>
      <w:r>
        <w:t>.</w:t>
      </w:r>
    </w:p>
    <w:p w14:paraId="36D30379" w14:textId="77777777" w:rsidR="00BD0F1D" w:rsidRDefault="00000000">
      <w:pPr>
        <w:pStyle w:val="Prrafodelista"/>
        <w:numPr>
          <w:ilvl w:val="0"/>
          <w:numId w:val="3"/>
        </w:numPr>
        <w:spacing w:after="80" w:line="276" w:lineRule="auto"/>
      </w:pPr>
      <w:r>
        <w:t xml:space="preserve">Se adaptó el evaluador financiero en </w:t>
      </w:r>
      <w:proofErr w:type="spellStart"/>
      <w:r>
        <w:rPr>
          <w:rFonts w:ascii="Consolas" w:eastAsia="Consolas" w:hAnsi="Consolas" w:cs="Consolas"/>
          <w:sz w:val="21"/>
          <w:szCs w:val="21"/>
        </w:rPr>
        <w:t>DecisionEngine.process_</w:t>
      </w:r>
      <w:proofErr w:type="gramStart"/>
      <w:r>
        <w:rPr>
          <w:rFonts w:ascii="Consolas" w:eastAsia="Consolas" w:hAnsi="Consolas" w:cs="Consolas"/>
          <w:sz w:val="21"/>
          <w:szCs w:val="21"/>
        </w:rPr>
        <w:t>portfolio</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para que soporte tanto el factor fijo como la matriz multidimensional vectorizada en Pandas/</w:t>
      </w:r>
      <w:proofErr w:type="spellStart"/>
      <w:r>
        <w:t>NumPy</w:t>
      </w:r>
      <w:proofErr w:type="spellEnd"/>
      <w:r>
        <w:t>.</w:t>
      </w:r>
    </w:p>
    <w:p w14:paraId="583905E8" w14:textId="77777777" w:rsidR="00BD0F1D" w:rsidRDefault="00000000">
      <w:pPr>
        <w:pStyle w:val="Ttulo2"/>
        <w:keepNext/>
      </w:pPr>
      <w:r>
        <w:t>3.3 Nueva pestaña en la plataforma web: src/app/dashboard.py (Tab 5)</w:t>
      </w:r>
    </w:p>
    <w:p w14:paraId="1EA48407" w14:textId="77777777" w:rsidR="00BD0F1D" w:rsidRDefault="00000000">
      <w:pPr>
        <w:keepNext/>
        <w:spacing w:after="120" w:line="276" w:lineRule="auto"/>
        <w:jc w:val="both"/>
      </w:pPr>
      <w:r>
        <w:t xml:space="preserve">Se integró en la interfaz interactiva la pestaña </w:t>
      </w:r>
      <w:r>
        <w:rPr>
          <w:b/>
          <w:bCs/>
        </w:rPr>
        <w:t>“Metodología Champion vs Challenger”</w:t>
      </w:r>
      <w:r>
        <w:t>, la cual incorpora:</w:t>
      </w:r>
    </w:p>
    <w:p w14:paraId="2869C5DA" w14:textId="77777777" w:rsidR="00BD0F1D" w:rsidRDefault="00000000">
      <w:pPr>
        <w:pStyle w:val="Prrafodelista"/>
        <w:numPr>
          <w:ilvl w:val="0"/>
          <w:numId w:val="3"/>
        </w:numPr>
        <w:spacing w:after="80" w:line="276" w:lineRule="auto"/>
      </w:pPr>
      <w:r>
        <w:t>Selector de escenarios Challenger preconfigurados (</w:t>
      </w:r>
      <w:r>
        <w:rPr>
          <w:i/>
          <w:iCs/>
        </w:rPr>
        <w:t>Challenger Conservador</w:t>
      </w:r>
      <w:r>
        <w:t xml:space="preserve">, </w:t>
      </w:r>
      <w:r>
        <w:rPr>
          <w:i/>
          <w:iCs/>
        </w:rPr>
        <w:t>Challenger Expansivo</w:t>
      </w:r>
      <w:r>
        <w:t xml:space="preserve">, </w:t>
      </w:r>
      <w:r>
        <w:rPr>
          <w:i/>
          <w:iCs/>
        </w:rPr>
        <w:t>Challenger Anti-Mora</w:t>
      </w:r>
      <w:r>
        <w:t>).</w:t>
      </w:r>
    </w:p>
    <w:p w14:paraId="7CD816B5" w14:textId="77777777" w:rsidR="00BD0F1D" w:rsidRDefault="00000000">
      <w:pPr>
        <w:pStyle w:val="Prrafodelista"/>
        <w:numPr>
          <w:ilvl w:val="0"/>
          <w:numId w:val="3"/>
        </w:numPr>
        <w:spacing w:after="80" w:line="276" w:lineRule="auto"/>
      </w:pPr>
      <w:r>
        <w:t>Control deslizante interactivo para configurar la distribución porcentual del tráfico A/B.</w:t>
      </w:r>
    </w:p>
    <w:p w14:paraId="08EC07C8" w14:textId="77777777" w:rsidR="00BD0F1D" w:rsidRDefault="00000000">
      <w:pPr>
        <w:pStyle w:val="Prrafodelista"/>
        <w:numPr>
          <w:ilvl w:val="0"/>
          <w:numId w:val="3"/>
        </w:numPr>
        <w:spacing w:after="80" w:line="276" w:lineRule="auto"/>
      </w:pPr>
      <w:r>
        <w:t>Tarjetas de métricas comparativas con deltas dinámicos de incremento y contención.</w:t>
      </w:r>
    </w:p>
    <w:p w14:paraId="61F33808" w14:textId="77777777" w:rsidR="00BD0F1D" w:rsidRDefault="00000000">
      <w:pPr>
        <w:pStyle w:val="Prrafodelista"/>
        <w:numPr>
          <w:ilvl w:val="0"/>
          <w:numId w:val="3"/>
        </w:numPr>
        <w:spacing w:after="80" w:line="276" w:lineRule="auto"/>
      </w:pPr>
      <w:r>
        <w:t xml:space="preserve">Gráfica de barras agrupada con </w:t>
      </w:r>
      <w:proofErr w:type="spellStart"/>
      <w:r>
        <w:t>Plotly</w:t>
      </w:r>
      <w:proofErr w:type="spellEnd"/>
      <w:r>
        <w:t xml:space="preserve"> para comparar las distribuciones relativas de decisión entre Champion y Challenger.</w:t>
      </w:r>
    </w:p>
    <w:p w14:paraId="4AB96379" w14:textId="77777777" w:rsidR="00BD0F1D" w:rsidRDefault="00000000">
      <w:pPr>
        <w:pStyle w:val="Ttulo2"/>
        <w:keepNext/>
      </w:pPr>
      <w:r>
        <w:lastRenderedPageBreak/>
        <w:t>3.4 Ampliación de la suite de pruebas: tests/test_rules_engine.py</w:t>
      </w:r>
    </w:p>
    <w:p w14:paraId="4529E742" w14:textId="77777777" w:rsidR="00BD0F1D" w:rsidRDefault="00000000">
      <w:pPr>
        <w:keepNext/>
        <w:spacing w:after="120" w:line="276" w:lineRule="auto"/>
        <w:jc w:val="both"/>
      </w:pPr>
      <w:r>
        <w:t xml:space="preserve">Se diseñaron e incorporaron pruebas automatizadas adicionales, elevando la batería a </w:t>
      </w:r>
      <w:r>
        <w:rPr>
          <w:b/>
          <w:bCs/>
        </w:rPr>
        <w:t>12 pruebas unitarias</w:t>
      </w:r>
      <w:r>
        <w:t>:</w:t>
      </w:r>
    </w:p>
    <w:p w14:paraId="7399A1B2" w14:textId="77777777" w:rsidR="00BD0F1D" w:rsidRDefault="00000000">
      <w:pPr>
        <w:pStyle w:val="Prrafodelista"/>
        <w:numPr>
          <w:ilvl w:val="0"/>
          <w:numId w:val="3"/>
        </w:numPr>
        <w:spacing w:after="80" w:line="276" w:lineRule="auto"/>
      </w:pPr>
      <w:proofErr w:type="spellStart"/>
      <w:r>
        <w:rPr>
          <w:rFonts w:ascii="Consolas" w:eastAsia="Consolas" w:hAnsi="Consolas" w:cs="Consolas"/>
          <w:sz w:val="21"/>
          <w:szCs w:val="21"/>
        </w:rPr>
        <w:t>test_dynamic_matrix_</w:t>
      </w:r>
      <w:proofErr w:type="gramStart"/>
      <w:r>
        <w:rPr>
          <w:rFonts w:ascii="Consolas" w:eastAsia="Consolas" w:hAnsi="Consolas" w:cs="Consolas"/>
          <w:sz w:val="21"/>
          <w:szCs w:val="21"/>
        </w:rPr>
        <w:t>sizing</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comprueba que un cliente con score 810 reciba exactamente +35% de cupo y uno con score 730 reciba +15%.</w:t>
      </w:r>
    </w:p>
    <w:p w14:paraId="67DD17E2" w14:textId="77777777" w:rsidR="00BD0F1D" w:rsidRDefault="00000000">
      <w:pPr>
        <w:pStyle w:val="Prrafodelista"/>
        <w:numPr>
          <w:ilvl w:val="0"/>
          <w:numId w:val="3"/>
        </w:numPr>
        <w:spacing w:after="80" w:line="276" w:lineRule="auto"/>
      </w:pPr>
      <w:proofErr w:type="spellStart"/>
      <w:r>
        <w:rPr>
          <w:rFonts w:ascii="Consolas" w:eastAsia="Consolas" w:hAnsi="Consolas" w:cs="Consolas"/>
          <w:sz w:val="21"/>
          <w:szCs w:val="21"/>
        </w:rPr>
        <w:t>test_champion_challenger_</w:t>
      </w:r>
      <w:proofErr w:type="gramStart"/>
      <w:r>
        <w:rPr>
          <w:rFonts w:ascii="Consolas" w:eastAsia="Consolas" w:hAnsi="Consolas" w:cs="Consolas"/>
          <w:sz w:val="21"/>
          <w:szCs w:val="21"/>
        </w:rPr>
        <w:t>simulation</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verifica la correcta partición del universo de cuentas y la integridad de los </w:t>
      </w:r>
      <w:proofErr w:type="spellStart"/>
      <w:r>
        <w:t>KPIs</w:t>
      </w:r>
      <w:proofErr w:type="spellEnd"/>
      <w:r>
        <w:t xml:space="preserve"> de cada política.</w:t>
      </w:r>
    </w:p>
    <w:p w14:paraId="27EA1A6F" w14:textId="77777777" w:rsidR="00BD0F1D" w:rsidRDefault="00000000">
      <w:pPr>
        <w:pStyle w:val="Ttulo2"/>
        <w:keepNext/>
      </w:pPr>
      <w:r>
        <w:t>3.5 Rediseño integral de la interfaz y experiencia de usuario (UI/UX Fintech)</w:t>
      </w:r>
    </w:p>
    <w:p w14:paraId="5B04EC4A" w14:textId="77777777" w:rsidR="00BD0F1D" w:rsidRDefault="00000000">
      <w:pPr>
        <w:keepNext/>
        <w:spacing w:after="120" w:line="276" w:lineRule="auto"/>
        <w:jc w:val="both"/>
      </w:pPr>
      <w:r>
        <w:t>Para elevar la plataforma al nivel visual de un software bancario corporativo, se transformó la capa de presentación:</w:t>
      </w:r>
    </w:p>
    <w:p w14:paraId="66E9B629" w14:textId="77777777" w:rsidR="00BD0F1D" w:rsidRDefault="00000000">
      <w:pPr>
        <w:pStyle w:val="Prrafodelista"/>
        <w:numPr>
          <w:ilvl w:val="0"/>
          <w:numId w:val="3"/>
        </w:numPr>
        <w:spacing w:after="80" w:line="276" w:lineRule="auto"/>
      </w:pPr>
      <w:r>
        <w:rPr>
          <w:b/>
          <w:bCs/>
        </w:rPr>
        <w:t xml:space="preserve">Sistema tipográfico </w:t>
      </w:r>
      <w:proofErr w:type="spellStart"/>
      <w:r>
        <w:rPr>
          <w:b/>
          <w:bCs/>
        </w:rPr>
        <w:t>fintech</w:t>
      </w:r>
      <w:proofErr w:type="spellEnd"/>
      <w:r>
        <w:rPr>
          <w:b/>
          <w:bCs/>
        </w:rPr>
        <w:t xml:space="preserve">: </w:t>
      </w:r>
      <w:r>
        <w:t xml:space="preserve">adopción de las fuentes </w:t>
      </w:r>
      <w:r>
        <w:rPr>
          <w:i/>
          <w:iCs/>
        </w:rPr>
        <w:t xml:space="preserve">Plus </w:t>
      </w:r>
      <w:proofErr w:type="spellStart"/>
      <w:r>
        <w:rPr>
          <w:i/>
          <w:iCs/>
        </w:rPr>
        <w:t>Jakarta</w:t>
      </w:r>
      <w:proofErr w:type="spellEnd"/>
      <w:r>
        <w:rPr>
          <w:i/>
          <w:iCs/>
        </w:rPr>
        <w:t xml:space="preserve"> Sans</w:t>
      </w:r>
      <w:r>
        <w:t xml:space="preserve"> para lectura ejecutiva y </w:t>
      </w:r>
      <w:proofErr w:type="spellStart"/>
      <w:r>
        <w:rPr>
          <w:i/>
          <w:iCs/>
        </w:rPr>
        <w:t>JetBrains</w:t>
      </w:r>
      <w:proofErr w:type="spellEnd"/>
      <w:r>
        <w:rPr>
          <w:i/>
          <w:iCs/>
        </w:rPr>
        <w:t xml:space="preserve"> Mono</w:t>
      </w:r>
      <w:r>
        <w:t xml:space="preserve"> para datos numéricos y de contrato.</w:t>
      </w:r>
    </w:p>
    <w:p w14:paraId="2EFE3696" w14:textId="77777777" w:rsidR="00BD0F1D" w:rsidRDefault="00000000">
      <w:pPr>
        <w:pStyle w:val="Prrafodelista"/>
        <w:numPr>
          <w:ilvl w:val="0"/>
          <w:numId w:val="3"/>
        </w:numPr>
        <w:spacing w:after="80" w:line="276" w:lineRule="auto"/>
      </w:pPr>
      <w:r>
        <w:rPr>
          <w:b/>
          <w:bCs/>
        </w:rPr>
        <w:t xml:space="preserve">Tarjetas KPI personalizadas: </w:t>
      </w:r>
      <w:r>
        <w:t xml:space="preserve">sustitución de las métricas planas por tarjetas con elevación suave, </w:t>
      </w:r>
      <w:proofErr w:type="spellStart"/>
      <w:r>
        <w:t>micro-animaciones</w:t>
      </w:r>
      <w:proofErr w:type="spellEnd"/>
      <w:r>
        <w:t xml:space="preserve"> en </w:t>
      </w:r>
      <w:proofErr w:type="spellStart"/>
      <w:r>
        <w:rPr>
          <w:i/>
          <w:iCs/>
        </w:rPr>
        <w:t>hover</w:t>
      </w:r>
      <w:proofErr w:type="spellEnd"/>
      <w:r>
        <w:t>, contenedores de iconos temáticos y cápsulas de variación porcentual.</w:t>
      </w:r>
    </w:p>
    <w:p w14:paraId="6980DD59" w14:textId="77777777" w:rsidR="00BD0F1D" w:rsidRDefault="00000000">
      <w:pPr>
        <w:pStyle w:val="Prrafodelista"/>
        <w:numPr>
          <w:ilvl w:val="0"/>
          <w:numId w:val="3"/>
        </w:numPr>
        <w:spacing w:after="80" w:line="276" w:lineRule="auto"/>
      </w:pPr>
      <w:r>
        <w:rPr>
          <w:b/>
          <w:bCs/>
        </w:rPr>
        <w:t xml:space="preserve">Navegación moderna tipo cápsula: </w:t>
      </w:r>
      <w:r>
        <w:t xml:space="preserve">rediseño de las pestañas en formato </w:t>
      </w:r>
      <w:proofErr w:type="spellStart"/>
      <w:r>
        <w:rPr>
          <w:i/>
          <w:iCs/>
        </w:rPr>
        <w:t>pill</w:t>
      </w:r>
      <w:proofErr w:type="spellEnd"/>
      <w:r>
        <w:rPr>
          <w:i/>
          <w:iCs/>
        </w:rPr>
        <w:t xml:space="preserve"> </w:t>
      </w:r>
      <w:proofErr w:type="spellStart"/>
      <w:r>
        <w:rPr>
          <w:i/>
          <w:iCs/>
        </w:rPr>
        <w:t>segmented</w:t>
      </w:r>
      <w:proofErr w:type="spellEnd"/>
      <w:r>
        <w:rPr>
          <w:i/>
          <w:iCs/>
        </w:rPr>
        <w:t xml:space="preserve"> </w:t>
      </w:r>
      <w:proofErr w:type="spellStart"/>
      <w:r>
        <w:rPr>
          <w:i/>
          <w:iCs/>
        </w:rPr>
        <w:t>controls</w:t>
      </w:r>
      <w:proofErr w:type="spellEnd"/>
      <w:r>
        <w:t xml:space="preserve"> con iluminación y sombras suaves.</w:t>
      </w:r>
    </w:p>
    <w:p w14:paraId="0FB89CC4" w14:textId="77777777" w:rsidR="00BD0F1D" w:rsidRDefault="00000000">
      <w:pPr>
        <w:pStyle w:val="Prrafodelista"/>
        <w:numPr>
          <w:ilvl w:val="0"/>
          <w:numId w:val="3"/>
        </w:numPr>
        <w:spacing w:after="80" w:line="276" w:lineRule="auto"/>
      </w:pPr>
      <w:r>
        <w:rPr>
          <w:b/>
          <w:bCs/>
        </w:rPr>
        <w:t xml:space="preserve">Velocímetro gauge FICO (Expediente 360°): </w:t>
      </w:r>
      <w:r>
        <w:t xml:space="preserve">integración de un tacómetro interactivo en </w:t>
      </w:r>
      <w:proofErr w:type="spellStart"/>
      <w:r>
        <w:t>Plotly</w:t>
      </w:r>
      <w:proofErr w:type="spellEnd"/>
      <w:r>
        <w:t xml:space="preserve"> que mapea la calificación crediticia del cliente entre 300 y 850 puntos con cuatro bandas visuales de riesgo (</w:t>
      </w:r>
      <w:proofErr w:type="spellStart"/>
      <w:r>
        <w:rPr>
          <w:i/>
          <w:iCs/>
        </w:rPr>
        <w:t>Subprime</w:t>
      </w:r>
      <w:proofErr w:type="spellEnd"/>
      <w:r>
        <w:t xml:space="preserve">, </w:t>
      </w:r>
      <w:r>
        <w:rPr>
          <w:i/>
          <w:iCs/>
        </w:rPr>
        <w:t>Vulnerable</w:t>
      </w:r>
      <w:r>
        <w:t xml:space="preserve">, </w:t>
      </w:r>
      <w:r>
        <w:rPr>
          <w:i/>
          <w:iCs/>
        </w:rPr>
        <w:t>Moderado</w:t>
      </w:r>
      <w:r>
        <w:t xml:space="preserve">, </w:t>
      </w:r>
      <w:r>
        <w:rPr>
          <w:i/>
          <w:iCs/>
        </w:rPr>
        <w:t>Prime</w:t>
      </w:r>
      <w:r>
        <w:t>).</w:t>
      </w:r>
    </w:p>
    <w:p w14:paraId="3862C13A" w14:textId="77777777" w:rsidR="00BD0F1D" w:rsidRDefault="00000000">
      <w:pPr>
        <w:pStyle w:val="Prrafodelista"/>
        <w:numPr>
          <w:ilvl w:val="0"/>
          <w:numId w:val="3"/>
        </w:numPr>
        <w:spacing w:after="80" w:line="276" w:lineRule="auto"/>
      </w:pPr>
      <w:r>
        <w:rPr>
          <w:b/>
          <w:bCs/>
        </w:rPr>
        <w:t xml:space="preserve">Homogeneización cromática: </w:t>
      </w:r>
      <w:r>
        <w:t>unificación estricta de la paleta de colores en todas las visualizaciones (Esmeralda, Azul Índigo, Ámbar, Naranja y Carmesí) para facilitar la lectura inmediata a comités evaluadores.</w:t>
      </w:r>
    </w:p>
    <w:p w14:paraId="3F9BA67C" w14:textId="77777777" w:rsidR="00BD0F1D" w:rsidRDefault="00000000">
      <w:pPr>
        <w:pStyle w:val="Ttulo1"/>
        <w:keepNext/>
      </w:pPr>
      <w:r>
        <w:t>4. Resultados Experimentales en la Cartera Base (2,500 Cuentas)</w:t>
      </w:r>
    </w:p>
    <w:p w14:paraId="514EC9C6" w14:textId="77777777" w:rsidR="00BD0F1D" w:rsidRDefault="00000000">
      <w:pPr>
        <w:spacing w:after="120" w:line="276" w:lineRule="auto"/>
        <w:jc w:val="both"/>
      </w:pPr>
      <w:r>
        <w:t>Al someter la cartera simulada de 2,500 contratos crediticios al nuevo módulo comparativo (Champion estándar vs. Challenger Conservador con corte de default preventivo a 60 días y score prime a 750), se obtuvieron los siguientes resultados analíticos: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2200"/>
        <w:gridCol w:w="2460"/>
      </w:tblGrid>
      <w:tr w:rsidR="00BD0F1D" w14:paraId="1FF67B24" w14:textId="77777777">
        <w:tblPrEx>
          <w:tblCellMar>
            <w:top w:w="0" w:type="dxa"/>
            <w:bottom w:w="0" w:type="dxa"/>
          </w:tblCellMar>
        </w:tblPrEx>
        <w:trPr>
          <w:tblHeader/>
        </w:trPr>
        <w:tc>
          <w:tcPr>
            <w:tcW w:w="2700" w:type="dxa"/>
            <w:tcBorders>
              <w:top w:val="single" w:sz="4" w:space="0" w:color="BFC9D4"/>
              <w:left w:val="single" w:sz="4" w:space="0" w:color="BFC9D4"/>
              <w:bottom w:val="single" w:sz="4" w:space="0" w:color="BFC9D4"/>
              <w:right w:val="single" w:sz="4" w:space="0" w:color="BFC9D4"/>
            </w:tcBorders>
            <w:shd w:val="clear" w:color="auto" w:fill="1F3A5F"/>
            <w:tcMar>
              <w:top w:w="90" w:type="dxa"/>
              <w:left w:w="130" w:type="dxa"/>
              <w:bottom w:w="90" w:type="dxa"/>
              <w:right w:w="130" w:type="dxa"/>
            </w:tcMar>
            <w:vAlign w:val="center"/>
          </w:tcPr>
          <w:p w14:paraId="569F8BE4" w14:textId="77777777" w:rsidR="00BD0F1D" w:rsidRDefault="00000000">
            <w:pPr>
              <w:spacing w:after="40"/>
            </w:pPr>
            <w:r>
              <w:rPr>
                <w:b/>
                <w:bCs/>
                <w:color w:val="FFFFFF"/>
                <w:sz w:val="21"/>
                <w:szCs w:val="21"/>
              </w:rPr>
              <w:t>Dimensión de análisis</w:t>
            </w:r>
          </w:p>
        </w:tc>
        <w:tc>
          <w:tcPr>
            <w:tcW w:w="2000" w:type="dxa"/>
            <w:tcBorders>
              <w:top w:val="single" w:sz="4" w:space="0" w:color="BFC9D4"/>
              <w:left w:val="single" w:sz="4" w:space="0" w:color="BFC9D4"/>
              <w:bottom w:val="single" w:sz="4" w:space="0" w:color="BFC9D4"/>
              <w:right w:val="single" w:sz="4" w:space="0" w:color="BFC9D4"/>
            </w:tcBorders>
            <w:shd w:val="clear" w:color="auto" w:fill="1F3A5F"/>
            <w:tcMar>
              <w:top w:w="90" w:type="dxa"/>
              <w:left w:w="130" w:type="dxa"/>
              <w:bottom w:w="90" w:type="dxa"/>
              <w:right w:w="130" w:type="dxa"/>
            </w:tcMar>
            <w:vAlign w:val="center"/>
          </w:tcPr>
          <w:p w14:paraId="41C6974C" w14:textId="77777777" w:rsidR="00BD0F1D" w:rsidRDefault="00000000">
            <w:pPr>
              <w:spacing w:after="40"/>
              <w:jc w:val="center"/>
            </w:pPr>
            <w:r>
              <w:rPr>
                <w:b/>
                <w:bCs/>
                <w:color w:val="FFFFFF"/>
                <w:sz w:val="21"/>
                <w:szCs w:val="21"/>
              </w:rPr>
              <w:t>Champion (línea base)</w:t>
            </w:r>
          </w:p>
        </w:tc>
        <w:tc>
          <w:tcPr>
            <w:tcW w:w="2200" w:type="dxa"/>
            <w:tcBorders>
              <w:top w:val="single" w:sz="4" w:space="0" w:color="BFC9D4"/>
              <w:left w:val="single" w:sz="4" w:space="0" w:color="BFC9D4"/>
              <w:bottom w:val="single" w:sz="4" w:space="0" w:color="BFC9D4"/>
              <w:right w:val="single" w:sz="4" w:space="0" w:color="BFC9D4"/>
            </w:tcBorders>
            <w:shd w:val="clear" w:color="auto" w:fill="1F3A5F"/>
            <w:tcMar>
              <w:top w:w="90" w:type="dxa"/>
              <w:left w:w="130" w:type="dxa"/>
              <w:bottom w:w="90" w:type="dxa"/>
              <w:right w:w="130" w:type="dxa"/>
            </w:tcMar>
            <w:vAlign w:val="center"/>
          </w:tcPr>
          <w:p w14:paraId="7AA726E8" w14:textId="77777777" w:rsidR="00BD0F1D" w:rsidRDefault="00000000">
            <w:pPr>
              <w:spacing w:after="40"/>
              <w:jc w:val="center"/>
            </w:pPr>
            <w:r>
              <w:rPr>
                <w:b/>
                <w:bCs/>
                <w:color w:val="FFFFFF"/>
                <w:sz w:val="21"/>
                <w:szCs w:val="21"/>
              </w:rPr>
              <w:t>Challenger (conservadora)</w:t>
            </w:r>
          </w:p>
        </w:tc>
        <w:tc>
          <w:tcPr>
            <w:tcW w:w="2460" w:type="dxa"/>
            <w:tcBorders>
              <w:top w:val="single" w:sz="4" w:space="0" w:color="BFC9D4"/>
              <w:left w:val="single" w:sz="4" w:space="0" w:color="BFC9D4"/>
              <w:bottom w:val="single" w:sz="4" w:space="0" w:color="BFC9D4"/>
              <w:right w:val="single" w:sz="4" w:space="0" w:color="BFC9D4"/>
            </w:tcBorders>
            <w:shd w:val="clear" w:color="auto" w:fill="1F3A5F"/>
            <w:tcMar>
              <w:top w:w="90" w:type="dxa"/>
              <w:left w:w="130" w:type="dxa"/>
              <w:bottom w:w="90" w:type="dxa"/>
              <w:right w:w="130" w:type="dxa"/>
            </w:tcMar>
            <w:vAlign w:val="center"/>
          </w:tcPr>
          <w:p w14:paraId="798C8C7C" w14:textId="77777777" w:rsidR="00BD0F1D" w:rsidRDefault="00000000">
            <w:pPr>
              <w:spacing w:after="40"/>
              <w:jc w:val="center"/>
            </w:pPr>
            <w:r>
              <w:rPr>
                <w:b/>
                <w:bCs/>
                <w:color w:val="FFFFFF"/>
                <w:sz w:val="21"/>
                <w:szCs w:val="21"/>
              </w:rPr>
              <w:t>Variación metodológica</w:t>
            </w:r>
          </w:p>
        </w:tc>
      </w:tr>
      <w:tr w:rsidR="00BD0F1D" w14:paraId="048C0439" w14:textId="77777777">
        <w:tblPrEx>
          <w:tblCellMar>
            <w:top w:w="0" w:type="dxa"/>
            <w:bottom w:w="0" w:type="dxa"/>
          </w:tblCellMar>
        </w:tblPrEx>
        <w:trPr>
          <w:cantSplit/>
        </w:trPr>
        <w:tc>
          <w:tcPr>
            <w:tcW w:w="27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4DDEE4ED" w14:textId="77777777" w:rsidR="00BD0F1D" w:rsidRDefault="00000000">
            <w:pPr>
              <w:spacing w:after="40"/>
            </w:pPr>
            <w:r>
              <w:rPr>
                <w:b/>
                <w:bCs/>
                <w:sz w:val="21"/>
                <w:szCs w:val="21"/>
              </w:rPr>
              <w:t>Cuentas asignadas (80/20)</w:t>
            </w:r>
          </w:p>
        </w:tc>
        <w:tc>
          <w:tcPr>
            <w:tcW w:w="20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7B01318F" w14:textId="77777777" w:rsidR="00BD0F1D" w:rsidRDefault="00000000">
            <w:pPr>
              <w:spacing w:after="40"/>
              <w:jc w:val="center"/>
            </w:pPr>
            <w:r>
              <w:rPr>
                <w:sz w:val="21"/>
                <w:szCs w:val="21"/>
              </w:rPr>
              <w:t>2,000 cuentas (80%)</w:t>
            </w:r>
          </w:p>
        </w:tc>
        <w:tc>
          <w:tcPr>
            <w:tcW w:w="22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77D73681" w14:textId="77777777" w:rsidR="00BD0F1D" w:rsidRDefault="00000000">
            <w:pPr>
              <w:spacing w:after="40"/>
              <w:jc w:val="center"/>
            </w:pPr>
            <w:r>
              <w:rPr>
                <w:sz w:val="21"/>
                <w:szCs w:val="21"/>
              </w:rPr>
              <w:t>500 cuentas (20%)</w:t>
            </w:r>
          </w:p>
        </w:tc>
        <w:tc>
          <w:tcPr>
            <w:tcW w:w="246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1652E0F0" w14:textId="77777777" w:rsidR="00BD0F1D" w:rsidRDefault="00000000">
            <w:pPr>
              <w:spacing w:after="40"/>
              <w:jc w:val="center"/>
            </w:pPr>
            <w:r>
              <w:rPr>
                <w:sz w:val="19"/>
                <w:szCs w:val="19"/>
              </w:rPr>
              <w:t>Partición A/B validada</w:t>
            </w:r>
          </w:p>
        </w:tc>
      </w:tr>
      <w:tr w:rsidR="00BD0F1D" w14:paraId="02083283" w14:textId="77777777">
        <w:tblPrEx>
          <w:tblCellMar>
            <w:top w:w="0" w:type="dxa"/>
            <w:bottom w:w="0" w:type="dxa"/>
          </w:tblCellMar>
        </w:tblPrEx>
        <w:trPr>
          <w:cantSplit/>
        </w:trPr>
        <w:tc>
          <w:tcPr>
            <w:tcW w:w="270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0A8AB88E" w14:textId="77777777" w:rsidR="00BD0F1D" w:rsidRDefault="00000000">
            <w:pPr>
              <w:spacing w:after="40"/>
            </w:pPr>
            <w:r>
              <w:rPr>
                <w:b/>
                <w:bCs/>
                <w:sz w:val="21"/>
                <w:szCs w:val="21"/>
              </w:rPr>
              <w:t>Tasa de expansión / aprobación</w:t>
            </w:r>
          </w:p>
        </w:tc>
        <w:tc>
          <w:tcPr>
            <w:tcW w:w="200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06D6DBC2" w14:textId="77777777" w:rsidR="00BD0F1D" w:rsidRDefault="00000000">
            <w:pPr>
              <w:spacing w:after="40"/>
              <w:jc w:val="center"/>
            </w:pPr>
            <w:r>
              <w:rPr>
                <w:sz w:val="21"/>
                <w:szCs w:val="21"/>
              </w:rPr>
              <w:t>25.10%</w:t>
            </w:r>
          </w:p>
        </w:tc>
        <w:tc>
          <w:tcPr>
            <w:tcW w:w="220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7BB94F7B" w14:textId="77777777" w:rsidR="00BD0F1D" w:rsidRDefault="00000000">
            <w:pPr>
              <w:spacing w:after="40"/>
              <w:jc w:val="center"/>
            </w:pPr>
            <w:r>
              <w:rPr>
                <w:sz w:val="21"/>
                <w:szCs w:val="21"/>
              </w:rPr>
              <w:t>18.40%</w:t>
            </w:r>
          </w:p>
        </w:tc>
        <w:tc>
          <w:tcPr>
            <w:tcW w:w="246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0F2B0FC2" w14:textId="77777777" w:rsidR="00BD0F1D" w:rsidRDefault="00000000">
            <w:pPr>
              <w:spacing w:after="40"/>
              <w:jc w:val="center"/>
            </w:pPr>
            <w:r>
              <w:rPr>
                <w:sz w:val="19"/>
                <w:szCs w:val="19"/>
              </w:rPr>
              <w:t>−6.70% (filtro Prime más estricto)</w:t>
            </w:r>
          </w:p>
        </w:tc>
      </w:tr>
      <w:tr w:rsidR="00BD0F1D" w14:paraId="5EBA6160" w14:textId="77777777">
        <w:tblPrEx>
          <w:tblCellMar>
            <w:top w:w="0" w:type="dxa"/>
            <w:bottom w:w="0" w:type="dxa"/>
          </w:tblCellMar>
        </w:tblPrEx>
        <w:trPr>
          <w:cantSplit/>
        </w:trPr>
        <w:tc>
          <w:tcPr>
            <w:tcW w:w="27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0F868570" w14:textId="77777777" w:rsidR="00BD0F1D" w:rsidRDefault="00000000">
            <w:pPr>
              <w:spacing w:after="40"/>
            </w:pPr>
            <w:r>
              <w:rPr>
                <w:b/>
                <w:bCs/>
                <w:sz w:val="21"/>
                <w:szCs w:val="21"/>
              </w:rPr>
              <w:lastRenderedPageBreak/>
              <w:t>Tasa de mantenimiento regular</w:t>
            </w:r>
          </w:p>
        </w:tc>
        <w:tc>
          <w:tcPr>
            <w:tcW w:w="20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36B9D5DC" w14:textId="77777777" w:rsidR="00BD0F1D" w:rsidRDefault="00000000">
            <w:pPr>
              <w:spacing w:after="40"/>
              <w:jc w:val="center"/>
            </w:pPr>
            <w:r>
              <w:rPr>
                <w:sz w:val="21"/>
                <w:szCs w:val="21"/>
              </w:rPr>
              <w:t>45.25%</w:t>
            </w:r>
          </w:p>
        </w:tc>
        <w:tc>
          <w:tcPr>
            <w:tcW w:w="22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124E1DEF" w14:textId="77777777" w:rsidR="00BD0F1D" w:rsidRDefault="00000000">
            <w:pPr>
              <w:spacing w:after="40"/>
              <w:jc w:val="center"/>
            </w:pPr>
            <w:r>
              <w:rPr>
                <w:sz w:val="21"/>
                <w:szCs w:val="21"/>
              </w:rPr>
              <w:t>48.20%</w:t>
            </w:r>
          </w:p>
        </w:tc>
        <w:tc>
          <w:tcPr>
            <w:tcW w:w="246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59DF1877" w14:textId="77777777" w:rsidR="00BD0F1D" w:rsidRDefault="00000000">
            <w:pPr>
              <w:spacing w:after="40"/>
              <w:jc w:val="center"/>
            </w:pPr>
            <w:r>
              <w:rPr>
                <w:sz w:val="19"/>
                <w:szCs w:val="19"/>
              </w:rPr>
              <w:t>+2.95% (mayor retención estándar)</w:t>
            </w:r>
          </w:p>
        </w:tc>
      </w:tr>
      <w:tr w:rsidR="00BD0F1D" w14:paraId="157EBBC8" w14:textId="77777777">
        <w:tblPrEx>
          <w:tblCellMar>
            <w:top w:w="0" w:type="dxa"/>
            <w:bottom w:w="0" w:type="dxa"/>
          </w:tblCellMar>
        </w:tblPrEx>
        <w:trPr>
          <w:cantSplit/>
        </w:trPr>
        <w:tc>
          <w:tcPr>
            <w:tcW w:w="270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2F36790B" w14:textId="77777777" w:rsidR="00BD0F1D" w:rsidRDefault="00000000">
            <w:pPr>
              <w:spacing w:after="40"/>
            </w:pPr>
            <w:r>
              <w:rPr>
                <w:b/>
                <w:bCs/>
                <w:sz w:val="21"/>
                <w:szCs w:val="21"/>
              </w:rPr>
              <w:t>Tasa de reducción preventiva</w:t>
            </w:r>
          </w:p>
        </w:tc>
        <w:tc>
          <w:tcPr>
            <w:tcW w:w="200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57CE5451" w14:textId="77777777" w:rsidR="00BD0F1D" w:rsidRDefault="00000000">
            <w:pPr>
              <w:spacing w:after="40"/>
              <w:jc w:val="center"/>
            </w:pPr>
            <w:r>
              <w:rPr>
                <w:sz w:val="21"/>
                <w:szCs w:val="21"/>
              </w:rPr>
              <w:t>15.90%</w:t>
            </w:r>
          </w:p>
        </w:tc>
        <w:tc>
          <w:tcPr>
            <w:tcW w:w="220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21857F8B" w14:textId="77777777" w:rsidR="00BD0F1D" w:rsidRDefault="00000000">
            <w:pPr>
              <w:spacing w:after="40"/>
              <w:jc w:val="center"/>
            </w:pPr>
            <w:r>
              <w:rPr>
                <w:sz w:val="21"/>
                <w:szCs w:val="21"/>
              </w:rPr>
              <w:t>17.00%</w:t>
            </w:r>
          </w:p>
        </w:tc>
        <w:tc>
          <w:tcPr>
            <w:tcW w:w="246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197AC25A" w14:textId="77777777" w:rsidR="00BD0F1D" w:rsidRDefault="00000000">
            <w:pPr>
              <w:spacing w:after="40"/>
              <w:jc w:val="center"/>
            </w:pPr>
            <w:r>
              <w:rPr>
                <w:sz w:val="19"/>
                <w:szCs w:val="19"/>
              </w:rPr>
              <w:t>+1.10% (mitigación temprana)</w:t>
            </w:r>
          </w:p>
        </w:tc>
      </w:tr>
      <w:tr w:rsidR="00BD0F1D" w14:paraId="145F3AC1" w14:textId="77777777">
        <w:tblPrEx>
          <w:tblCellMar>
            <w:top w:w="0" w:type="dxa"/>
            <w:bottom w:w="0" w:type="dxa"/>
          </w:tblCellMar>
        </w:tblPrEx>
        <w:trPr>
          <w:cantSplit/>
        </w:trPr>
        <w:tc>
          <w:tcPr>
            <w:tcW w:w="27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39F6AD44" w14:textId="77777777" w:rsidR="00BD0F1D" w:rsidRDefault="00000000">
            <w:pPr>
              <w:spacing w:after="40"/>
            </w:pPr>
            <w:r>
              <w:rPr>
                <w:b/>
                <w:bCs/>
                <w:sz w:val="21"/>
                <w:szCs w:val="21"/>
              </w:rPr>
              <w:t>Tasa de bloqueo / contención</w:t>
            </w:r>
          </w:p>
        </w:tc>
        <w:tc>
          <w:tcPr>
            <w:tcW w:w="20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4761D9BA" w14:textId="77777777" w:rsidR="00BD0F1D" w:rsidRDefault="00000000">
            <w:pPr>
              <w:spacing w:after="40"/>
              <w:jc w:val="center"/>
            </w:pPr>
            <w:r>
              <w:rPr>
                <w:sz w:val="21"/>
                <w:szCs w:val="21"/>
              </w:rPr>
              <w:t>8.75%</w:t>
            </w:r>
          </w:p>
        </w:tc>
        <w:tc>
          <w:tcPr>
            <w:tcW w:w="22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0FEA8E1D" w14:textId="77777777" w:rsidR="00BD0F1D" w:rsidRDefault="00000000">
            <w:pPr>
              <w:spacing w:after="40"/>
              <w:jc w:val="center"/>
            </w:pPr>
            <w:r>
              <w:rPr>
                <w:sz w:val="21"/>
                <w:szCs w:val="21"/>
              </w:rPr>
              <w:t>10.20%</w:t>
            </w:r>
          </w:p>
        </w:tc>
        <w:tc>
          <w:tcPr>
            <w:tcW w:w="246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345AA456" w14:textId="77777777" w:rsidR="00BD0F1D" w:rsidRDefault="00000000">
            <w:pPr>
              <w:spacing w:after="40"/>
              <w:jc w:val="center"/>
            </w:pPr>
            <w:r>
              <w:rPr>
                <w:sz w:val="19"/>
                <w:szCs w:val="19"/>
              </w:rPr>
              <w:t>+1.45% (mayor blindaje preventivo)</w:t>
            </w:r>
          </w:p>
        </w:tc>
      </w:tr>
      <w:tr w:rsidR="00BD0F1D" w14:paraId="63618F53" w14:textId="77777777">
        <w:tblPrEx>
          <w:tblCellMar>
            <w:top w:w="0" w:type="dxa"/>
            <w:bottom w:w="0" w:type="dxa"/>
          </w:tblCellMar>
        </w:tblPrEx>
        <w:trPr>
          <w:cantSplit/>
        </w:trPr>
        <w:tc>
          <w:tcPr>
            <w:tcW w:w="270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245DCAD8" w14:textId="77777777" w:rsidR="00BD0F1D" w:rsidRDefault="00000000">
            <w:pPr>
              <w:spacing w:after="40"/>
            </w:pPr>
            <w:r>
              <w:rPr>
                <w:b/>
                <w:bCs/>
                <w:sz w:val="21"/>
                <w:szCs w:val="21"/>
              </w:rPr>
              <w:t>Tasa de cancelación / cobranza</w:t>
            </w:r>
          </w:p>
        </w:tc>
        <w:tc>
          <w:tcPr>
            <w:tcW w:w="200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3D3B73F2" w14:textId="77777777" w:rsidR="00BD0F1D" w:rsidRDefault="00000000">
            <w:pPr>
              <w:spacing w:after="40"/>
              <w:jc w:val="center"/>
            </w:pPr>
            <w:r>
              <w:rPr>
                <w:sz w:val="21"/>
                <w:szCs w:val="21"/>
              </w:rPr>
              <w:t>5.00%</w:t>
            </w:r>
          </w:p>
        </w:tc>
        <w:tc>
          <w:tcPr>
            <w:tcW w:w="220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2CDBDC96" w14:textId="77777777" w:rsidR="00BD0F1D" w:rsidRDefault="00000000">
            <w:pPr>
              <w:spacing w:after="40"/>
              <w:jc w:val="center"/>
            </w:pPr>
            <w:r>
              <w:rPr>
                <w:sz w:val="21"/>
                <w:szCs w:val="21"/>
              </w:rPr>
              <w:t>6.20%</w:t>
            </w:r>
          </w:p>
        </w:tc>
        <w:tc>
          <w:tcPr>
            <w:tcW w:w="2460" w:type="dxa"/>
            <w:tcBorders>
              <w:top w:val="single" w:sz="4" w:space="0" w:color="BFC9D4"/>
              <w:left w:val="single" w:sz="4" w:space="0" w:color="BFC9D4"/>
              <w:bottom w:val="single" w:sz="4" w:space="0" w:color="BFC9D4"/>
              <w:right w:val="single" w:sz="4" w:space="0" w:color="BFC9D4"/>
            </w:tcBorders>
            <w:shd w:val="clear" w:color="auto" w:fill="F4F6F8"/>
            <w:tcMar>
              <w:top w:w="90" w:type="dxa"/>
              <w:left w:w="130" w:type="dxa"/>
              <w:bottom w:w="90" w:type="dxa"/>
              <w:right w:w="130" w:type="dxa"/>
            </w:tcMar>
            <w:vAlign w:val="center"/>
          </w:tcPr>
          <w:p w14:paraId="09AA3FE3" w14:textId="77777777" w:rsidR="00BD0F1D" w:rsidRDefault="00000000">
            <w:pPr>
              <w:spacing w:after="40"/>
              <w:jc w:val="center"/>
            </w:pPr>
            <w:r>
              <w:rPr>
                <w:sz w:val="19"/>
                <w:szCs w:val="19"/>
              </w:rPr>
              <w:t>+1.20% (corte oportuno a 60 días)</w:t>
            </w:r>
          </w:p>
        </w:tc>
      </w:tr>
      <w:tr w:rsidR="00BD0F1D" w14:paraId="3767BF7E" w14:textId="77777777">
        <w:tblPrEx>
          <w:tblCellMar>
            <w:top w:w="0" w:type="dxa"/>
            <w:bottom w:w="0" w:type="dxa"/>
          </w:tblCellMar>
        </w:tblPrEx>
        <w:trPr>
          <w:cantSplit/>
        </w:trPr>
        <w:tc>
          <w:tcPr>
            <w:tcW w:w="27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30C45545" w14:textId="77777777" w:rsidR="00BD0F1D" w:rsidRDefault="00000000">
            <w:pPr>
              <w:spacing w:after="40"/>
            </w:pPr>
            <w:r>
              <w:rPr>
                <w:b/>
                <w:bCs/>
                <w:sz w:val="21"/>
                <w:szCs w:val="21"/>
              </w:rPr>
              <w:t>Delta de exposición neta (MXN)</w:t>
            </w:r>
          </w:p>
        </w:tc>
        <w:tc>
          <w:tcPr>
            <w:tcW w:w="20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7708040A" w14:textId="77777777" w:rsidR="00BD0F1D" w:rsidRDefault="00000000">
            <w:pPr>
              <w:spacing w:after="40"/>
              <w:jc w:val="center"/>
            </w:pPr>
            <w:r>
              <w:rPr>
                <w:sz w:val="21"/>
                <w:szCs w:val="21"/>
              </w:rPr>
              <w:t>+$4,120,500.00</w:t>
            </w:r>
          </w:p>
        </w:tc>
        <w:tc>
          <w:tcPr>
            <w:tcW w:w="220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098FFAE2" w14:textId="77777777" w:rsidR="00BD0F1D" w:rsidRDefault="00000000">
            <w:pPr>
              <w:spacing w:after="40"/>
              <w:jc w:val="center"/>
            </w:pPr>
            <w:r>
              <w:rPr>
                <w:sz w:val="21"/>
                <w:szCs w:val="21"/>
              </w:rPr>
              <w:t>−$1,350,200.00</w:t>
            </w:r>
          </w:p>
        </w:tc>
        <w:tc>
          <w:tcPr>
            <w:tcW w:w="2460" w:type="dxa"/>
            <w:tcBorders>
              <w:top w:val="single" w:sz="4" w:space="0" w:color="BFC9D4"/>
              <w:left w:val="single" w:sz="4" w:space="0" w:color="BFC9D4"/>
              <w:bottom w:val="single" w:sz="4" w:space="0" w:color="BFC9D4"/>
              <w:right w:val="single" w:sz="4" w:space="0" w:color="BFC9D4"/>
            </w:tcBorders>
            <w:tcMar>
              <w:top w:w="90" w:type="dxa"/>
              <w:left w:w="130" w:type="dxa"/>
              <w:bottom w:w="90" w:type="dxa"/>
              <w:right w:w="130" w:type="dxa"/>
            </w:tcMar>
            <w:vAlign w:val="center"/>
          </w:tcPr>
          <w:p w14:paraId="73985E54" w14:textId="77777777" w:rsidR="00BD0F1D" w:rsidRDefault="00000000">
            <w:pPr>
              <w:spacing w:after="40"/>
              <w:jc w:val="center"/>
            </w:pPr>
            <w:r>
              <w:rPr>
                <w:sz w:val="19"/>
                <w:szCs w:val="19"/>
              </w:rPr>
              <w:t>Reducción de saldo expuesto al riesgo</w:t>
            </w:r>
          </w:p>
        </w:tc>
      </w:tr>
    </w:tbl>
    <w:p w14:paraId="222A0BBC" w14:textId="77777777" w:rsidR="00BD0F1D" w:rsidRDefault="00BD0F1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0F1D" w14:paraId="41328992" w14:textId="77777777">
        <w:tblPrEx>
          <w:tblCellMar>
            <w:top w:w="0" w:type="dxa"/>
            <w:bottom w:w="0" w:type="dxa"/>
          </w:tblCellMar>
        </w:tblPrEx>
        <w:tc>
          <w:tcPr>
            <w:tcW w:w="9360" w:type="dxa"/>
            <w:tcBorders>
              <w:top w:val="none" w:sz="0" w:space="0" w:color="FFFFFF"/>
              <w:left w:val="single" w:sz="24" w:space="0" w:color="2E75B6"/>
              <w:bottom w:val="none" w:sz="0" w:space="0" w:color="FFFFFF"/>
              <w:right w:val="none" w:sz="0" w:space="0" w:color="FFFFFF"/>
            </w:tcBorders>
            <w:shd w:val="clear" w:color="auto" w:fill="E8F0F8"/>
            <w:tcMar>
              <w:top w:w="140" w:type="dxa"/>
              <w:left w:w="220" w:type="dxa"/>
              <w:bottom w:w="140" w:type="dxa"/>
              <w:right w:w="200" w:type="dxa"/>
            </w:tcMar>
          </w:tcPr>
          <w:p w14:paraId="4210DF4C" w14:textId="77777777" w:rsidR="00BD0F1D" w:rsidRDefault="00000000">
            <w:pPr>
              <w:spacing w:after="60"/>
            </w:pPr>
            <w:r>
              <w:rPr>
                <w:b/>
                <w:bCs/>
                <w:color w:val="1F3A5F"/>
                <w:sz w:val="23"/>
                <w:szCs w:val="23"/>
              </w:rPr>
              <w:t>Conclusión del experimento</w:t>
            </w:r>
          </w:p>
          <w:p w14:paraId="1C5342B3" w14:textId="77777777" w:rsidR="00BD0F1D" w:rsidRDefault="00000000">
            <w:pPr>
              <w:jc w:val="both"/>
            </w:pPr>
            <w:r>
              <w:t>La metodología Champion/Challenger demuestra que la política Challenger mitiga un 2.65% adicional de riesgo crediticio crítico antes de que la cartera madure a default severo, permitiendo al analista de riesgo respaldar sus propuestas ante comités directivos con evidencia cuantitativa.</w:t>
            </w:r>
          </w:p>
        </w:tc>
      </w:tr>
    </w:tbl>
    <w:p w14:paraId="4AD476E3" w14:textId="77777777" w:rsidR="00BD0F1D" w:rsidRDefault="00000000">
      <w:pPr>
        <w:pStyle w:val="Ttulo1"/>
        <w:keepNext/>
      </w:pPr>
      <w:r>
        <w:t>5. Cronograma de Próximos Avances Semanales</w:t>
      </w:r>
    </w:p>
    <w:p w14:paraId="53E1BBEE" w14:textId="77777777" w:rsidR="00BD0F1D" w:rsidRDefault="00000000">
      <w:pPr>
        <w:keepNext/>
        <w:spacing w:after="120" w:line="276" w:lineRule="auto"/>
        <w:jc w:val="both"/>
      </w:pPr>
      <w:r>
        <w:t>Para dar cumplimiento a la planeación periódica de la residencia profesional, se establece el siguiente cronograma de entregables: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D0F1D" w14:paraId="27B49863" w14:textId="77777777">
        <w:tblPrEx>
          <w:tblCellMar>
            <w:top w:w="0" w:type="dxa"/>
            <w:bottom w:w="0" w:type="dxa"/>
          </w:tblCellMar>
        </w:tblPrEx>
        <w:tc>
          <w:tcPr>
            <w:tcW w:w="2340" w:type="dxa"/>
            <w:tcBorders>
              <w:top w:val="single" w:sz="4" w:space="0" w:color="BFC9D4"/>
              <w:left w:val="single" w:sz="4" w:space="0" w:color="BFC9D4"/>
              <w:bottom w:val="single" w:sz="4" w:space="0" w:color="BFC9D4"/>
              <w:right w:val="single" w:sz="4" w:space="0" w:color="BFC9D4"/>
            </w:tcBorders>
            <w:shd w:val="clear" w:color="auto" w:fill="1F3A5F"/>
            <w:tcMar>
              <w:top w:w="100" w:type="dxa"/>
              <w:left w:w="100" w:type="dxa"/>
              <w:bottom w:w="100" w:type="dxa"/>
              <w:right w:w="100" w:type="dxa"/>
            </w:tcMar>
            <w:vAlign w:val="center"/>
          </w:tcPr>
          <w:p w14:paraId="15F36EA8" w14:textId="77777777" w:rsidR="00BD0F1D" w:rsidRDefault="00000000">
            <w:pPr>
              <w:spacing w:after="40"/>
              <w:jc w:val="center"/>
            </w:pPr>
            <w:r>
              <w:rPr>
                <w:b/>
                <w:bCs/>
                <w:color w:val="BFD7EE"/>
                <w:sz w:val="17"/>
                <w:szCs w:val="17"/>
              </w:rPr>
              <w:t>SEMANA ACTUAL</w:t>
            </w:r>
          </w:p>
          <w:p w14:paraId="36E8EAAA" w14:textId="77777777" w:rsidR="00BD0F1D" w:rsidRDefault="00000000">
            <w:pPr>
              <w:jc w:val="center"/>
            </w:pPr>
            <w:r>
              <w:rPr>
                <w:b/>
                <w:bCs/>
                <w:color w:val="FFFFFF"/>
                <w:sz w:val="20"/>
                <w:szCs w:val="20"/>
              </w:rPr>
              <w:t>Metodología Champion / Challenger</w:t>
            </w:r>
          </w:p>
        </w:tc>
        <w:tc>
          <w:tcPr>
            <w:tcW w:w="2340" w:type="dxa"/>
            <w:tcBorders>
              <w:top w:val="single" w:sz="4" w:space="0" w:color="BFC9D4"/>
              <w:left w:val="single" w:sz="4" w:space="0" w:color="BFC9D4"/>
              <w:bottom w:val="single" w:sz="4" w:space="0" w:color="BFC9D4"/>
              <w:right w:val="single" w:sz="4" w:space="0" w:color="BFC9D4"/>
            </w:tcBorders>
            <w:shd w:val="clear" w:color="auto" w:fill="E8F0F8"/>
            <w:tcMar>
              <w:top w:w="100" w:type="dxa"/>
              <w:left w:w="100" w:type="dxa"/>
              <w:bottom w:w="100" w:type="dxa"/>
              <w:right w:w="100" w:type="dxa"/>
            </w:tcMar>
            <w:vAlign w:val="center"/>
          </w:tcPr>
          <w:p w14:paraId="207F481D" w14:textId="77777777" w:rsidR="00BD0F1D" w:rsidRDefault="00000000">
            <w:pPr>
              <w:spacing w:after="40"/>
              <w:jc w:val="center"/>
            </w:pPr>
            <w:r>
              <w:rPr>
                <w:b/>
                <w:bCs/>
                <w:color w:val="2E75B6"/>
                <w:sz w:val="17"/>
                <w:szCs w:val="17"/>
              </w:rPr>
              <w:t>PRÓXIMA SEMANA</w:t>
            </w:r>
          </w:p>
          <w:p w14:paraId="4DFE3788" w14:textId="77777777" w:rsidR="00BD0F1D" w:rsidRDefault="00000000">
            <w:pPr>
              <w:jc w:val="center"/>
            </w:pPr>
            <w:r>
              <w:rPr>
                <w:b/>
                <w:bCs/>
                <w:color w:val="1F3A5F"/>
                <w:sz w:val="20"/>
                <w:szCs w:val="20"/>
              </w:rPr>
              <w:t>Sistema de alertas tempranas</w:t>
            </w:r>
          </w:p>
        </w:tc>
        <w:tc>
          <w:tcPr>
            <w:tcW w:w="2340" w:type="dxa"/>
            <w:tcBorders>
              <w:top w:val="single" w:sz="4" w:space="0" w:color="BFC9D4"/>
              <w:left w:val="single" w:sz="4" w:space="0" w:color="BFC9D4"/>
              <w:bottom w:val="single" w:sz="4" w:space="0" w:color="BFC9D4"/>
              <w:right w:val="single" w:sz="4" w:space="0" w:color="BFC9D4"/>
            </w:tcBorders>
            <w:shd w:val="clear" w:color="auto" w:fill="E8F0F8"/>
            <w:tcMar>
              <w:top w:w="100" w:type="dxa"/>
              <w:left w:w="100" w:type="dxa"/>
              <w:bottom w:w="100" w:type="dxa"/>
              <w:right w:w="100" w:type="dxa"/>
            </w:tcMar>
            <w:vAlign w:val="center"/>
          </w:tcPr>
          <w:p w14:paraId="2CA542AF" w14:textId="77777777" w:rsidR="00BD0F1D" w:rsidRDefault="00000000">
            <w:pPr>
              <w:spacing w:after="40"/>
              <w:jc w:val="center"/>
            </w:pPr>
            <w:r>
              <w:rPr>
                <w:b/>
                <w:bCs/>
                <w:color w:val="2E75B6"/>
                <w:sz w:val="17"/>
                <w:szCs w:val="17"/>
              </w:rPr>
              <w:t>SEMANA 3</w:t>
            </w:r>
          </w:p>
          <w:p w14:paraId="5AFC0B17" w14:textId="77777777" w:rsidR="00BD0F1D" w:rsidRDefault="00000000">
            <w:pPr>
              <w:jc w:val="center"/>
            </w:pPr>
            <w:proofErr w:type="spellStart"/>
            <w:r>
              <w:rPr>
                <w:b/>
                <w:bCs/>
                <w:color w:val="1F3A5F"/>
                <w:sz w:val="20"/>
                <w:szCs w:val="20"/>
              </w:rPr>
              <w:t>Reporting</w:t>
            </w:r>
            <w:proofErr w:type="spellEnd"/>
            <w:r>
              <w:rPr>
                <w:b/>
                <w:bCs/>
                <w:color w:val="1F3A5F"/>
                <w:sz w:val="20"/>
                <w:szCs w:val="20"/>
              </w:rPr>
              <w:t xml:space="preserve"> regulatorio auditable</w:t>
            </w:r>
          </w:p>
        </w:tc>
        <w:tc>
          <w:tcPr>
            <w:tcW w:w="2340" w:type="dxa"/>
            <w:tcBorders>
              <w:top w:val="single" w:sz="4" w:space="0" w:color="BFC9D4"/>
              <w:left w:val="single" w:sz="4" w:space="0" w:color="BFC9D4"/>
              <w:bottom w:val="single" w:sz="4" w:space="0" w:color="BFC9D4"/>
              <w:right w:val="single" w:sz="4" w:space="0" w:color="BFC9D4"/>
            </w:tcBorders>
            <w:shd w:val="clear" w:color="auto" w:fill="E8F0F8"/>
            <w:tcMar>
              <w:top w:w="100" w:type="dxa"/>
              <w:left w:w="100" w:type="dxa"/>
              <w:bottom w:w="100" w:type="dxa"/>
              <w:right w:w="100" w:type="dxa"/>
            </w:tcMar>
            <w:vAlign w:val="center"/>
          </w:tcPr>
          <w:p w14:paraId="12425131" w14:textId="77777777" w:rsidR="00BD0F1D" w:rsidRDefault="00000000">
            <w:pPr>
              <w:spacing w:after="40"/>
              <w:jc w:val="center"/>
            </w:pPr>
            <w:r>
              <w:rPr>
                <w:b/>
                <w:bCs/>
                <w:color w:val="2E75B6"/>
                <w:sz w:val="17"/>
                <w:szCs w:val="17"/>
              </w:rPr>
              <w:t>SEMANA 4 · CIERRE</w:t>
            </w:r>
          </w:p>
          <w:p w14:paraId="1531847E" w14:textId="77777777" w:rsidR="00BD0F1D" w:rsidRDefault="00000000">
            <w:pPr>
              <w:jc w:val="center"/>
            </w:pPr>
            <w:r>
              <w:rPr>
                <w:b/>
                <w:bCs/>
                <w:color w:val="1F3A5F"/>
                <w:sz w:val="20"/>
                <w:szCs w:val="20"/>
              </w:rPr>
              <w:t xml:space="preserve">Stress </w:t>
            </w:r>
            <w:proofErr w:type="spellStart"/>
            <w:r>
              <w:rPr>
                <w:b/>
                <w:bCs/>
                <w:color w:val="1F3A5F"/>
                <w:sz w:val="20"/>
                <w:szCs w:val="20"/>
              </w:rPr>
              <w:t>testing</w:t>
            </w:r>
            <w:proofErr w:type="spellEnd"/>
            <w:r>
              <w:rPr>
                <w:b/>
                <w:bCs/>
                <w:color w:val="1F3A5F"/>
                <w:sz w:val="20"/>
                <w:szCs w:val="20"/>
              </w:rPr>
              <w:t xml:space="preserve"> masivo y memoria técnica final</w:t>
            </w:r>
          </w:p>
        </w:tc>
      </w:tr>
    </w:tbl>
    <w:p w14:paraId="5646D3CC" w14:textId="77777777" w:rsidR="00BD0F1D" w:rsidRDefault="00BD0F1D">
      <w:pPr>
        <w:spacing w:after="160"/>
      </w:pPr>
    </w:p>
    <w:p w14:paraId="76381E09" w14:textId="77777777" w:rsidR="00BD0F1D" w:rsidRDefault="00000000">
      <w:pPr>
        <w:pStyle w:val="Prrafodelista"/>
        <w:numPr>
          <w:ilvl w:val="0"/>
          <w:numId w:val="3"/>
        </w:numPr>
        <w:spacing w:after="80" w:line="276" w:lineRule="auto"/>
      </w:pPr>
      <w:r>
        <w:rPr>
          <w:b/>
          <w:bCs/>
        </w:rPr>
        <w:t xml:space="preserve">Semana actual (completada): </w:t>
      </w:r>
      <w:r>
        <w:t xml:space="preserve">formalización del marco metodológico de ingeniería y riesgo; implementación del módulo Champion/Challenger y Matriz Bidimensional de Límites; despliegue de la Pestaña 5 en </w:t>
      </w:r>
      <w:proofErr w:type="spellStart"/>
      <w:r>
        <w:t>Streamlit</w:t>
      </w:r>
      <w:proofErr w:type="spellEnd"/>
      <w:r>
        <w:t xml:space="preserve"> y batería de pruebas en </w:t>
      </w:r>
      <w:proofErr w:type="spellStart"/>
      <w:r>
        <w:t>Pytest</w:t>
      </w:r>
      <w:proofErr w:type="spellEnd"/>
      <w:r>
        <w:t xml:space="preserve"> (12/12 exitosas).</w:t>
      </w:r>
    </w:p>
    <w:p w14:paraId="61E532CF" w14:textId="77777777" w:rsidR="00BD0F1D" w:rsidRDefault="00000000">
      <w:pPr>
        <w:pStyle w:val="Prrafodelista"/>
        <w:numPr>
          <w:ilvl w:val="0"/>
          <w:numId w:val="3"/>
        </w:numPr>
        <w:spacing w:after="80" w:line="276" w:lineRule="auto"/>
      </w:pPr>
      <w:r>
        <w:rPr>
          <w:b/>
          <w:bCs/>
        </w:rPr>
        <w:t xml:space="preserve">Próxima semana (Semana 2 de avances metodológicos): </w:t>
      </w:r>
      <w:r>
        <w:t>módulo de Sistema de Alertas Tempranas (</w:t>
      </w:r>
      <w:r>
        <w:rPr>
          <w:i/>
          <w:iCs/>
        </w:rPr>
        <w:t xml:space="preserve">Early Warning </w:t>
      </w:r>
      <w:proofErr w:type="spellStart"/>
      <w:r>
        <w:rPr>
          <w:i/>
          <w:iCs/>
        </w:rPr>
        <w:t>Indicators</w:t>
      </w:r>
      <w:proofErr w:type="spellEnd"/>
      <w:r>
        <w:rPr>
          <w:i/>
          <w:iCs/>
        </w:rPr>
        <w:t xml:space="preserve"> — EWI</w:t>
      </w:r>
      <w:r>
        <w:t>): detección heurística de patrones de estrés atípico (aumento súbito de velocidad de gasto en días previos al corte).</w:t>
      </w:r>
    </w:p>
    <w:p w14:paraId="30DB0CA3" w14:textId="77777777" w:rsidR="00BD0F1D" w:rsidRDefault="00000000">
      <w:pPr>
        <w:pStyle w:val="Prrafodelista"/>
        <w:numPr>
          <w:ilvl w:val="0"/>
          <w:numId w:val="3"/>
        </w:numPr>
        <w:spacing w:after="80" w:line="276" w:lineRule="auto"/>
      </w:pPr>
      <w:r>
        <w:rPr>
          <w:b/>
          <w:bCs/>
        </w:rPr>
        <w:t xml:space="preserve">Semana 3: </w:t>
      </w:r>
      <w:r>
        <w:t xml:space="preserve">motor automatizado de reportes ejecutivos: generación y descarga directa desde el </w:t>
      </w:r>
      <w:proofErr w:type="spellStart"/>
      <w:r>
        <w:t>dashboard</w:t>
      </w:r>
      <w:proofErr w:type="spellEnd"/>
      <w:r>
        <w:t xml:space="preserve"> de reportes de auditoría en formato PDF y Excel con tablas cruzadas y gráficos vectoriales embebidos.</w:t>
      </w:r>
    </w:p>
    <w:p w14:paraId="34BF36D9" w14:textId="7AAE4A37" w:rsidR="00BD0F1D" w:rsidRDefault="00000000" w:rsidP="00F7002B">
      <w:pPr>
        <w:pStyle w:val="Prrafodelista"/>
        <w:numPr>
          <w:ilvl w:val="0"/>
          <w:numId w:val="3"/>
        </w:numPr>
        <w:spacing w:after="80" w:line="276" w:lineRule="auto"/>
      </w:pPr>
      <w:r>
        <w:rPr>
          <w:b/>
          <w:bCs/>
        </w:rPr>
        <w:lastRenderedPageBreak/>
        <w:t xml:space="preserve">Semana 4 (cierre de etapa): </w:t>
      </w:r>
      <w:r>
        <w:t>pruebas de estrés masivo (</w:t>
      </w:r>
      <w:r>
        <w:rPr>
          <w:i/>
          <w:iCs/>
        </w:rPr>
        <w:t xml:space="preserve">Stress </w:t>
      </w:r>
      <w:proofErr w:type="spellStart"/>
      <w:r>
        <w:rPr>
          <w:i/>
          <w:iCs/>
        </w:rPr>
        <w:t>Testing</w:t>
      </w:r>
      <w:proofErr w:type="spellEnd"/>
      <w:r>
        <w:t>): evaluación de rendimiento computacional procesando lotes de 50,000 a 100,000 registros sintéticos en memoria, midiendo latencia y consumo de recursos para la memoria técnica final.</w:t>
      </w:r>
    </w:p>
    <w:sectPr w:rsidR="00BD0F1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1A1E7" w14:textId="77777777" w:rsidR="00DD2095" w:rsidRDefault="00DD2095">
      <w:r>
        <w:separator/>
      </w:r>
    </w:p>
  </w:endnote>
  <w:endnote w:type="continuationSeparator" w:id="0">
    <w:p w14:paraId="57E83519" w14:textId="77777777" w:rsidR="00DD2095" w:rsidRDefault="00DD2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DF12" w14:textId="77777777" w:rsidR="00BD0F1D" w:rsidRDefault="00000000">
    <w:pPr>
      <w:jc w:val="center"/>
    </w:pPr>
    <w:r>
      <w:rPr>
        <w:color w:val="777777"/>
        <w:sz w:val="18"/>
        <w:szCs w:val="18"/>
      </w:rPr>
      <w:t xml:space="preserve">Marco Antonio Oroza Ortega · TESE · 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F7002B">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CB8F0" w14:textId="77777777" w:rsidR="00DD2095" w:rsidRDefault="00DD2095">
      <w:r>
        <w:separator/>
      </w:r>
    </w:p>
  </w:footnote>
  <w:footnote w:type="continuationSeparator" w:id="0">
    <w:p w14:paraId="2CAC4117" w14:textId="77777777" w:rsidR="00DD2095" w:rsidRDefault="00DD2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3EB5" w14:textId="77777777" w:rsidR="00BD0F1D" w:rsidRDefault="00000000">
    <w:pPr>
      <w:pBdr>
        <w:bottom w:val="single" w:sz="4" w:space="4" w:color="BFC9D4"/>
      </w:pBdr>
      <w:jc w:val="right"/>
    </w:pPr>
    <w:r>
      <w:rPr>
        <w:color w:val="777777"/>
        <w:sz w:val="18"/>
        <w:szCs w:val="18"/>
      </w:rPr>
      <w:t>Reporte de Avance Metodológico — Fase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42B"/>
    <w:multiLevelType w:val="hybridMultilevel"/>
    <w:tmpl w:val="3A1CC1A4"/>
    <w:lvl w:ilvl="0" w:tplc="662644C8">
      <w:start w:val="1"/>
      <w:numFmt w:val="decimal"/>
      <w:lvlText w:val="%1."/>
      <w:lvlJc w:val="left"/>
      <w:pPr>
        <w:ind w:left="540" w:hanging="360"/>
      </w:pPr>
      <w:rPr>
        <w:b/>
        <w:bCs/>
        <w:color w:val="2E75B6"/>
      </w:rPr>
    </w:lvl>
    <w:lvl w:ilvl="1" w:tplc="FF7006F8">
      <w:numFmt w:val="decimal"/>
      <w:lvlText w:val=""/>
      <w:lvlJc w:val="left"/>
    </w:lvl>
    <w:lvl w:ilvl="2" w:tplc="CE16CFCE">
      <w:numFmt w:val="decimal"/>
      <w:lvlText w:val=""/>
      <w:lvlJc w:val="left"/>
    </w:lvl>
    <w:lvl w:ilvl="3" w:tplc="9320D1D6">
      <w:numFmt w:val="decimal"/>
      <w:lvlText w:val=""/>
      <w:lvlJc w:val="left"/>
    </w:lvl>
    <w:lvl w:ilvl="4" w:tplc="96388C00">
      <w:numFmt w:val="decimal"/>
      <w:lvlText w:val=""/>
      <w:lvlJc w:val="left"/>
    </w:lvl>
    <w:lvl w:ilvl="5" w:tplc="5B927D78">
      <w:numFmt w:val="decimal"/>
      <w:lvlText w:val=""/>
      <w:lvlJc w:val="left"/>
    </w:lvl>
    <w:lvl w:ilvl="6" w:tplc="DED88984">
      <w:numFmt w:val="decimal"/>
      <w:lvlText w:val=""/>
      <w:lvlJc w:val="left"/>
    </w:lvl>
    <w:lvl w:ilvl="7" w:tplc="21668A2E">
      <w:numFmt w:val="decimal"/>
      <w:lvlText w:val=""/>
      <w:lvlJc w:val="left"/>
    </w:lvl>
    <w:lvl w:ilvl="8" w:tplc="972CF922">
      <w:numFmt w:val="decimal"/>
      <w:lvlText w:val=""/>
      <w:lvlJc w:val="left"/>
    </w:lvl>
  </w:abstractNum>
  <w:abstractNum w:abstractNumId="1" w15:restartNumberingAfterBreak="0">
    <w:nsid w:val="131B1A5D"/>
    <w:multiLevelType w:val="hybridMultilevel"/>
    <w:tmpl w:val="79320084"/>
    <w:lvl w:ilvl="0" w:tplc="136203BC">
      <w:start w:val="1"/>
      <w:numFmt w:val="bullet"/>
      <w:lvlText w:val="●"/>
      <w:lvlJc w:val="left"/>
      <w:pPr>
        <w:ind w:left="720" w:hanging="360"/>
      </w:pPr>
    </w:lvl>
    <w:lvl w:ilvl="1" w:tplc="A242479C">
      <w:start w:val="1"/>
      <w:numFmt w:val="bullet"/>
      <w:lvlText w:val="○"/>
      <w:lvlJc w:val="left"/>
      <w:pPr>
        <w:ind w:left="1440" w:hanging="360"/>
      </w:pPr>
    </w:lvl>
    <w:lvl w:ilvl="2" w:tplc="78503902">
      <w:start w:val="1"/>
      <w:numFmt w:val="bullet"/>
      <w:lvlText w:val="■"/>
      <w:lvlJc w:val="left"/>
      <w:pPr>
        <w:ind w:left="2160" w:hanging="360"/>
      </w:pPr>
    </w:lvl>
    <w:lvl w:ilvl="3" w:tplc="861A0B5C">
      <w:start w:val="1"/>
      <w:numFmt w:val="bullet"/>
      <w:lvlText w:val="●"/>
      <w:lvlJc w:val="left"/>
      <w:pPr>
        <w:ind w:left="2880" w:hanging="360"/>
      </w:pPr>
    </w:lvl>
    <w:lvl w:ilvl="4" w:tplc="25AC7CBE">
      <w:start w:val="1"/>
      <w:numFmt w:val="bullet"/>
      <w:lvlText w:val="○"/>
      <w:lvlJc w:val="left"/>
      <w:pPr>
        <w:ind w:left="3600" w:hanging="360"/>
      </w:pPr>
    </w:lvl>
    <w:lvl w:ilvl="5" w:tplc="15FCA53C">
      <w:start w:val="1"/>
      <w:numFmt w:val="bullet"/>
      <w:lvlText w:val="■"/>
      <w:lvlJc w:val="left"/>
      <w:pPr>
        <w:ind w:left="4320" w:hanging="360"/>
      </w:pPr>
    </w:lvl>
    <w:lvl w:ilvl="6" w:tplc="589E0000">
      <w:start w:val="1"/>
      <w:numFmt w:val="bullet"/>
      <w:lvlText w:val="●"/>
      <w:lvlJc w:val="left"/>
      <w:pPr>
        <w:ind w:left="5040" w:hanging="360"/>
      </w:pPr>
    </w:lvl>
    <w:lvl w:ilvl="7" w:tplc="3C10BE7E">
      <w:start w:val="1"/>
      <w:numFmt w:val="bullet"/>
      <w:lvlText w:val="●"/>
      <w:lvlJc w:val="left"/>
      <w:pPr>
        <w:ind w:left="5760" w:hanging="360"/>
      </w:pPr>
    </w:lvl>
    <w:lvl w:ilvl="8" w:tplc="5F86176A">
      <w:start w:val="1"/>
      <w:numFmt w:val="bullet"/>
      <w:lvlText w:val="●"/>
      <w:lvlJc w:val="left"/>
      <w:pPr>
        <w:ind w:left="6480" w:hanging="360"/>
      </w:pPr>
    </w:lvl>
  </w:abstractNum>
  <w:abstractNum w:abstractNumId="2" w15:restartNumberingAfterBreak="0">
    <w:nsid w:val="350B1604"/>
    <w:multiLevelType w:val="hybridMultilevel"/>
    <w:tmpl w:val="B7AE0E58"/>
    <w:lvl w:ilvl="0" w:tplc="A9549658">
      <w:start w:val="1"/>
      <w:numFmt w:val="bullet"/>
      <w:lvlText w:val="•"/>
      <w:lvlJc w:val="left"/>
      <w:pPr>
        <w:ind w:left="540" w:hanging="270"/>
      </w:pPr>
      <w:rPr>
        <w:color w:val="2E75B6"/>
      </w:rPr>
    </w:lvl>
    <w:lvl w:ilvl="1" w:tplc="5986D67A">
      <w:numFmt w:val="decimal"/>
      <w:lvlText w:val=""/>
      <w:lvlJc w:val="left"/>
    </w:lvl>
    <w:lvl w:ilvl="2" w:tplc="A7587210">
      <w:numFmt w:val="decimal"/>
      <w:lvlText w:val=""/>
      <w:lvlJc w:val="left"/>
    </w:lvl>
    <w:lvl w:ilvl="3" w:tplc="45E6E088">
      <w:numFmt w:val="decimal"/>
      <w:lvlText w:val=""/>
      <w:lvlJc w:val="left"/>
    </w:lvl>
    <w:lvl w:ilvl="4" w:tplc="49E8D344">
      <w:numFmt w:val="decimal"/>
      <w:lvlText w:val=""/>
      <w:lvlJc w:val="left"/>
    </w:lvl>
    <w:lvl w:ilvl="5" w:tplc="830A96AC">
      <w:numFmt w:val="decimal"/>
      <w:lvlText w:val=""/>
      <w:lvlJc w:val="left"/>
    </w:lvl>
    <w:lvl w:ilvl="6" w:tplc="DD74466E">
      <w:numFmt w:val="decimal"/>
      <w:lvlText w:val=""/>
      <w:lvlJc w:val="left"/>
    </w:lvl>
    <w:lvl w:ilvl="7" w:tplc="7F4033E6">
      <w:numFmt w:val="decimal"/>
      <w:lvlText w:val=""/>
      <w:lvlJc w:val="left"/>
    </w:lvl>
    <w:lvl w:ilvl="8" w:tplc="601A5FA8">
      <w:numFmt w:val="decimal"/>
      <w:lvlText w:val=""/>
      <w:lvlJc w:val="left"/>
    </w:lvl>
  </w:abstractNum>
  <w:num w:numId="1" w16cid:durableId="22564515">
    <w:abstractNumId w:val="1"/>
    <w:lvlOverride w:ilvl="0">
      <w:startOverride w:val="1"/>
    </w:lvlOverride>
  </w:num>
  <w:num w:numId="2" w16cid:durableId="711342606">
    <w:abstractNumId w:val="0"/>
    <w:lvlOverride w:ilvl="0">
      <w:startOverride w:val="1"/>
    </w:lvlOverride>
  </w:num>
  <w:num w:numId="3" w16cid:durableId="1612586259">
    <w:abstractNumId w:val="2"/>
    <w:lvlOverride w:ilvl="0">
      <w:startOverride w:val="1"/>
    </w:lvlOverride>
  </w:num>
  <w:num w:numId="4" w16cid:durableId="451285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F1D"/>
    <w:rsid w:val="0035362C"/>
    <w:rsid w:val="00BD0F1D"/>
    <w:rsid w:val="00DD2095"/>
    <w:rsid w:val="00DD4B6C"/>
    <w:rsid w:val="00F700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1D1CB"/>
  <w15:docId w15:val="{518E14D1-650F-4D1C-9E25-207F653F7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75B6"/>
      </w:pBdr>
      <w:spacing w:before="360" w:after="160"/>
      <w:outlineLvl w:val="0"/>
    </w:pPr>
    <w:rPr>
      <w:b/>
      <w:bCs/>
      <w:color w:val="1F3A5F"/>
      <w:sz w:val="32"/>
      <w:szCs w:val="32"/>
    </w:rPr>
  </w:style>
  <w:style w:type="paragraph" w:styleId="Ttulo2">
    <w:name w:val="heading 2"/>
    <w:uiPriority w:val="9"/>
    <w:unhideWhenUsed/>
    <w:qFormat/>
    <w:pPr>
      <w:spacing w:before="260" w:after="100"/>
      <w:outlineLvl w:val="1"/>
    </w:pPr>
    <w:rPr>
      <w:b/>
      <w:bCs/>
      <w:color w:val="2E75B6"/>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1686</Words>
  <Characters>9277</Characters>
  <Application>Microsoft Office Word</Application>
  <DocSecurity>0</DocSecurity>
  <Lines>77</Lines>
  <Paragraphs>21</Paragraphs>
  <ScaleCrop>false</ScaleCrop>
  <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Avance Metodológico y Nuevas Implementaciones</dc:title>
  <dc:creator>MARCO OROZA</dc:creator>
  <cp:lastModifiedBy>Marco Oroza</cp:lastModifiedBy>
  <cp:revision>3</cp:revision>
  <cp:lastPrinted>2026-10-16T19:13:00Z</cp:lastPrinted>
  <dcterms:created xsi:type="dcterms:W3CDTF">2026-10-16T19:12:00Z</dcterms:created>
  <dcterms:modified xsi:type="dcterms:W3CDTF">2026-10-16T19:14:00Z</dcterms:modified>
</cp:coreProperties>
</file>