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DEE5B" w14:textId="77777777" w:rsidR="004C45CB" w:rsidRDefault="004C45CB">
      <w:pPr>
        <w:spacing w:before="2400"/>
      </w:pPr>
    </w:p>
    <w:p w14:paraId="47BDC8F0" w14:textId="77777777" w:rsidR="004C45CB" w:rsidRDefault="00000000">
      <w:pPr>
        <w:pStyle w:val="Ttulo"/>
      </w:pPr>
      <w:r>
        <w:t>Documentación Técnica y Conceptual del Proyecto</w:t>
      </w:r>
    </w:p>
    <w:p w14:paraId="56D27BA6" w14:textId="77777777" w:rsidR="004C45CB" w:rsidRDefault="00000000">
      <w:pPr>
        <w:pStyle w:val="Subttulo"/>
        <w:pBdr>
          <w:bottom w:val="single" w:sz="12" w:space="14" w:color="2E5597"/>
        </w:pBdr>
        <w:spacing w:after="600"/>
      </w:pPr>
      <w:r>
        <w:t>Prototipo de Motor de Decisiones Comportamentales para Riesgo de Crédito (Arquitectura Inspirada en PowerCurve Strategy Management)</w:t>
      </w:r>
    </w:p>
    <w:tbl>
      <w:tblPr>
        <w:tblStyle w:val="Table"/>
        <w:tblW w:w="9360" w:type="dxa"/>
        <w:tblBorders>
          <w:top w:val="nil"/>
          <w:left w:val="nil"/>
          <w:bottom w:val="single" w:sz="4" w:space="0" w:color="D9D9D9"/>
          <w:right w:val="nil"/>
          <w:insideH w:val="single" w:sz="4" w:space="0" w:color="D9D9D9"/>
          <w:insideV w:val="nil"/>
        </w:tblBorders>
        <w:tblLayout w:type="fixed"/>
        <w:tblCellMar>
          <w:top w:w="60" w:type="dxa"/>
          <w:left w:w="90" w:type="dxa"/>
          <w:bottom w:w="60" w:type="dxa"/>
          <w:right w:w="90" w:type="dxa"/>
        </w:tblCellMar>
        <w:tblLook w:val="0420" w:firstRow="1" w:lastRow="0" w:firstColumn="0" w:lastColumn="0" w:noHBand="0" w:noVBand="1"/>
      </w:tblPr>
      <w:tblGrid>
        <w:gridCol w:w="2500"/>
        <w:gridCol w:w="6860"/>
      </w:tblGrid>
      <w:tr w:rsidR="004C45CB" w14:paraId="7F0B07D5" w14:textId="77777777" w:rsidTr="004C45CB">
        <w:trPr>
          <w:cnfStyle w:val="100000000000" w:firstRow="1" w:lastRow="0" w:firstColumn="0" w:lastColumn="0" w:oddVBand="0" w:evenVBand="0" w:oddHBand="0" w:evenHBand="0" w:firstRowFirstColumn="0" w:firstRowLastColumn="0" w:lastRowFirstColumn="0" w:lastRowLastColumn="0"/>
          <w:cantSplit/>
        </w:trPr>
        <w:tc>
          <w:tcPr>
            <w:tcW w:w="2500" w:type="dxa"/>
            <w:vAlign w:val="top"/>
          </w:tcPr>
          <w:p w14:paraId="63DE6EB0" w14:textId="77777777" w:rsidR="004C45CB" w:rsidRDefault="00000000">
            <w:pPr>
              <w:pStyle w:val="TablaTexto"/>
              <w:spacing w:before="60" w:after="60"/>
            </w:pPr>
            <w:r>
              <w:rPr>
                <w:b/>
                <w:color w:val="1F3864"/>
                <w:sz w:val="20"/>
              </w:rPr>
              <w:t>Institución Académica</w:t>
            </w:r>
          </w:p>
        </w:tc>
        <w:tc>
          <w:tcPr>
            <w:tcW w:w="6860" w:type="dxa"/>
            <w:vAlign w:val="top"/>
          </w:tcPr>
          <w:p w14:paraId="6749388B" w14:textId="77777777" w:rsidR="004C45CB" w:rsidRDefault="00000000">
            <w:pPr>
              <w:pStyle w:val="TablaTexto"/>
              <w:spacing w:before="60" w:after="60"/>
            </w:pPr>
            <w:r>
              <w:rPr>
                <w:sz w:val="21"/>
              </w:rPr>
              <w:t>Tecnológico de Estudios Superiores de Ecatepec (TESE)</w:t>
            </w:r>
          </w:p>
        </w:tc>
      </w:tr>
      <w:tr w:rsidR="004C45CB" w14:paraId="71358F13" w14:textId="77777777" w:rsidTr="004C45CB">
        <w:trPr>
          <w:cantSplit/>
        </w:trPr>
        <w:tc>
          <w:tcPr>
            <w:tcW w:w="2500" w:type="dxa"/>
          </w:tcPr>
          <w:p w14:paraId="65386053" w14:textId="77777777" w:rsidR="004C45CB" w:rsidRDefault="00000000">
            <w:pPr>
              <w:pStyle w:val="TablaTexto"/>
              <w:spacing w:before="60" w:after="60"/>
            </w:pPr>
            <w:r>
              <w:rPr>
                <w:b/>
                <w:color w:val="1F3864"/>
                <w:sz w:val="20"/>
              </w:rPr>
              <w:t>División Académica</w:t>
            </w:r>
          </w:p>
        </w:tc>
        <w:tc>
          <w:tcPr>
            <w:tcW w:w="6860" w:type="dxa"/>
          </w:tcPr>
          <w:p w14:paraId="3ED44A5C" w14:textId="3324CAA6" w:rsidR="004C45CB" w:rsidRDefault="00000000">
            <w:pPr>
              <w:pStyle w:val="TablaTexto"/>
              <w:spacing w:before="60" w:after="60"/>
            </w:pPr>
            <w:r>
              <w:rPr>
                <w:sz w:val="21"/>
              </w:rPr>
              <w:t xml:space="preserve">División de Ingeniería en </w:t>
            </w:r>
            <w:r w:rsidR="00EF4FAC">
              <w:rPr>
                <w:sz w:val="21"/>
              </w:rPr>
              <w:t>Informática</w:t>
            </w:r>
          </w:p>
        </w:tc>
      </w:tr>
      <w:tr w:rsidR="004C45CB" w14:paraId="069E1858" w14:textId="77777777" w:rsidTr="004C45CB">
        <w:trPr>
          <w:cantSplit/>
        </w:trPr>
        <w:tc>
          <w:tcPr>
            <w:tcW w:w="2500" w:type="dxa"/>
          </w:tcPr>
          <w:p w14:paraId="2EBEBC12" w14:textId="77777777" w:rsidR="004C45CB" w:rsidRDefault="00000000">
            <w:pPr>
              <w:pStyle w:val="TablaTexto"/>
              <w:spacing w:before="60" w:after="60"/>
            </w:pPr>
            <w:r>
              <w:rPr>
                <w:b/>
                <w:color w:val="1F3864"/>
                <w:sz w:val="20"/>
              </w:rPr>
              <w:t>Modalidad</w:t>
            </w:r>
          </w:p>
        </w:tc>
        <w:tc>
          <w:tcPr>
            <w:tcW w:w="6860" w:type="dxa"/>
          </w:tcPr>
          <w:p w14:paraId="6641D53B" w14:textId="77777777" w:rsidR="004C45CB" w:rsidRDefault="00000000">
            <w:pPr>
              <w:pStyle w:val="TablaTexto"/>
              <w:spacing w:before="60" w:after="60"/>
            </w:pPr>
            <w:r>
              <w:rPr>
                <w:sz w:val="21"/>
              </w:rPr>
              <w:t>Residencia Profesional</w:t>
            </w:r>
          </w:p>
        </w:tc>
      </w:tr>
      <w:tr w:rsidR="004C45CB" w14:paraId="7EA31DFF" w14:textId="77777777" w:rsidTr="004C45CB">
        <w:trPr>
          <w:cantSplit/>
        </w:trPr>
        <w:tc>
          <w:tcPr>
            <w:tcW w:w="2500" w:type="dxa"/>
          </w:tcPr>
          <w:p w14:paraId="3565487A" w14:textId="77777777" w:rsidR="004C45CB" w:rsidRDefault="00000000">
            <w:pPr>
              <w:pStyle w:val="TablaTexto"/>
              <w:spacing w:before="60" w:after="60"/>
            </w:pPr>
            <w:r>
              <w:rPr>
                <w:b/>
                <w:color w:val="1F3864"/>
                <w:sz w:val="20"/>
              </w:rPr>
              <w:t>Fase de Desarrollo</w:t>
            </w:r>
          </w:p>
        </w:tc>
        <w:tc>
          <w:tcPr>
            <w:tcW w:w="6860" w:type="dxa"/>
          </w:tcPr>
          <w:p w14:paraId="099A4704" w14:textId="77777777" w:rsidR="004C45CB" w:rsidRDefault="00000000">
            <w:pPr>
              <w:pStyle w:val="TablaTexto"/>
              <w:spacing w:before="60" w:after="60"/>
            </w:pPr>
            <w:r>
              <w:rPr>
                <w:sz w:val="21"/>
              </w:rPr>
              <w:t>Fase 1 — Especificación Conceptual, Arquitectura y Reglas de Negocio</w:t>
            </w:r>
          </w:p>
        </w:tc>
      </w:tr>
      <w:tr w:rsidR="004C45CB" w14:paraId="2660E38C" w14:textId="77777777" w:rsidTr="004C45CB">
        <w:trPr>
          <w:cantSplit/>
        </w:trPr>
        <w:tc>
          <w:tcPr>
            <w:tcW w:w="2500" w:type="dxa"/>
          </w:tcPr>
          <w:p w14:paraId="52C2ACA8" w14:textId="77777777" w:rsidR="004C45CB" w:rsidRDefault="00000000">
            <w:pPr>
              <w:pStyle w:val="TablaTexto"/>
              <w:spacing w:before="60" w:after="60"/>
            </w:pPr>
            <w:r>
              <w:rPr>
                <w:b/>
                <w:color w:val="1F3864"/>
                <w:sz w:val="20"/>
              </w:rPr>
              <w:t>Autor</w:t>
            </w:r>
          </w:p>
        </w:tc>
        <w:tc>
          <w:tcPr>
            <w:tcW w:w="6860" w:type="dxa"/>
          </w:tcPr>
          <w:p w14:paraId="11668DF6" w14:textId="5E58D027" w:rsidR="004C45CB" w:rsidRDefault="00550D9F">
            <w:pPr>
              <w:pStyle w:val="TablaTexto"/>
              <w:spacing w:before="60" w:after="60"/>
            </w:pPr>
            <w:r>
              <w:rPr>
                <w:sz w:val="21"/>
              </w:rPr>
              <w:t>Marco Antonio Oroza Ortega</w:t>
            </w:r>
          </w:p>
        </w:tc>
      </w:tr>
      <w:tr w:rsidR="004C45CB" w14:paraId="1C09625F" w14:textId="77777777" w:rsidTr="004C45CB">
        <w:trPr>
          <w:cantSplit/>
        </w:trPr>
        <w:tc>
          <w:tcPr>
            <w:tcW w:w="2500" w:type="dxa"/>
          </w:tcPr>
          <w:p w14:paraId="6E0628C8" w14:textId="77777777" w:rsidR="004C45CB" w:rsidRDefault="00000000">
            <w:pPr>
              <w:pStyle w:val="TablaTexto"/>
              <w:spacing w:before="60" w:after="60"/>
            </w:pPr>
            <w:r>
              <w:rPr>
                <w:b/>
                <w:color w:val="1F3864"/>
                <w:sz w:val="20"/>
              </w:rPr>
              <w:t>Versión del Documento</w:t>
            </w:r>
          </w:p>
        </w:tc>
        <w:tc>
          <w:tcPr>
            <w:tcW w:w="6860" w:type="dxa"/>
          </w:tcPr>
          <w:p w14:paraId="7D575FF6" w14:textId="77777777" w:rsidR="004C45CB" w:rsidRDefault="00000000">
            <w:pPr>
              <w:pStyle w:val="TablaTexto"/>
              <w:spacing w:before="60" w:after="60"/>
            </w:pPr>
            <w:r>
              <w:rPr>
                <w:sz w:val="21"/>
              </w:rPr>
              <w:t>1.0.0</w:t>
            </w:r>
          </w:p>
        </w:tc>
      </w:tr>
      <w:tr w:rsidR="004C45CB" w14:paraId="63921D35" w14:textId="77777777" w:rsidTr="004C45CB">
        <w:trPr>
          <w:cantSplit/>
        </w:trPr>
        <w:tc>
          <w:tcPr>
            <w:tcW w:w="2500" w:type="dxa"/>
          </w:tcPr>
          <w:p w14:paraId="2F0F8FAF" w14:textId="77777777" w:rsidR="004C45CB" w:rsidRDefault="00000000">
            <w:pPr>
              <w:pStyle w:val="TablaTexto"/>
              <w:spacing w:before="60" w:after="60"/>
            </w:pPr>
            <w:r>
              <w:rPr>
                <w:b/>
                <w:color w:val="1F3864"/>
                <w:sz w:val="20"/>
              </w:rPr>
              <w:t>Fecha</w:t>
            </w:r>
          </w:p>
        </w:tc>
        <w:tc>
          <w:tcPr>
            <w:tcW w:w="6860" w:type="dxa"/>
          </w:tcPr>
          <w:p w14:paraId="0307F6C2" w14:textId="7479E826" w:rsidR="004C45CB" w:rsidRDefault="00550D9F">
            <w:pPr>
              <w:pStyle w:val="TablaTexto"/>
              <w:spacing w:before="60" w:after="60"/>
            </w:pPr>
            <w:r>
              <w:rPr>
                <w:sz w:val="21"/>
              </w:rPr>
              <w:t>17 septiembre 2026</w:t>
            </w:r>
          </w:p>
        </w:tc>
      </w:tr>
    </w:tbl>
    <w:p w14:paraId="777764F3" w14:textId="77777777" w:rsidR="004C45CB" w:rsidRDefault="00000000">
      <w:pPr>
        <w:pStyle w:val="TtuloTDC"/>
        <w:pageBreakBefore/>
      </w:pPr>
      <w:r>
        <w:lastRenderedPageBreak/>
        <w:t>Tabla de contenido</w:t>
      </w:r>
    </w:p>
    <w:p w14:paraId="3A68C84C" w14:textId="77777777" w:rsidR="004C45CB" w:rsidRDefault="00000000">
      <w:pPr>
        <w:pStyle w:val="TDC11"/>
      </w:pPr>
      <w:r>
        <w:fldChar w:fldCharType="begin"/>
      </w:r>
      <w:r>
        <w:instrText xml:space="preserve"> TOC \o "1-2" \h \z \u </w:instrText>
      </w:r>
      <w:r>
        <w:fldChar w:fldCharType="separate"/>
      </w:r>
      <w:hyperlink w:anchor="_Toc910000" w:history="1">
        <w:r w:rsidR="004C45CB">
          <w:t>1. Introducción y Justificación del Proyecto</w:t>
        </w:r>
        <w:r w:rsidR="004C45CB">
          <w:tab/>
          <w:t>3</w:t>
        </w:r>
      </w:hyperlink>
    </w:p>
    <w:p w14:paraId="60D8D590" w14:textId="77777777" w:rsidR="004C45CB" w:rsidRDefault="004C45CB">
      <w:pPr>
        <w:pStyle w:val="TDC21"/>
      </w:pPr>
      <w:hyperlink w:anchor="_Toc910001" w:history="1">
        <w:r>
          <w:t>1.1 Contexto de la Gestión del Riesgo Crediticio en Banca Minorista</w:t>
        </w:r>
        <w:r>
          <w:tab/>
          <w:t>3</w:t>
        </w:r>
      </w:hyperlink>
    </w:p>
    <w:p w14:paraId="7985D9DD" w14:textId="77777777" w:rsidR="004C45CB" w:rsidRDefault="004C45CB">
      <w:pPr>
        <w:pStyle w:val="TDC21"/>
      </w:pPr>
      <w:hyperlink w:anchor="_Toc910002" w:history="1">
        <w:r>
          <w:t>1.2 Planteamiento del Problema: La Brecha entre Herramientas Ofimáticas y Motores Empresariales</w:t>
        </w:r>
        <w:r>
          <w:tab/>
          <w:t>3</w:t>
        </w:r>
      </w:hyperlink>
    </w:p>
    <w:p w14:paraId="1F03EA59" w14:textId="77777777" w:rsidR="004C45CB" w:rsidRDefault="004C45CB">
      <w:pPr>
        <w:pStyle w:val="TDC21"/>
      </w:pPr>
      <w:hyperlink w:anchor="_Toc910003" w:history="1">
        <w:r>
          <w:t>1.3 Justificación y Valor Técnico del Proyecto</w:t>
        </w:r>
        <w:r>
          <w:tab/>
          <w:t>4</w:t>
        </w:r>
      </w:hyperlink>
    </w:p>
    <w:p w14:paraId="744223EF" w14:textId="77777777" w:rsidR="004C45CB" w:rsidRDefault="004C45CB">
      <w:pPr>
        <w:pStyle w:val="TDC11"/>
      </w:pPr>
      <w:hyperlink w:anchor="_Toc910004" w:history="1">
        <w:r>
          <w:t>2. Alcance del Prototipo (“Mini-PowerCurve”)</w:t>
        </w:r>
        <w:r>
          <w:tab/>
          <w:t>4</w:t>
        </w:r>
      </w:hyperlink>
    </w:p>
    <w:p w14:paraId="28696C3B" w14:textId="77777777" w:rsidR="004C45CB" w:rsidRDefault="004C45CB">
      <w:pPr>
        <w:pStyle w:val="TDC21"/>
      </w:pPr>
      <w:hyperlink w:anchor="_Toc910005" w:history="1">
        <w:r>
          <w:t>2.1 Componentes Dentro del Alcance (In-Scope)</w:t>
        </w:r>
        <w:r>
          <w:tab/>
          <w:t>4</w:t>
        </w:r>
      </w:hyperlink>
    </w:p>
    <w:p w14:paraId="6F69D631" w14:textId="77777777" w:rsidR="004C45CB" w:rsidRDefault="004C45CB">
      <w:pPr>
        <w:pStyle w:val="TDC21"/>
      </w:pPr>
      <w:hyperlink w:anchor="_Toc910006" w:history="1">
        <w:r>
          <w:t>2.2 Componentes Fuera del Alcance (Out-of-Scope)</w:t>
        </w:r>
        <w:r>
          <w:tab/>
          <w:t>5</w:t>
        </w:r>
      </w:hyperlink>
    </w:p>
    <w:p w14:paraId="4A4B0FEF" w14:textId="77777777" w:rsidR="004C45CB" w:rsidRDefault="004C45CB">
      <w:pPr>
        <w:pStyle w:val="TDC11"/>
      </w:pPr>
      <w:hyperlink w:anchor="_Toc910007" w:history="1">
        <w:r>
          <w:t>3. Diccionario de Datos (Variables Comportamentales)</w:t>
        </w:r>
        <w:r>
          <w:tab/>
          <w:t>6</w:t>
        </w:r>
      </w:hyperlink>
    </w:p>
    <w:p w14:paraId="3CAF20A9" w14:textId="77777777" w:rsidR="004C45CB" w:rsidRDefault="004C45CB">
      <w:pPr>
        <w:pStyle w:val="TDC11"/>
      </w:pPr>
      <w:hyperlink w:anchor="_Toc910008" w:history="1">
        <w:r>
          <w:t>4. Definición de Reglas de Negocio (El Corazón del Motor)</w:t>
        </w:r>
        <w:r>
          <w:tab/>
          <w:t>7</w:t>
        </w:r>
      </w:hyperlink>
    </w:p>
    <w:p w14:paraId="2584CF42" w14:textId="77777777" w:rsidR="004C45CB" w:rsidRDefault="004C45CB">
      <w:pPr>
        <w:pStyle w:val="TDC21"/>
      </w:pPr>
      <w:hyperlink w:anchor="_Toc910009" w:history="1">
        <w:r>
          <w:t>Regla 1: Política Knock-Out de Riesgo Severo (Cancelación de Línea y Envío a Cobranza)</w:t>
        </w:r>
        <w:r>
          <w:tab/>
          <w:t>8</w:t>
        </w:r>
      </w:hyperlink>
    </w:p>
    <w:p w14:paraId="730FE4F9" w14:textId="77777777" w:rsidR="004C45CB" w:rsidRDefault="004C45CB">
      <w:pPr>
        <w:pStyle w:val="TDC21"/>
      </w:pPr>
      <w:hyperlink w:anchor="_Toc910010" w:history="1">
        <w:r>
          <w:t>Regla 2: Política de Contención Inmediata por Deterioro Acelerado (Bloqueo Temporal)</w:t>
        </w:r>
        <w:r>
          <w:tab/>
          <w:t>8</w:t>
        </w:r>
      </w:hyperlink>
    </w:p>
    <w:p w14:paraId="43D02808" w14:textId="77777777" w:rsidR="004C45CB" w:rsidRDefault="004C45CB">
      <w:pPr>
        <w:pStyle w:val="TDC21"/>
      </w:pPr>
      <w:hyperlink w:anchor="_Toc910011" w:history="1">
        <w:r>
          <w:t>Regla 3: Política de Mitigación Preventiva de Exposición (Reducción de Línea de Crédito)</w:t>
        </w:r>
        <w:r>
          <w:tab/>
          <w:t>8</w:t>
        </w:r>
      </w:hyperlink>
    </w:p>
    <w:p w14:paraId="239C9340" w14:textId="77777777" w:rsidR="004C45CB" w:rsidRDefault="004C45CB">
      <w:pPr>
        <w:pStyle w:val="TDC21"/>
      </w:pPr>
      <w:hyperlink w:anchor="_Toc910012" w:history="1">
        <w:r>
          <w:t>Regla 4: Política de Crecimiento Proactivo de Cartera (Incremento de Línea Autorizado)</w:t>
        </w:r>
        <w:r>
          <w:tab/>
          <w:t>9</w:t>
        </w:r>
      </w:hyperlink>
    </w:p>
    <w:p w14:paraId="48C9B7A5" w14:textId="77777777" w:rsidR="004C45CB" w:rsidRDefault="004C45CB">
      <w:pPr>
        <w:pStyle w:val="TDC21"/>
      </w:pPr>
      <w:hyperlink w:anchor="_Toc910013" w:history="1">
        <w:r>
          <w:t>Política Residual (Comportamiento por Defecto)</w:t>
        </w:r>
        <w:r>
          <w:tab/>
          <w:t>9</w:t>
        </w:r>
      </w:hyperlink>
    </w:p>
    <w:p w14:paraId="7D971406" w14:textId="77777777" w:rsidR="004C45CB" w:rsidRDefault="004C45CB">
      <w:pPr>
        <w:pStyle w:val="TDC11"/>
      </w:pPr>
      <w:hyperlink w:anchor="_Toc910014" w:history="1">
        <w:r>
          <w:t>5. Arquitectura y Propuesta Tecnológica</w:t>
        </w:r>
        <w:r>
          <w:tab/>
          <w:t>9</w:t>
        </w:r>
      </w:hyperlink>
    </w:p>
    <w:p w14:paraId="27E81747" w14:textId="77777777" w:rsidR="004C45CB" w:rsidRDefault="004C45CB">
      <w:pPr>
        <w:pStyle w:val="TDC21"/>
      </w:pPr>
      <w:hyperlink w:anchor="_Toc910015" w:history="1">
        <w:r>
          <w:t>5.1 Pila Tecnológica Seleccionada</w:t>
        </w:r>
        <w:r>
          <w:tab/>
          <w:t>10</w:t>
        </w:r>
      </w:hyperlink>
    </w:p>
    <w:p w14:paraId="0DD1C441" w14:textId="77777777" w:rsidR="004C45CB" w:rsidRDefault="004C45CB">
      <w:pPr>
        <w:pStyle w:val="TDC21"/>
      </w:pPr>
      <w:hyperlink w:anchor="_Toc910016" w:history="1">
        <w:r>
          <w:t>5.2 Estructura Modular del Repositorio (Propuesta)</w:t>
        </w:r>
        <w:r>
          <w:tab/>
          <w:t>11</w:t>
        </w:r>
      </w:hyperlink>
    </w:p>
    <w:p w14:paraId="4362B3B3" w14:textId="77777777" w:rsidR="004C45CB" w:rsidRDefault="004C45CB">
      <w:pPr>
        <w:pStyle w:val="TDC21"/>
      </w:pPr>
      <w:hyperlink w:anchor="_Toc910017" w:history="1">
        <w:r>
          <w:t>5.3 Metodología de Validación y Control de Calidad</w:t>
        </w:r>
        <w:r>
          <w:tab/>
          <w:t>11</w:t>
        </w:r>
      </w:hyperlink>
    </w:p>
    <w:p w14:paraId="3C94BBCF" w14:textId="77777777" w:rsidR="004C45CB" w:rsidRDefault="004C45CB">
      <w:pPr>
        <w:pStyle w:val="TDC11"/>
      </w:pPr>
      <w:hyperlink w:anchor="_Toc910018" w:history="1">
        <w:r>
          <w:t>6. Conclusión de la Fase 1 y Próximos Pasos</w:t>
        </w:r>
        <w:r>
          <w:tab/>
          <w:t>12</w:t>
        </w:r>
      </w:hyperlink>
      <w:r w:rsidR="00000000">
        <w:fldChar w:fldCharType="end"/>
      </w:r>
    </w:p>
    <w:p w14:paraId="30F5CF9D" w14:textId="77777777" w:rsidR="004C45CB" w:rsidRDefault="00000000">
      <w:pPr>
        <w:pStyle w:val="Ttulo1"/>
        <w:pageBreakBefore/>
      </w:pPr>
      <w:bookmarkStart w:id="0" w:name="_Toc910000"/>
      <w:bookmarkStart w:id="1" w:name="X7912dcd40ddf28b6e2e077e29d1e41fe19adc30"/>
      <w:r>
        <w:lastRenderedPageBreak/>
        <w:t>1. Introducción y Justificación del Proyecto</w:t>
      </w:r>
      <w:bookmarkEnd w:id="0"/>
    </w:p>
    <w:p w14:paraId="612A8496" w14:textId="77777777" w:rsidR="004C45CB" w:rsidRDefault="00000000">
      <w:pPr>
        <w:pStyle w:val="Ttulo2"/>
      </w:pPr>
      <w:bookmarkStart w:id="2" w:name="_Toc910001"/>
      <w:bookmarkStart w:id="3" w:name="Xc6f3d0d8f595ed7ae2605fa86d13035848063c0"/>
      <w:r>
        <w:t>1.1 Contexto de la Gestión del Riesgo Crediticio en Banca Minorista</w:t>
      </w:r>
      <w:bookmarkEnd w:id="2"/>
    </w:p>
    <w:p w14:paraId="372D646E" w14:textId="77777777" w:rsidR="004C45CB" w:rsidRDefault="00000000">
      <w:pPr>
        <w:pStyle w:val="FirstParagraph"/>
      </w:pPr>
      <w:r>
        <w:t>En el ciclo de vida de los productos de crédito revolvente (tarjetas de crédito, líneas de sobregiro y créditos personales), la fase de administración de cartera (</w:t>
      </w:r>
      <w:r>
        <w:rPr>
          <w:i/>
          <w:iCs/>
        </w:rPr>
        <w:t>Account Management</w:t>
      </w:r>
      <w:r>
        <w:t xml:space="preserve"> o Mantenimiento de Cuentas) representa el periodo donde se materializa la mayor cantidad de pérdidas crediticias no anticipadas. A diferencia de la evaluación inicial (</w:t>
      </w:r>
      <w:r>
        <w:rPr>
          <w:i/>
          <w:iCs/>
        </w:rPr>
        <w:t>Origination</w:t>
      </w:r>
      <w:r>
        <w:t xml:space="preserve"> o Evaluación de Admisión), donde el análisis se basa en modelos estáticos de prospección y buró crediticio externo, el </w:t>
      </w:r>
      <w:r>
        <w:rPr>
          <w:b/>
          <w:bCs/>
        </w:rPr>
        <w:t>análisis comportamental</w:t>
      </w:r>
      <w:r>
        <w:t xml:space="preserve"> aprovecha la interacción dinámica continua del acreditado con la entidad financiera.</w:t>
      </w:r>
    </w:p>
    <w:p w14:paraId="6372A60D" w14:textId="77777777" w:rsidR="004C45CB" w:rsidRDefault="00000000">
      <w:pPr>
        <w:pStyle w:val="Textoindependiente"/>
      </w:pPr>
      <w:r>
        <w:t xml:space="preserve">La predicción de impago y la mitigación de quebrantos financieros dependen de la detección temprana de anomalías operativas: incrementos abruptos en la utilización de la línea de crédito, degradación paulatina de la puntualidad en los días de pago, dependencia de pagos mínimos mensuales y cambios en el </w:t>
      </w:r>
      <w:r>
        <w:rPr>
          <w:i/>
          <w:iCs/>
        </w:rPr>
        <w:t>score</w:t>
      </w:r>
      <w:r>
        <w:t xml:space="preserve"> comportamental interno.</w:t>
      </w:r>
    </w:p>
    <w:p w14:paraId="4059359C" w14:textId="77777777" w:rsidR="004C45CB" w:rsidRDefault="00000000">
      <w:pPr>
        <w:pStyle w:val="SourceCode"/>
      </w:pPr>
      <w:r>
        <w:rPr>
          <w:rStyle w:val="VerbatimChar"/>
        </w:rPr>
        <w:t xml:space="preserve">                   Ciclo de Decisión en Account Management</w:t>
      </w:r>
      <w:r>
        <w:br/>
      </w:r>
      <w:r>
        <w:rPr>
          <w:rStyle w:val="VerbatimChar"/>
        </w:rPr>
        <w:t xml:space="preserve"> +-------------------+      +----------------------+      +----------------------+</w:t>
      </w:r>
      <w:r>
        <w:br/>
      </w:r>
      <w:r>
        <w:rPr>
          <w:rStyle w:val="VerbatimChar"/>
        </w:rPr>
        <w:t xml:space="preserve"> | Ingesta Mensual   | ---&gt; | Motor Comportamental | ---&gt; | Acciones Tácticas    |</w:t>
      </w:r>
      <w:r>
        <w:br/>
      </w:r>
      <w:r>
        <w:rPr>
          <w:rStyle w:val="VerbatimChar"/>
        </w:rPr>
        <w:t xml:space="preserve"> | Transaccional/Mora|      | (Políticas + Reglas) |      | Línea, Bloqueo, Cobro|</w:t>
      </w:r>
      <w:r>
        <w:br/>
      </w:r>
      <w:r>
        <w:rPr>
          <w:rStyle w:val="VerbatimChar"/>
        </w:rPr>
        <w:t xml:space="preserve"> +-------------------+      +----------------------+      +----------------------+</w:t>
      </w:r>
    </w:p>
    <w:p w14:paraId="396A894C" w14:textId="77777777" w:rsidR="004C45CB" w:rsidRDefault="00000000">
      <w:pPr>
        <w:pStyle w:val="Ttulo2"/>
      </w:pPr>
      <w:bookmarkStart w:id="4" w:name="_Toc910002"/>
      <w:bookmarkStart w:id="5" w:name="X2c94c850f8ce6787b5f3f43769776d58c387d76"/>
      <w:bookmarkEnd w:id="3"/>
      <w:r>
        <w:t>1.2 Planteamiento del Problema: La Brecha entre Herramientas Ofimáticas y Motores Empresariales</w:t>
      </w:r>
      <w:bookmarkEnd w:id="4"/>
    </w:p>
    <w:p w14:paraId="47220A77" w14:textId="77777777" w:rsidR="004C45CB" w:rsidRDefault="00000000">
      <w:pPr>
        <w:pStyle w:val="FirstParagraph"/>
        <w:keepNext/>
      </w:pPr>
      <w:r>
        <w:t>Históricamente, diversas áreas de soporte y análisis de riesgo en instituciones de crédito e intermediarios financieros han operado estrategias crediticias mediante hojas de cálculo (Microsoft Excel) y procesos semi-manuales. Este enfoque presenta limitaciones críticas:</w:t>
      </w:r>
    </w:p>
    <w:p w14:paraId="7FF8599C" w14:textId="77777777" w:rsidR="004C45CB" w:rsidRDefault="00000000">
      <w:pPr>
        <w:pStyle w:val="Compact"/>
        <w:numPr>
          <w:ilvl w:val="0"/>
          <w:numId w:val="2"/>
        </w:numPr>
      </w:pPr>
      <w:r>
        <w:rPr>
          <w:b/>
          <w:bCs/>
        </w:rPr>
        <w:t>Falta de Trazabilidad y Gobernanza:</w:t>
      </w:r>
      <w:r>
        <w:t xml:space="preserve"> Las hojas de cálculo no garantizan un registro inmutable de auditoría (</w:t>
      </w:r>
      <w:r>
        <w:rPr>
          <w:i/>
          <w:iCs/>
        </w:rPr>
        <w:t>audit trail</w:t>
      </w:r>
      <w:r>
        <w:t>) sobre por qué se tomó una decisión específica (e.g., qué regla gatilló el recorte de una línea de crédito), vulnerando estándares regulatorios establecidos por la Comisión Nacional Bancaria y de Valores (CNBV) y los lineamientos de Basilea III/IV.</w:t>
      </w:r>
    </w:p>
    <w:p w14:paraId="7592A277" w14:textId="77777777" w:rsidR="004C45CB" w:rsidRDefault="00000000">
      <w:pPr>
        <w:pStyle w:val="Compact"/>
        <w:numPr>
          <w:ilvl w:val="0"/>
          <w:numId w:val="2"/>
        </w:numPr>
      </w:pPr>
      <w:r>
        <w:rPr>
          <w:b/>
          <w:bCs/>
        </w:rPr>
        <w:t>Fragilidad Operativa y Falta de Determinismo:</w:t>
      </w:r>
      <w:r>
        <w:t xml:space="preserve"> El manejo manual de macros y fórmulas expone al sistema a inconsistencias de captura, errores de cálculo, pérdida de versiones y cuellos de botella humanos.</w:t>
      </w:r>
    </w:p>
    <w:p w14:paraId="156FA58C" w14:textId="77777777" w:rsidR="004C45CB" w:rsidRDefault="00000000">
      <w:pPr>
        <w:pStyle w:val="Compact"/>
        <w:numPr>
          <w:ilvl w:val="0"/>
          <w:numId w:val="2"/>
        </w:numPr>
      </w:pPr>
      <w:r>
        <w:rPr>
          <w:b/>
          <w:bCs/>
        </w:rPr>
        <w:t>Incapacidad de Escalar a Volúmenes Masivos:</w:t>
      </w:r>
      <w:r>
        <w:t xml:space="preserve"> Las carteras minoristas procesan millones de registros al cierre mensual de facturación (</w:t>
      </w:r>
      <w:r>
        <w:rPr>
          <w:i/>
          <w:iCs/>
        </w:rPr>
        <w:t>corte contable</w:t>
      </w:r>
      <w:r>
        <w:t>). Una solución basada en hojas de cálculo colapsa ante la necesidad de procesar lotes concurrentes en ventanas de tiempo reducidas (</w:t>
      </w:r>
      <w:r>
        <w:rPr>
          <w:i/>
          <w:iCs/>
        </w:rPr>
        <w:t>batch processing windows</w:t>
      </w:r>
      <w:r>
        <w:t>).</w:t>
      </w:r>
    </w:p>
    <w:p w14:paraId="772E9824" w14:textId="77777777" w:rsidR="004C45CB" w:rsidRDefault="00000000">
      <w:pPr>
        <w:pStyle w:val="Compact"/>
        <w:numPr>
          <w:ilvl w:val="0"/>
          <w:numId w:val="2"/>
        </w:numPr>
      </w:pPr>
      <w:r>
        <w:rPr>
          <w:b/>
          <w:bCs/>
        </w:rPr>
        <w:t>Acoplamiento Inadecuado en el Core Bancario:</w:t>
      </w:r>
      <w:r>
        <w:t xml:space="preserve"> En el extremo opuesto, codificar reglas de riesgo directamente en los sistemas centrales transaccionales (</w:t>
      </w:r>
      <w:r>
        <w:rPr>
          <w:i/>
          <w:iCs/>
        </w:rPr>
        <w:t>Core Banking Systems</w:t>
      </w:r>
      <w:r>
        <w:t>) resulta prohibitivo, pues cualquier cambio de política requiere ciclos extensos de desarrollo, pruebas y despliegues monoliticos.</w:t>
      </w:r>
    </w:p>
    <w:p w14:paraId="518F8454" w14:textId="77777777" w:rsidR="004C45CB" w:rsidRDefault="00000000">
      <w:pPr>
        <w:pStyle w:val="Ttulo2"/>
      </w:pPr>
      <w:bookmarkStart w:id="6" w:name="_Toc910003"/>
      <w:bookmarkStart w:id="7" w:name="X9a43dff40eea5db4618541058471dc81d6cb202"/>
      <w:bookmarkEnd w:id="5"/>
      <w:r>
        <w:lastRenderedPageBreak/>
        <w:t>1.3 Justificación y Valor Técnico del Proyecto</w:t>
      </w:r>
      <w:bookmarkEnd w:id="6"/>
    </w:p>
    <w:p w14:paraId="09D4700C" w14:textId="77777777" w:rsidR="004C45CB" w:rsidRDefault="00000000">
      <w:pPr>
        <w:pStyle w:val="FirstParagraph"/>
      </w:pPr>
      <w:r>
        <w:t xml:space="preserve">Para solventar esta problemática, el mercado bancario implementa motores de decisiones especializados, siendo </w:t>
      </w:r>
      <w:r>
        <w:rPr>
          <w:b/>
          <w:bCs/>
        </w:rPr>
        <w:t>Experian PowerCurve Strategy Management</w:t>
      </w:r>
      <w:r>
        <w:t xml:space="preserve"> uno de los referentes internacionales más robustos. Estos sistemas desacoplan la </w:t>
      </w:r>
      <w:r>
        <w:rPr>
          <w:b/>
          <w:bCs/>
        </w:rPr>
        <w:t>lógica de negocio y política de crédito</w:t>
      </w:r>
      <w:r>
        <w:t xml:space="preserve"> del software base, permitiendo parametrizar, simular y ejecutar árboles y matrices de decisión con alto rendimiento y total reproducibilidad.</w:t>
      </w:r>
    </w:p>
    <w:p w14:paraId="35DB348E" w14:textId="77777777" w:rsidR="004C45CB" w:rsidRDefault="00000000">
      <w:pPr>
        <w:pStyle w:val="Textoindependiente"/>
        <w:keepNext/>
      </w:pPr>
      <w:r>
        <w:t xml:space="preserve">El presente proyecto de residencia profesional tiene por objeto el diseño e implementación de un </w:t>
      </w:r>
      <w:r>
        <w:rPr>
          <w:b/>
          <w:bCs/>
        </w:rPr>
        <w:t>Prototipo de Motor de Decisiones Comportamentales</w:t>
      </w:r>
      <w:r>
        <w:t>, el cual emulará las funciones primarias de diseño estratégico de PowerCurve:</w:t>
      </w:r>
    </w:p>
    <w:p w14:paraId="357C0E44" w14:textId="77777777" w:rsidR="004C45CB" w:rsidRDefault="00000000">
      <w:pPr>
        <w:pStyle w:val="Compact"/>
        <w:numPr>
          <w:ilvl w:val="0"/>
          <w:numId w:val="3"/>
        </w:numPr>
      </w:pPr>
      <w:r>
        <w:t>Estandarización de la ingesta de datos de cartera.</w:t>
      </w:r>
    </w:p>
    <w:p w14:paraId="733C2902" w14:textId="77777777" w:rsidR="004C45CB" w:rsidRDefault="00000000">
      <w:pPr>
        <w:pStyle w:val="Compact"/>
        <w:numPr>
          <w:ilvl w:val="0"/>
          <w:numId w:val="3"/>
        </w:numPr>
      </w:pPr>
      <w:r>
        <w:t>Ejecución determinística de matrices de riesgo y reglas jerárquicas de corte (</w:t>
      </w:r>
      <w:r>
        <w:rPr>
          <w:i/>
          <w:iCs/>
        </w:rPr>
        <w:t>knock-out</w:t>
      </w:r>
      <w:r>
        <w:t xml:space="preserve"> y </w:t>
      </w:r>
      <w:r>
        <w:rPr>
          <w:i/>
          <w:iCs/>
        </w:rPr>
        <w:t>treatment allocation</w:t>
      </w:r>
      <w:r>
        <w:t>).</w:t>
      </w:r>
    </w:p>
    <w:p w14:paraId="65FE178D" w14:textId="77777777" w:rsidR="004C45CB" w:rsidRDefault="00000000">
      <w:pPr>
        <w:pStyle w:val="Compact"/>
        <w:numPr>
          <w:ilvl w:val="0"/>
          <w:numId w:val="3"/>
        </w:numPr>
      </w:pPr>
      <w:r>
        <w:t>Asignación formal de códigos de razón (</w:t>
      </w:r>
      <w:r>
        <w:rPr>
          <w:i/>
          <w:iCs/>
        </w:rPr>
        <w:t>Reason Codes</w:t>
      </w:r>
      <w:r>
        <w:t>) para explicabilidad algorítmica.</w:t>
      </w:r>
    </w:p>
    <w:p w14:paraId="5FDA76BB" w14:textId="77777777" w:rsidR="004C45CB" w:rsidRDefault="00000000">
      <w:pPr>
        <w:pStyle w:val="Compact"/>
        <w:numPr>
          <w:ilvl w:val="0"/>
          <w:numId w:val="3"/>
        </w:numPr>
      </w:pPr>
      <w:r>
        <w:t>Generación de un reporte gerencial y analítico accesible para la validación de comités de riesgo.</w:t>
      </w:r>
    </w:p>
    <w:p w14:paraId="5B09BD19" w14:textId="77777777" w:rsidR="004C45CB" w:rsidRDefault="00000000">
      <w:pPr>
        <w:pStyle w:val="Ttulo1"/>
      </w:pPr>
      <w:bookmarkStart w:id="8" w:name="_Toc910004"/>
      <w:bookmarkStart w:id="9" w:name="alcance-del-prototipo-mini-powercurve"/>
      <w:bookmarkEnd w:id="1"/>
      <w:bookmarkEnd w:id="7"/>
      <w:r>
        <w:t>2. Alcance del Prototipo (“Mini-PowerCurve”)</w:t>
      </w:r>
      <w:bookmarkEnd w:id="8"/>
    </w:p>
    <w:p w14:paraId="1FA847C5" w14:textId="77777777" w:rsidR="004C45CB" w:rsidRDefault="00000000">
      <w:pPr>
        <w:pStyle w:val="FirstParagraph"/>
      </w:pPr>
      <w:r>
        <w:t>Para delimitar con precisión la viabilidad técnica y académica del proyecto dentro del periodo de residencias profesionales, se establece formalmente la frontera entre los elementos que formarán parte del desarrollo (</w:t>
      </w:r>
      <w:r>
        <w:rPr>
          <w:i/>
          <w:iCs/>
        </w:rPr>
        <w:t>In-Scope</w:t>
      </w:r>
      <w:r>
        <w:t>) y las capacidades corporativas de infraestructura que quedarán fuera (</w:t>
      </w:r>
      <w:r>
        <w:rPr>
          <w:i/>
          <w:iCs/>
        </w:rPr>
        <w:t>Out-of-Scope</w:t>
      </w:r>
      <w:r>
        <w:t>).</w:t>
      </w:r>
    </w:p>
    <w:p w14:paraId="15D60252" w14:textId="77777777" w:rsidR="004C45CB" w:rsidRDefault="00000000">
      <w:pPr>
        <w:pStyle w:val="SourceCode"/>
      </w:pPr>
      <w:r>
        <w:rPr>
          <w:rStyle w:val="VerbatimChar"/>
        </w:rPr>
        <w:t>+-----------------------------------------------------------------------------+</w:t>
      </w:r>
      <w:r>
        <w:br/>
      </w:r>
      <w:r>
        <w:rPr>
          <w:rStyle w:val="VerbatimChar"/>
        </w:rPr>
        <w:t>|                            FRONTERA DEL PROYECTO                            |</w:t>
      </w:r>
      <w:r>
        <w:br/>
      </w:r>
      <w:r>
        <w:rPr>
          <w:rStyle w:val="VerbatimChar"/>
        </w:rPr>
        <w:t>|                                                                             |</w:t>
      </w:r>
      <w:r>
        <w:br/>
      </w:r>
      <w:r>
        <w:rPr>
          <w:rStyle w:val="VerbatimChar"/>
        </w:rPr>
        <w:t>|   [ DENTRO DEL ALCANCE (IN-SCOPE) ]       [ FUERA DEL ALCANCE (OUT-SCOPE) ] |</w:t>
      </w:r>
      <w:r>
        <w:br/>
      </w:r>
      <w:r>
        <w:rPr>
          <w:rStyle w:val="VerbatimChar"/>
        </w:rPr>
        <w:t>|                                                                             |</w:t>
      </w:r>
      <w:r>
        <w:br/>
      </w:r>
      <w:r>
        <w:rPr>
          <w:rStyle w:val="VerbatimChar"/>
        </w:rPr>
        <w:t>|   * Ingesta por lotes (Batch CSV/JSON)    * Conexión síncrona Core IBM z/OS |</w:t>
      </w:r>
      <w:r>
        <w:br/>
      </w:r>
      <w:r>
        <w:rPr>
          <w:rStyle w:val="VerbatimChar"/>
        </w:rPr>
        <w:t>|   * Validación de Calidad de Datos        * Streaming transaccional Kafka   |</w:t>
      </w:r>
      <w:r>
        <w:br/>
      </w:r>
      <w:r>
        <w:rPr>
          <w:rStyle w:val="VerbatimChar"/>
        </w:rPr>
        <w:t>|   * Cálculo de deltas comportamentales    * Consultas en vivo Buró Crédito  |</w:t>
      </w:r>
      <w:r>
        <w:br/>
      </w:r>
      <w:r>
        <w:rPr>
          <w:rStyle w:val="VerbatimChar"/>
        </w:rPr>
        <w:t>|   * Motor de Reglas en Cascada            * Módulos criptográficos HSM      |</w:t>
      </w:r>
      <w:r>
        <w:br/>
      </w:r>
      <w:r>
        <w:rPr>
          <w:rStyle w:val="VerbatimChar"/>
        </w:rPr>
        <w:t>|   * Reason Codes auditables               * Reentrenamiento ML distribuido  |</w:t>
      </w:r>
      <w:r>
        <w:br/>
      </w:r>
      <w:r>
        <w:rPr>
          <w:rStyle w:val="VerbatimChar"/>
        </w:rPr>
        <w:t>|   * Dashboard analítico en Streamlit      * Autenticación LDAP/AD bancario  |</w:t>
      </w:r>
      <w:r>
        <w:br/>
      </w:r>
      <w:r>
        <w:rPr>
          <w:rStyle w:val="VerbatimChar"/>
        </w:rPr>
        <w:t>+-----------------------------------------------------------------------------+</w:t>
      </w:r>
    </w:p>
    <w:p w14:paraId="4E23CEA4" w14:textId="77777777" w:rsidR="004C45CB" w:rsidRDefault="00000000">
      <w:pPr>
        <w:pStyle w:val="Ttulo2"/>
      </w:pPr>
      <w:bookmarkStart w:id="10" w:name="_Toc910005"/>
      <w:bookmarkStart w:id="11" w:name="componentes-dentro-del-alcance-in-scope"/>
      <w:r>
        <w:t>2.1 Componentes Dentro del Alcance (</w:t>
      </w:r>
      <w:r>
        <w:rPr>
          <w:i/>
          <w:iCs/>
        </w:rPr>
        <w:t>In-Scope</w:t>
      </w:r>
      <w:r>
        <w:t>)</w:t>
      </w:r>
      <w:bookmarkEnd w:id="10"/>
    </w:p>
    <w:p w14:paraId="4EBB5506" w14:textId="77777777" w:rsidR="004C45CB" w:rsidRDefault="00000000">
      <w:pPr>
        <w:pStyle w:val="Compact"/>
        <w:numPr>
          <w:ilvl w:val="0"/>
          <w:numId w:val="4"/>
        </w:numPr>
      </w:pPr>
      <w:r>
        <w:rPr>
          <w:b/>
          <w:bCs/>
        </w:rPr>
        <w:t>Módulo de Ingesta y Validación de Calidad de Datos (</w:t>
      </w:r>
      <w:r>
        <w:rPr>
          <w:b/>
          <w:bCs/>
          <w:i/>
          <w:iCs/>
        </w:rPr>
        <w:t>Data Contract &amp; Quality</w:t>
      </w:r>
      <w:r>
        <w:rPr>
          <w:b/>
          <w:bCs/>
        </w:rPr>
        <w:t>):</w:t>
      </w:r>
    </w:p>
    <w:p w14:paraId="03B9B328" w14:textId="77777777" w:rsidR="004C45CB" w:rsidRDefault="00000000">
      <w:pPr>
        <w:pStyle w:val="Compact"/>
        <w:numPr>
          <w:ilvl w:val="1"/>
          <w:numId w:val="5"/>
        </w:numPr>
      </w:pPr>
      <w:r>
        <w:t>Lectura de archivos estructurados (CSV, JSON, DataFrames) simulando la foto de cierre mensual de la cartera crediticia.</w:t>
      </w:r>
    </w:p>
    <w:p w14:paraId="061AAF32" w14:textId="77777777" w:rsidR="004C45CB" w:rsidRDefault="00000000">
      <w:pPr>
        <w:pStyle w:val="Compact"/>
        <w:numPr>
          <w:ilvl w:val="1"/>
          <w:numId w:val="5"/>
        </w:numPr>
      </w:pPr>
      <w:r>
        <w:t>Validación sintáctica y semántica de tipos de datos, valores atípicos y nulos.</w:t>
      </w:r>
    </w:p>
    <w:p w14:paraId="48BFC457" w14:textId="77777777" w:rsidR="004C45CB" w:rsidRDefault="00000000">
      <w:pPr>
        <w:pStyle w:val="Compact"/>
        <w:numPr>
          <w:ilvl w:val="0"/>
          <w:numId w:val="4"/>
        </w:numPr>
      </w:pPr>
      <w:r>
        <w:rPr>
          <w:b/>
          <w:bCs/>
        </w:rPr>
        <w:t>Capa de Ingeniería de Variables Comportamentales (</w:t>
      </w:r>
      <w:r>
        <w:rPr>
          <w:b/>
          <w:bCs/>
          <w:i/>
          <w:iCs/>
        </w:rPr>
        <w:t>Feature Engineering Layer</w:t>
      </w:r>
      <w:r>
        <w:rPr>
          <w:b/>
          <w:bCs/>
        </w:rPr>
        <w:t>):</w:t>
      </w:r>
    </w:p>
    <w:p w14:paraId="7FDC19C4" w14:textId="77777777" w:rsidR="004C45CB" w:rsidRDefault="00000000">
      <w:pPr>
        <w:pStyle w:val="Compact"/>
        <w:numPr>
          <w:ilvl w:val="1"/>
          <w:numId w:val="6"/>
        </w:numPr>
      </w:pPr>
      <w:r>
        <w:t>Transformación de variables crudas en indicadores de estrés crediticio (e.g., cálculo del porcentaje de utilización de la línea, pendiente de deterioro de días de atraso en los últimos tres meses, indicador de persistencia de pagos mínimos).</w:t>
      </w:r>
    </w:p>
    <w:p w14:paraId="39D55E14" w14:textId="77777777" w:rsidR="004C45CB" w:rsidRDefault="00000000">
      <w:pPr>
        <w:pStyle w:val="Compact"/>
        <w:numPr>
          <w:ilvl w:val="0"/>
          <w:numId w:val="4"/>
        </w:numPr>
      </w:pPr>
      <w:r>
        <w:rPr>
          <w:b/>
          <w:bCs/>
        </w:rPr>
        <w:t>Núcleo del Motor de Reglas (</w:t>
      </w:r>
      <w:r>
        <w:rPr>
          <w:b/>
          <w:bCs/>
          <w:i/>
          <w:iCs/>
        </w:rPr>
        <w:t>Decision Engine Core</w:t>
      </w:r>
      <w:r>
        <w:rPr>
          <w:b/>
          <w:bCs/>
        </w:rPr>
        <w:t>):</w:t>
      </w:r>
    </w:p>
    <w:p w14:paraId="4986F211" w14:textId="77777777" w:rsidR="004C45CB" w:rsidRDefault="00000000">
      <w:pPr>
        <w:pStyle w:val="Compact"/>
        <w:numPr>
          <w:ilvl w:val="1"/>
          <w:numId w:val="7"/>
        </w:numPr>
      </w:pPr>
      <w:r>
        <w:t>Implementación de un motor modular y parametrizable que evalúe condiciones lógicas compuestas en orden jerárquico de prelación (</w:t>
      </w:r>
      <w:r>
        <w:rPr>
          <w:i/>
          <w:iCs/>
        </w:rPr>
        <w:t>Precedence Tree</w:t>
      </w:r>
      <w:r>
        <w:t>).</w:t>
      </w:r>
    </w:p>
    <w:p w14:paraId="590156FB" w14:textId="77777777" w:rsidR="004C45CB" w:rsidRDefault="00000000">
      <w:pPr>
        <w:pStyle w:val="Compact"/>
        <w:numPr>
          <w:ilvl w:val="1"/>
          <w:numId w:val="7"/>
        </w:numPr>
      </w:pPr>
      <w:r>
        <w:lastRenderedPageBreak/>
        <w:t>Clasificación de clientes en categorías de decisión estandarizadas:</w:t>
      </w:r>
    </w:p>
    <w:p w14:paraId="2372CF1A" w14:textId="77777777" w:rsidR="004C45CB" w:rsidRDefault="00000000">
      <w:pPr>
        <w:pStyle w:val="Compact"/>
        <w:numPr>
          <w:ilvl w:val="2"/>
          <w:numId w:val="8"/>
        </w:numPr>
      </w:pPr>
      <w:r>
        <w:rPr>
          <w:rStyle w:val="VerbatimChar"/>
          <w:color w:val="7A2E0E"/>
          <w:sz w:val="20"/>
        </w:rPr>
        <w:t>APROBAR_INCREMENTO_LINEA</w:t>
      </w:r>
      <w:r>
        <w:t xml:space="preserve"> (Estrategia de crecimiento / Cross-sell).</w:t>
      </w:r>
    </w:p>
    <w:p w14:paraId="067FCBDA" w14:textId="77777777" w:rsidR="004C45CB" w:rsidRDefault="00000000">
      <w:pPr>
        <w:pStyle w:val="Compact"/>
        <w:numPr>
          <w:ilvl w:val="2"/>
          <w:numId w:val="8"/>
        </w:numPr>
      </w:pPr>
      <w:r>
        <w:rPr>
          <w:rStyle w:val="VerbatimChar"/>
          <w:color w:val="7A2E0E"/>
          <w:sz w:val="20"/>
        </w:rPr>
        <w:t>MANTENER_CONDICIONES</w:t>
      </w:r>
      <w:r>
        <w:t xml:space="preserve"> (Comportamiento estable estándar).</w:t>
      </w:r>
    </w:p>
    <w:p w14:paraId="6FBC0E88" w14:textId="77777777" w:rsidR="004C45CB" w:rsidRDefault="00000000">
      <w:pPr>
        <w:pStyle w:val="Compact"/>
        <w:numPr>
          <w:ilvl w:val="2"/>
          <w:numId w:val="8"/>
        </w:numPr>
      </w:pPr>
      <w:r>
        <w:rPr>
          <w:rStyle w:val="VerbatimChar"/>
          <w:color w:val="7A2E0E"/>
          <w:sz w:val="20"/>
        </w:rPr>
        <w:t>REDUCIR_LINEA_PREVENTIVA</w:t>
      </w:r>
      <w:r>
        <w:t xml:space="preserve"> (Mitigación de exposición ante señales tempranas).</w:t>
      </w:r>
    </w:p>
    <w:p w14:paraId="1C867B48" w14:textId="77777777" w:rsidR="004C45CB" w:rsidRDefault="00000000">
      <w:pPr>
        <w:pStyle w:val="Compact"/>
        <w:numPr>
          <w:ilvl w:val="2"/>
          <w:numId w:val="8"/>
        </w:numPr>
      </w:pPr>
      <w:r>
        <w:rPr>
          <w:rStyle w:val="VerbatimChar"/>
          <w:color w:val="7A2E0E"/>
          <w:sz w:val="20"/>
        </w:rPr>
        <w:t>BLOQUEO_TEMPORAL_LINEA</w:t>
      </w:r>
      <w:r>
        <w:t xml:space="preserve"> (Contención ante mora activa o sobreapalancamiento).</w:t>
      </w:r>
    </w:p>
    <w:p w14:paraId="6E344701" w14:textId="77777777" w:rsidR="004C45CB" w:rsidRDefault="00000000">
      <w:pPr>
        <w:pStyle w:val="Compact"/>
        <w:numPr>
          <w:ilvl w:val="2"/>
          <w:numId w:val="8"/>
        </w:numPr>
      </w:pPr>
      <w:r>
        <w:rPr>
          <w:rStyle w:val="VerbatimChar"/>
          <w:color w:val="7A2E0E"/>
          <w:sz w:val="20"/>
        </w:rPr>
        <w:t>CANCELACION_Y_COBRANZA</w:t>
      </w:r>
      <w:r>
        <w:t xml:space="preserve"> (Acción de castigo o recuperación inmediata).</w:t>
      </w:r>
    </w:p>
    <w:p w14:paraId="6694E700" w14:textId="77777777" w:rsidR="004C45CB" w:rsidRDefault="00000000">
      <w:pPr>
        <w:pStyle w:val="Compact"/>
        <w:numPr>
          <w:ilvl w:val="0"/>
          <w:numId w:val="4"/>
        </w:numPr>
      </w:pPr>
      <w:r>
        <w:rPr>
          <w:b/>
          <w:bCs/>
        </w:rPr>
        <w:t>Sistema de Auditoría y Códigos de Razón (</w:t>
      </w:r>
      <w:r>
        <w:rPr>
          <w:b/>
          <w:bCs/>
          <w:i/>
          <w:iCs/>
        </w:rPr>
        <w:t>Audit Trail &amp; Reason Codes</w:t>
      </w:r>
      <w:r>
        <w:rPr>
          <w:b/>
          <w:bCs/>
        </w:rPr>
        <w:t>):</w:t>
      </w:r>
    </w:p>
    <w:p w14:paraId="796ECBBB" w14:textId="77777777" w:rsidR="004C45CB" w:rsidRDefault="00000000">
      <w:pPr>
        <w:pStyle w:val="Compact"/>
        <w:numPr>
          <w:ilvl w:val="1"/>
          <w:numId w:val="9"/>
        </w:numPr>
      </w:pPr>
      <w:r>
        <w:t xml:space="preserve">Cada decisión emitida asociará de manera determinística un código identificador unívoco (e.g., </w:t>
      </w:r>
      <w:r>
        <w:rPr>
          <w:rStyle w:val="VerbatimChar"/>
          <w:color w:val="7A2E0E"/>
          <w:sz w:val="20"/>
        </w:rPr>
        <w:t>RC_MORA_CONSECUTIVA_CRECIENTE</w:t>
      </w:r>
      <w:r>
        <w:t xml:space="preserve">, </w:t>
      </w:r>
      <w:r>
        <w:rPr>
          <w:rStyle w:val="VerbatimChar"/>
          <w:color w:val="7A2E0E"/>
          <w:sz w:val="20"/>
        </w:rPr>
        <w:t>RC_UTILIZACION_CRITICA_SCORE_BAJO</w:t>
      </w:r>
      <w:r>
        <w:t>), garantizando el cumplimiento del principio de explicabilidad.</w:t>
      </w:r>
    </w:p>
    <w:p w14:paraId="2A8AB1E2" w14:textId="77777777" w:rsidR="004C45CB" w:rsidRDefault="00000000">
      <w:pPr>
        <w:pStyle w:val="Compact"/>
        <w:numPr>
          <w:ilvl w:val="0"/>
          <w:numId w:val="4"/>
        </w:numPr>
      </w:pPr>
      <w:r>
        <w:rPr>
          <w:b/>
          <w:bCs/>
        </w:rPr>
        <w:t>Interfaz de Simulación y Análisis Táctico (</w:t>
      </w:r>
      <w:r>
        <w:rPr>
          <w:b/>
          <w:bCs/>
          <w:i/>
          <w:iCs/>
        </w:rPr>
        <w:t>Tactical Dashboard en Streamlit</w:t>
      </w:r>
      <w:r>
        <w:rPr>
          <w:b/>
          <w:bCs/>
        </w:rPr>
        <w:t>):</w:t>
      </w:r>
    </w:p>
    <w:p w14:paraId="25D6E2C6" w14:textId="77777777" w:rsidR="004C45CB" w:rsidRDefault="00000000">
      <w:pPr>
        <w:pStyle w:val="Compact"/>
        <w:numPr>
          <w:ilvl w:val="1"/>
          <w:numId w:val="10"/>
        </w:numPr>
      </w:pPr>
      <w:r>
        <w:t>Panel de control interactivo que permita a los analistas de riesgo subir un archivo de cartera, ajustar los umbrales de las políticas (</w:t>
      </w:r>
      <w:r>
        <w:rPr>
          <w:i/>
          <w:iCs/>
        </w:rPr>
        <w:t>cut-offs</w:t>
      </w:r>
      <w:r>
        <w:t>) y visualizar la matriz de confusión, distribuciones poblacionales y el impacto financiero simulado.</w:t>
      </w:r>
    </w:p>
    <w:p w14:paraId="3FC69E32" w14:textId="77777777" w:rsidR="004C45CB" w:rsidRDefault="00000000">
      <w:pPr>
        <w:pStyle w:val="Ttulo2"/>
      </w:pPr>
      <w:bookmarkStart w:id="12" w:name="_Toc910006"/>
      <w:bookmarkStart w:id="13" w:name="X3f443a4b636a24da83013443d445b78e59bd06a"/>
      <w:bookmarkEnd w:id="11"/>
      <w:r>
        <w:t>2.2 Componentes Fuera del Alcance (</w:t>
      </w:r>
      <w:r>
        <w:rPr>
          <w:i/>
          <w:iCs/>
        </w:rPr>
        <w:t>Out-of-Scope</w:t>
      </w:r>
      <w:r>
        <w:t>)</w:t>
      </w:r>
      <w:bookmarkEnd w:id="12"/>
    </w:p>
    <w:p w14:paraId="41AFBCF4" w14:textId="77777777" w:rsidR="004C45CB" w:rsidRDefault="00000000">
      <w:pPr>
        <w:pStyle w:val="Compact"/>
        <w:numPr>
          <w:ilvl w:val="0"/>
          <w:numId w:val="11"/>
        </w:numPr>
      </w:pPr>
      <w:r>
        <w:rPr>
          <w:b/>
          <w:bCs/>
        </w:rPr>
        <w:t>Conexión Directa a Infraestructuras Core Transaccionales:</w:t>
      </w:r>
    </w:p>
    <w:p w14:paraId="0DF0BFD9" w14:textId="77777777" w:rsidR="004C45CB" w:rsidRDefault="00000000">
      <w:pPr>
        <w:pStyle w:val="Compact"/>
        <w:numPr>
          <w:ilvl w:val="1"/>
          <w:numId w:val="12"/>
        </w:numPr>
      </w:pPr>
      <w:r>
        <w:t>No se implementarán enlaces propietarios mediante colas IBM MQ o protocolos bancarios como ISO 8583 con el mainframe central de la institución.</w:t>
      </w:r>
    </w:p>
    <w:p w14:paraId="67FCAE30" w14:textId="77777777" w:rsidR="004C45CB" w:rsidRDefault="00000000">
      <w:pPr>
        <w:pStyle w:val="Compact"/>
        <w:numPr>
          <w:ilvl w:val="0"/>
          <w:numId w:val="11"/>
        </w:numPr>
      </w:pPr>
      <w:r>
        <w:rPr>
          <w:b/>
          <w:bCs/>
        </w:rPr>
        <w:t>Consultas en Tiempo Real a Sociedades de Información Crediticia (SIC):</w:t>
      </w:r>
    </w:p>
    <w:p w14:paraId="63B356C7" w14:textId="77777777" w:rsidR="004C45CB" w:rsidRDefault="00000000">
      <w:pPr>
        <w:pStyle w:val="Compact"/>
        <w:numPr>
          <w:ilvl w:val="1"/>
          <w:numId w:val="13"/>
        </w:numPr>
      </w:pPr>
      <w:r>
        <w:t>El prototipo no consumirá las APIs síncronas de Buró de Crédito o Círculo de Crédito; los datos externos se asumen precargados como variables sintéticas dentro del dataset de entrada.</w:t>
      </w:r>
    </w:p>
    <w:p w14:paraId="72150D58" w14:textId="77777777" w:rsidR="004C45CB" w:rsidRDefault="00000000">
      <w:pPr>
        <w:pStyle w:val="Compact"/>
        <w:numPr>
          <w:ilvl w:val="0"/>
          <w:numId w:val="11"/>
        </w:numPr>
      </w:pPr>
      <w:r>
        <w:rPr>
          <w:b/>
          <w:bCs/>
        </w:rPr>
        <w:t>Entrenamiento y Optimización de Redes Neuronales o Modelos de Machine Learning en Caliente:</w:t>
      </w:r>
    </w:p>
    <w:p w14:paraId="2CADEF3E" w14:textId="77777777" w:rsidR="004C45CB" w:rsidRDefault="00000000">
      <w:pPr>
        <w:pStyle w:val="Compact"/>
        <w:numPr>
          <w:ilvl w:val="1"/>
          <w:numId w:val="14"/>
        </w:numPr>
      </w:pPr>
      <w:r>
        <w:t xml:space="preserve">El proyecto no tiene por objeto la creación de un nuevo algoritmo de scoring predictivo, sino la simulación de la </w:t>
      </w:r>
      <w:r>
        <w:rPr>
          <w:b/>
          <w:bCs/>
        </w:rPr>
        <w:t>capa de toma de decisiones estratégicas por reglas de negocio</w:t>
      </w:r>
      <w:r>
        <w:t xml:space="preserve"> (equivalente al módulo </w:t>
      </w:r>
      <w:r>
        <w:rPr>
          <w:i/>
          <w:iCs/>
        </w:rPr>
        <w:t>Strategy Management</w:t>
      </w:r>
      <w:r>
        <w:t xml:space="preserve"> de PowerCurve).</w:t>
      </w:r>
    </w:p>
    <w:p w14:paraId="27BFE42F" w14:textId="77777777" w:rsidR="004C45CB" w:rsidRDefault="00000000">
      <w:pPr>
        <w:pStyle w:val="Compact"/>
        <w:numPr>
          <w:ilvl w:val="0"/>
          <w:numId w:val="11"/>
        </w:numPr>
      </w:pPr>
      <w:r>
        <w:rPr>
          <w:b/>
          <w:bCs/>
        </w:rPr>
        <w:t>Infraestructura de Autenticación Bancaria Multi-Tenant:</w:t>
      </w:r>
    </w:p>
    <w:p w14:paraId="07A19D91" w14:textId="77777777" w:rsidR="004C45CB" w:rsidRDefault="00000000">
      <w:pPr>
        <w:pStyle w:val="Compact"/>
        <w:numPr>
          <w:ilvl w:val="1"/>
          <w:numId w:val="15"/>
        </w:numPr>
      </w:pPr>
      <w:r>
        <w:t>No se integrarán mecanismos de seguridad corporativa como Active Directory corporativo, Kerberos o módulos de seguridad de hardware (HSM).</w:t>
      </w:r>
    </w:p>
    <w:p w14:paraId="5E2689E2" w14:textId="77777777" w:rsidR="004C45CB" w:rsidRDefault="00000000">
      <w:pPr>
        <w:pStyle w:val="Ttulo1"/>
      </w:pPr>
      <w:bookmarkStart w:id="14" w:name="_Toc910007"/>
      <w:bookmarkStart w:id="15" w:name="X7181bd50e98503c5bcf9af0c6ca5040d74151d5"/>
      <w:bookmarkEnd w:id="9"/>
      <w:bookmarkEnd w:id="13"/>
      <w:r>
        <w:lastRenderedPageBreak/>
        <w:t>3. Diccionario de Datos (Variables Comportamentales)</w:t>
      </w:r>
      <w:bookmarkEnd w:id="14"/>
    </w:p>
    <w:p w14:paraId="07848483" w14:textId="77777777" w:rsidR="004C45CB" w:rsidRDefault="00000000">
      <w:pPr>
        <w:pStyle w:val="FirstParagraph"/>
        <w:keepNext/>
      </w:pPr>
      <w:r>
        <w:t>El motor operará sobre una estructura estandarizada de variables a nivel cliente-cuenta, modelada a partir de los atributos comúnmente extraídos durante los procesos de corte de cartera en banca comercial.</w:t>
      </w:r>
    </w:p>
    <w:tbl>
      <w:tblPr>
        <w:tblStyle w:val="Table"/>
        <w:tblW w:w="936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CellMar>
          <w:top w:w="60" w:type="dxa"/>
          <w:left w:w="90" w:type="dxa"/>
          <w:bottom w:w="60" w:type="dxa"/>
          <w:right w:w="90" w:type="dxa"/>
        </w:tblCellMar>
        <w:tblLook w:val="0420" w:firstRow="1" w:lastRow="0" w:firstColumn="0" w:lastColumn="0" w:noHBand="0" w:noVBand="1"/>
      </w:tblPr>
      <w:tblGrid>
        <w:gridCol w:w="2600"/>
        <w:gridCol w:w="1200"/>
        <w:gridCol w:w="1450"/>
        <w:gridCol w:w="2200"/>
        <w:gridCol w:w="1910"/>
      </w:tblGrid>
      <w:tr w:rsidR="004C45CB" w14:paraId="501CD7D0" w14:textId="77777777" w:rsidTr="004C45CB">
        <w:trPr>
          <w:cnfStyle w:val="100000000000" w:firstRow="1" w:lastRow="0" w:firstColumn="0" w:lastColumn="0" w:oddVBand="0" w:evenVBand="0" w:oddHBand="0" w:evenHBand="0" w:firstRowFirstColumn="0" w:firstRowLastColumn="0" w:lastRowFirstColumn="0" w:lastRowLastColumn="0"/>
          <w:cantSplit/>
          <w:tblHeader/>
        </w:trPr>
        <w:tc>
          <w:tcPr>
            <w:tcW w:w="2600" w:type="dxa"/>
            <w:shd w:val="clear" w:color="auto" w:fill="1F3864"/>
            <w:vAlign w:val="center"/>
          </w:tcPr>
          <w:p w14:paraId="01DC4E2A" w14:textId="77777777" w:rsidR="004C45CB" w:rsidRDefault="00000000">
            <w:pPr>
              <w:pStyle w:val="TablaTexto"/>
              <w:keepNext/>
            </w:pPr>
            <w:r>
              <w:rPr>
                <w:b/>
                <w:color w:val="FFFFFF"/>
              </w:rPr>
              <w:t>Nombre de la Variable</w:t>
            </w:r>
          </w:p>
        </w:tc>
        <w:tc>
          <w:tcPr>
            <w:tcW w:w="1200" w:type="dxa"/>
            <w:shd w:val="clear" w:color="auto" w:fill="1F3864"/>
            <w:vAlign w:val="center"/>
          </w:tcPr>
          <w:p w14:paraId="7BAF5A0D" w14:textId="77777777" w:rsidR="004C45CB" w:rsidRDefault="00000000">
            <w:pPr>
              <w:pStyle w:val="TablaTexto"/>
              <w:keepNext/>
            </w:pPr>
            <w:r>
              <w:rPr>
                <w:b/>
                <w:color w:val="FFFFFF"/>
              </w:rPr>
              <w:t>Tipo de Dato</w:t>
            </w:r>
          </w:p>
        </w:tc>
        <w:tc>
          <w:tcPr>
            <w:tcW w:w="1450" w:type="dxa"/>
            <w:shd w:val="clear" w:color="auto" w:fill="1F3864"/>
            <w:vAlign w:val="center"/>
          </w:tcPr>
          <w:p w14:paraId="111E98CB" w14:textId="77777777" w:rsidR="004C45CB" w:rsidRDefault="00000000">
            <w:pPr>
              <w:pStyle w:val="TablaTexto"/>
              <w:keepNext/>
            </w:pPr>
            <w:r>
              <w:rPr>
                <w:b/>
                <w:color w:val="FFFFFF"/>
              </w:rPr>
              <w:t>Formato / Rango</w:t>
            </w:r>
          </w:p>
        </w:tc>
        <w:tc>
          <w:tcPr>
            <w:tcW w:w="2200" w:type="dxa"/>
            <w:shd w:val="clear" w:color="auto" w:fill="1F3864"/>
            <w:vAlign w:val="center"/>
          </w:tcPr>
          <w:p w14:paraId="5DD855B9" w14:textId="77777777" w:rsidR="004C45CB" w:rsidRDefault="00000000">
            <w:pPr>
              <w:pStyle w:val="TablaTexto"/>
              <w:keepNext/>
            </w:pPr>
            <w:r>
              <w:rPr>
                <w:b/>
                <w:color w:val="FFFFFF"/>
              </w:rPr>
              <w:t>Descripción de Negocio y Riesgo</w:t>
            </w:r>
          </w:p>
        </w:tc>
        <w:tc>
          <w:tcPr>
            <w:tcW w:w="1910" w:type="dxa"/>
            <w:shd w:val="clear" w:color="auto" w:fill="1F3864"/>
            <w:vAlign w:val="center"/>
          </w:tcPr>
          <w:p w14:paraId="4F5D79F7" w14:textId="77777777" w:rsidR="004C45CB" w:rsidRDefault="00000000">
            <w:pPr>
              <w:pStyle w:val="TablaTexto"/>
              <w:keepNext/>
            </w:pPr>
            <w:r>
              <w:rPr>
                <w:b/>
                <w:color w:val="FFFFFF"/>
              </w:rPr>
              <w:t>Justificación en el Motor</w:t>
            </w:r>
          </w:p>
        </w:tc>
      </w:tr>
      <w:tr w:rsidR="004C45CB" w14:paraId="528D1384" w14:textId="77777777" w:rsidTr="004C45CB">
        <w:trPr>
          <w:cantSplit/>
        </w:trPr>
        <w:tc>
          <w:tcPr>
            <w:tcW w:w="2600" w:type="dxa"/>
          </w:tcPr>
          <w:p w14:paraId="7D9033A8" w14:textId="77777777" w:rsidR="004C45CB" w:rsidRDefault="00000000">
            <w:pPr>
              <w:pStyle w:val="TablaTexto"/>
              <w:keepNext/>
            </w:pPr>
            <w:r>
              <w:rPr>
                <w:rStyle w:val="VerbatimChar"/>
                <w:color w:val="7A2E0E"/>
                <w:sz w:val="15"/>
              </w:rPr>
              <w:t>ID_CLIENTE</w:t>
            </w:r>
          </w:p>
        </w:tc>
        <w:tc>
          <w:tcPr>
            <w:tcW w:w="1200" w:type="dxa"/>
          </w:tcPr>
          <w:p w14:paraId="201A9FDB" w14:textId="77777777" w:rsidR="004C45CB" w:rsidRDefault="00000000">
            <w:pPr>
              <w:pStyle w:val="TablaTexto"/>
              <w:keepNext/>
            </w:pPr>
            <w:r>
              <w:t>Alfanumérico (</w:t>
            </w:r>
            <w:r>
              <w:rPr>
                <w:rStyle w:val="VerbatimChar"/>
                <w:color w:val="7A2E0E"/>
                <w:sz w:val="15"/>
              </w:rPr>
              <w:t>str</w:t>
            </w:r>
            <w:r>
              <w:t>)</w:t>
            </w:r>
          </w:p>
        </w:tc>
        <w:tc>
          <w:tcPr>
            <w:tcW w:w="1450" w:type="dxa"/>
          </w:tcPr>
          <w:p w14:paraId="387356B9" w14:textId="77777777" w:rsidR="004C45CB" w:rsidRDefault="00000000">
            <w:pPr>
              <w:pStyle w:val="TablaTexto"/>
              <w:keepNext/>
            </w:pPr>
            <w:r>
              <w:rPr>
                <w:rStyle w:val="VerbatimChar"/>
                <w:color w:val="7A2E0E"/>
                <w:sz w:val="15"/>
              </w:rPr>
              <w:t>CLI-[0-9]{8}</w:t>
            </w:r>
          </w:p>
        </w:tc>
        <w:tc>
          <w:tcPr>
            <w:tcW w:w="2200" w:type="dxa"/>
          </w:tcPr>
          <w:p w14:paraId="3BD2B998" w14:textId="77777777" w:rsidR="004C45CB" w:rsidRDefault="00000000">
            <w:pPr>
              <w:pStyle w:val="TablaTexto"/>
              <w:keepNext/>
            </w:pPr>
            <w:r>
              <w:t>Identificador único del acreditado dentro del sistema bancario.</w:t>
            </w:r>
          </w:p>
        </w:tc>
        <w:tc>
          <w:tcPr>
            <w:tcW w:w="1910" w:type="dxa"/>
          </w:tcPr>
          <w:p w14:paraId="1E26D383" w14:textId="77777777" w:rsidR="004C45CB" w:rsidRDefault="00000000">
            <w:pPr>
              <w:pStyle w:val="TablaTexto"/>
              <w:keepNext/>
            </w:pPr>
            <w:r>
              <w:t>Llave primaria de auditoría y rastreo de decisiones.</w:t>
            </w:r>
          </w:p>
        </w:tc>
      </w:tr>
      <w:tr w:rsidR="004C45CB" w14:paraId="33DFD024" w14:textId="77777777" w:rsidTr="004C45CB">
        <w:trPr>
          <w:cantSplit/>
        </w:trPr>
        <w:tc>
          <w:tcPr>
            <w:tcW w:w="2600" w:type="dxa"/>
            <w:shd w:val="clear" w:color="auto" w:fill="F3F6FB"/>
          </w:tcPr>
          <w:p w14:paraId="0932A15F" w14:textId="77777777" w:rsidR="004C45CB" w:rsidRDefault="00000000">
            <w:pPr>
              <w:pStyle w:val="TablaTexto"/>
              <w:keepNext/>
            </w:pPr>
            <w:r>
              <w:rPr>
                <w:rStyle w:val="VerbatimChar"/>
                <w:color w:val="7A2E0E"/>
                <w:sz w:val="15"/>
              </w:rPr>
              <w:t>ID_CONTRATO</w:t>
            </w:r>
          </w:p>
        </w:tc>
        <w:tc>
          <w:tcPr>
            <w:tcW w:w="1200" w:type="dxa"/>
            <w:shd w:val="clear" w:color="auto" w:fill="F3F6FB"/>
          </w:tcPr>
          <w:p w14:paraId="76657AFF" w14:textId="77777777" w:rsidR="004C45CB" w:rsidRDefault="00000000">
            <w:pPr>
              <w:pStyle w:val="TablaTexto"/>
              <w:keepNext/>
            </w:pPr>
            <w:r>
              <w:t>Alfanumérico (</w:t>
            </w:r>
            <w:r>
              <w:rPr>
                <w:rStyle w:val="VerbatimChar"/>
                <w:color w:val="7A2E0E"/>
                <w:sz w:val="15"/>
              </w:rPr>
              <w:t>str</w:t>
            </w:r>
            <w:r>
              <w:t>)</w:t>
            </w:r>
          </w:p>
        </w:tc>
        <w:tc>
          <w:tcPr>
            <w:tcW w:w="1450" w:type="dxa"/>
            <w:shd w:val="clear" w:color="auto" w:fill="F3F6FB"/>
          </w:tcPr>
          <w:p w14:paraId="2E2C7F66" w14:textId="77777777" w:rsidR="004C45CB" w:rsidRDefault="00000000">
            <w:pPr>
              <w:pStyle w:val="TablaTexto"/>
              <w:keepNext/>
            </w:pPr>
            <w:r>
              <w:rPr>
                <w:rStyle w:val="VerbatimChar"/>
                <w:color w:val="7A2E0E"/>
                <w:sz w:val="15"/>
              </w:rPr>
              <w:t>ACC-[0-9]{10}</w:t>
            </w:r>
          </w:p>
        </w:tc>
        <w:tc>
          <w:tcPr>
            <w:tcW w:w="2200" w:type="dxa"/>
            <w:shd w:val="clear" w:color="auto" w:fill="F3F6FB"/>
          </w:tcPr>
          <w:p w14:paraId="7C204225" w14:textId="77777777" w:rsidR="004C45CB" w:rsidRDefault="00000000">
            <w:pPr>
              <w:pStyle w:val="TablaTexto"/>
              <w:keepNext/>
            </w:pPr>
            <w:r>
              <w:t>Identificador de la cuenta o tarjeta de crédito evaluada.</w:t>
            </w:r>
          </w:p>
        </w:tc>
        <w:tc>
          <w:tcPr>
            <w:tcW w:w="1910" w:type="dxa"/>
            <w:shd w:val="clear" w:color="auto" w:fill="F3F6FB"/>
          </w:tcPr>
          <w:p w14:paraId="7C967A53" w14:textId="77777777" w:rsidR="004C45CB" w:rsidRDefault="00000000">
            <w:pPr>
              <w:pStyle w:val="TablaTexto"/>
              <w:keepNext/>
            </w:pPr>
            <w:r>
              <w:t>Permite diferenciar decisiones si un cliente posee múltiples productos.</w:t>
            </w:r>
          </w:p>
        </w:tc>
      </w:tr>
      <w:tr w:rsidR="004C45CB" w14:paraId="472E5275" w14:textId="77777777" w:rsidTr="004C45CB">
        <w:trPr>
          <w:cantSplit/>
        </w:trPr>
        <w:tc>
          <w:tcPr>
            <w:tcW w:w="2600" w:type="dxa"/>
          </w:tcPr>
          <w:p w14:paraId="2C40D703" w14:textId="77777777" w:rsidR="004C45CB" w:rsidRDefault="00000000">
            <w:pPr>
              <w:pStyle w:val="TablaTexto"/>
            </w:pPr>
            <w:r>
              <w:rPr>
                <w:rStyle w:val="VerbatimChar"/>
                <w:color w:val="7A2E0E"/>
                <w:sz w:val="15"/>
              </w:rPr>
              <w:t>LIMITE_CREDITO_ACTUAL</w:t>
            </w:r>
          </w:p>
        </w:tc>
        <w:tc>
          <w:tcPr>
            <w:tcW w:w="1200" w:type="dxa"/>
          </w:tcPr>
          <w:p w14:paraId="4E855113" w14:textId="77777777" w:rsidR="004C45CB" w:rsidRDefault="00000000">
            <w:pPr>
              <w:pStyle w:val="TablaTexto"/>
            </w:pPr>
            <w:r>
              <w:t>Numérico Decimal (</w:t>
            </w:r>
            <w:r>
              <w:rPr>
                <w:rStyle w:val="VerbatimChar"/>
                <w:color w:val="7A2E0E"/>
                <w:sz w:val="15"/>
              </w:rPr>
              <w:t>float</w:t>
            </w:r>
            <w:r>
              <w:t>)</w:t>
            </w:r>
          </w:p>
        </w:tc>
        <w:tc>
          <w:tcPr>
            <w:tcW w:w="1450" w:type="dxa"/>
          </w:tcPr>
          <w:p w14:paraId="6B842E93" w14:textId="77777777" w:rsidR="004C45CB" w:rsidRDefault="00000000">
            <w:pPr>
              <w:pStyle w:val="TablaTexto"/>
            </w:pPr>
            <w:r>
              <w:t>$1,000.00 – $500,000.00 MXN</w:t>
            </w:r>
          </w:p>
        </w:tc>
        <w:tc>
          <w:tcPr>
            <w:tcW w:w="2200" w:type="dxa"/>
          </w:tcPr>
          <w:p w14:paraId="48FBB417" w14:textId="77777777" w:rsidR="004C45CB" w:rsidRDefault="00000000">
            <w:pPr>
              <w:pStyle w:val="TablaTexto"/>
            </w:pPr>
            <w:r>
              <w:t>Línea de crédito total asignada y contractualmente vigente.</w:t>
            </w:r>
          </w:p>
        </w:tc>
        <w:tc>
          <w:tcPr>
            <w:tcW w:w="1910" w:type="dxa"/>
          </w:tcPr>
          <w:p w14:paraId="7B38A567" w14:textId="77777777" w:rsidR="004C45CB" w:rsidRDefault="00000000">
            <w:pPr>
              <w:pStyle w:val="TablaTexto"/>
            </w:pPr>
            <w:r>
              <w:t>Base de cálculo para dimensionar la exposición monetaria y ajustes de cupo.</w:t>
            </w:r>
          </w:p>
        </w:tc>
      </w:tr>
      <w:tr w:rsidR="004C45CB" w14:paraId="66F15064" w14:textId="77777777" w:rsidTr="004C45CB">
        <w:trPr>
          <w:cantSplit/>
        </w:trPr>
        <w:tc>
          <w:tcPr>
            <w:tcW w:w="2600" w:type="dxa"/>
            <w:shd w:val="clear" w:color="auto" w:fill="F3F6FB"/>
          </w:tcPr>
          <w:p w14:paraId="571E3E06" w14:textId="77777777" w:rsidR="004C45CB" w:rsidRDefault="00000000">
            <w:pPr>
              <w:pStyle w:val="TablaTexto"/>
            </w:pPr>
            <w:r>
              <w:rPr>
                <w:rStyle w:val="VerbatimChar"/>
                <w:color w:val="7A2E0E"/>
                <w:sz w:val="15"/>
              </w:rPr>
              <w:t>SALDO_ACTUAL</w:t>
            </w:r>
          </w:p>
        </w:tc>
        <w:tc>
          <w:tcPr>
            <w:tcW w:w="1200" w:type="dxa"/>
            <w:shd w:val="clear" w:color="auto" w:fill="F3F6FB"/>
          </w:tcPr>
          <w:p w14:paraId="3E3E5F1F" w14:textId="77777777" w:rsidR="004C45CB" w:rsidRDefault="00000000">
            <w:pPr>
              <w:pStyle w:val="TablaTexto"/>
            </w:pPr>
            <w:r>
              <w:t>Numérico Decimal (</w:t>
            </w:r>
            <w:r>
              <w:rPr>
                <w:rStyle w:val="VerbatimChar"/>
                <w:color w:val="7A2E0E"/>
                <w:sz w:val="15"/>
              </w:rPr>
              <w:t>float</w:t>
            </w:r>
            <w:r>
              <w:t>)</w:t>
            </w:r>
          </w:p>
        </w:tc>
        <w:tc>
          <w:tcPr>
            <w:tcW w:w="1450" w:type="dxa"/>
            <w:shd w:val="clear" w:color="auto" w:fill="F3F6FB"/>
          </w:tcPr>
          <w:p w14:paraId="79D3F429" w14:textId="77777777" w:rsidR="004C45CB" w:rsidRDefault="00000000">
            <w:pPr>
              <w:pStyle w:val="TablaTexto"/>
            </w:pPr>
            <m:oMath>
              <m:r>
                <m:rPr>
                  <m:sty m:val="p"/>
                </m:rPr>
                <w:rPr>
                  <w:rFonts w:ascii="Cambria Math" w:hAnsi="Cambria Math"/>
                </w:rPr>
                <m:t>≥</m:t>
              </m:r>
              <m:r>
                <w:rPr>
                  <w:rFonts w:ascii="Cambria Math" w:hAnsi="Cambria Math"/>
                </w:rPr>
                <m:t>0.00</m:t>
              </m:r>
            </m:oMath>
            <w:r>
              <w:t xml:space="preserve"> MXN</w:t>
            </w:r>
          </w:p>
        </w:tc>
        <w:tc>
          <w:tcPr>
            <w:tcW w:w="2200" w:type="dxa"/>
            <w:shd w:val="clear" w:color="auto" w:fill="F3F6FB"/>
          </w:tcPr>
          <w:p w14:paraId="534AC92C" w14:textId="77777777" w:rsidR="004C45CB" w:rsidRDefault="00000000">
            <w:pPr>
              <w:pStyle w:val="TablaTexto"/>
            </w:pPr>
            <w:r>
              <w:t>Saldo deudor consolidado a la fecha del corte.</w:t>
            </w:r>
          </w:p>
        </w:tc>
        <w:tc>
          <w:tcPr>
            <w:tcW w:w="1910" w:type="dxa"/>
            <w:shd w:val="clear" w:color="auto" w:fill="F3F6FB"/>
          </w:tcPr>
          <w:p w14:paraId="7714759F" w14:textId="77777777" w:rsidR="004C45CB" w:rsidRDefault="00000000">
            <w:pPr>
              <w:pStyle w:val="TablaTexto"/>
            </w:pPr>
            <w:r>
              <w:t>Determina el monto insoluto real expuesto al riesgo de impago.</w:t>
            </w:r>
          </w:p>
        </w:tc>
      </w:tr>
      <w:tr w:rsidR="004C45CB" w14:paraId="039AC0D6" w14:textId="77777777" w:rsidTr="004C45CB">
        <w:trPr>
          <w:cantSplit/>
        </w:trPr>
        <w:tc>
          <w:tcPr>
            <w:tcW w:w="2600" w:type="dxa"/>
          </w:tcPr>
          <w:p w14:paraId="52A60171" w14:textId="77777777" w:rsidR="004C45CB" w:rsidRDefault="00000000">
            <w:pPr>
              <w:pStyle w:val="TablaTexto"/>
            </w:pPr>
            <w:r>
              <w:rPr>
                <w:rStyle w:val="VerbatimChar"/>
                <w:color w:val="7A2E0E"/>
                <w:sz w:val="15"/>
              </w:rPr>
              <w:t>PORC_USO_LINEA</w:t>
            </w:r>
          </w:p>
        </w:tc>
        <w:tc>
          <w:tcPr>
            <w:tcW w:w="1200" w:type="dxa"/>
          </w:tcPr>
          <w:p w14:paraId="45922238" w14:textId="77777777" w:rsidR="004C45CB" w:rsidRDefault="00000000">
            <w:pPr>
              <w:pStyle w:val="TablaTexto"/>
            </w:pPr>
            <w:r>
              <w:t>Numérico Decimal (</w:t>
            </w:r>
            <w:r>
              <w:rPr>
                <w:rStyle w:val="VerbatimChar"/>
                <w:color w:val="7A2E0E"/>
                <w:sz w:val="15"/>
              </w:rPr>
              <w:t>float</w:t>
            </w:r>
            <w:r>
              <w:t>)</w:t>
            </w:r>
          </w:p>
        </w:tc>
        <w:tc>
          <w:tcPr>
            <w:tcW w:w="1450" w:type="dxa"/>
          </w:tcPr>
          <w:p w14:paraId="123793D7" w14:textId="77777777" w:rsidR="004C45CB" w:rsidRDefault="00000000">
            <w:pPr>
              <w:pStyle w:val="TablaTexto"/>
            </w:pPr>
            <w:r>
              <w:t xml:space="preserve">0.00% – 150.00% (Ratio </w:t>
            </w:r>
            <m:oMath>
              <m:d>
                <m:dPr>
                  <m:begChr m:val="["/>
                  <m:endChr m:val="]"/>
                  <m:ctrlPr>
                    <w:rPr>
                      <w:rFonts w:ascii="Cambria Math" w:hAnsi="Cambria Math"/>
                    </w:rPr>
                  </m:ctrlPr>
                </m:dPr>
                <m:e>
                  <m:r>
                    <w:rPr>
                      <w:rFonts w:ascii="Cambria Math" w:hAnsi="Cambria Math"/>
                    </w:rPr>
                    <m:t>0.0</m:t>
                  </m:r>
                  <m:r>
                    <m:rPr>
                      <m:sty m:val="p"/>
                    </m:rPr>
                    <w:rPr>
                      <w:rFonts w:ascii="Cambria Math" w:hAnsi="Cambria Math"/>
                    </w:rPr>
                    <m:t>,</m:t>
                  </m:r>
                  <m:r>
                    <w:rPr>
                      <w:rFonts w:ascii="Cambria Math" w:hAnsi="Cambria Math"/>
                    </w:rPr>
                    <m:t>1.5</m:t>
                  </m:r>
                </m:e>
              </m:d>
            </m:oMath>
            <w:r>
              <w:t>)</w:t>
            </w:r>
          </w:p>
        </w:tc>
        <w:tc>
          <w:tcPr>
            <w:tcW w:w="2200" w:type="dxa"/>
          </w:tcPr>
          <w:p w14:paraId="792F5C3E" w14:textId="77777777" w:rsidR="004C45CB" w:rsidRDefault="00000000">
            <w:pPr>
              <w:pStyle w:val="TablaTexto"/>
            </w:pPr>
            <w:r>
              <w:t xml:space="preserve">Ratio de apalancamiento: </w:t>
            </w:r>
            <m:oMath>
              <m:f>
                <m:fPr>
                  <m:ctrlPr>
                    <w:rPr>
                      <w:rFonts w:ascii="Cambria Math" w:hAnsi="Cambria Math"/>
                    </w:rPr>
                  </m:ctrlPr>
                </m:fPr>
                <m:num>
                  <m:r>
                    <m:rPr>
                      <m:nor/>
                    </m:rPr>
                    <m:t>SALDO_ACTUAL</m:t>
                  </m:r>
                </m:num>
                <m:den>
                  <m:r>
                    <m:rPr>
                      <m:nor/>
                    </m:rPr>
                    <m:t>LIMITE_CREDITO_ACTUAL</m:t>
                  </m:r>
                </m:den>
              </m:f>
              <m:r>
                <m:rPr>
                  <m:sty m:val="p"/>
                </m:rPr>
                <w:rPr>
                  <w:rFonts w:ascii="Cambria Math" w:hAnsi="Cambria Math"/>
                </w:rPr>
                <m:t>×</m:t>
              </m:r>
              <m:r>
                <w:rPr>
                  <w:rFonts w:ascii="Cambria Math" w:hAnsi="Cambria Math"/>
                </w:rPr>
                <m:t>100</m:t>
              </m:r>
            </m:oMath>
            <w:r>
              <w:t>.</w:t>
            </w:r>
          </w:p>
        </w:tc>
        <w:tc>
          <w:tcPr>
            <w:tcW w:w="1910" w:type="dxa"/>
          </w:tcPr>
          <w:p w14:paraId="28F2BF1F" w14:textId="77777777" w:rsidR="004C45CB" w:rsidRDefault="00000000">
            <w:pPr>
              <w:pStyle w:val="TablaTexto"/>
            </w:pPr>
            <w:r>
              <w:t xml:space="preserve">Señal primaria de estrés financiero; utilizaciones sostenidas </w:t>
            </w:r>
            <m:oMath>
              <m:r>
                <m:rPr>
                  <m:sty m:val="p"/>
                </m:rPr>
                <w:rPr>
                  <w:rFonts w:ascii="Cambria Math" w:hAnsi="Cambria Math"/>
                </w:rPr>
                <m:t>&gt;</m:t>
              </m:r>
              <m:r>
                <w:rPr>
                  <w:rFonts w:ascii="Cambria Math" w:hAnsi="Cambria Math"/>
                </w:rPr>
                <m:t>80</m:t>
              </m:r>
              <m:r>
                <m:rPr>
                  <m:sty m:val="p"/>
                </m:rPr>
                <w:rPr>
                  <w:rFonts w:ascii="Cambria Math" w:hAnsi="Cambria Math"/>
                </w:rPr>
                <m:t>%</m:t>
              </m:r>
            </m:oMath>
            <w:r>
              <w:t xml:space="preserve"> preceden al default.</w:t>
            </w:r>
          </w:p>
        </w:tc>
      </w:tr>
      <w:tr w:rsidR="004C45CB" w14:paraId="152CF835" w14:textId="77777777" w:rsidTr="004C45CB">
        <w:trPr>
          <w:cantSplit/>
        </w:trPr>
        <w:tc>
          <w:tcPr>
            <w:tcW w:w="2600" w:type="dxa"/>
            <w:shd w:val="clear" w:color="auto" w:fill="F3F6FB"/>
          </w:tcPr>
          <w:p w14:paraId="62E48A89" w14:textId="77777777" w:rsidR="004C45CB" w:rsidRDefault="00000000">
            <w:pPr>
              <w:pStyle w:val="TablaTexto"/>
            </w:pPr>
            <w:r>
              <w:rPr>
                <w:rStyle w:val="VerbatimChar"/>
                <w:color w:val="7A2E0E"/>
                <w:sz w:val="15"/>
              </w:rPr>
              <w:t>DIAS_ATRASO_M1</w:t>
            </w:r>
          </w:p>
        </w:tc>
        <w:tc>
          <w:tcPr>
            <w:tcW w:w="1200" w:type="dxa"/>
            <w:shd w:val="clear" w:color="auto" w:fill="F3F6FB"/>
          </w:tcPr>
          <w:p w14:paraId="74A39DD5" w14:textId="77777777" w:rsidR="004C45CB" w:rsidRDefault="00000000">
            <w:pPr>
              <w:pStyle w:val="TablaTexto"/>
            </w:pPr>
            <w:r>
              <w:t>Entero (</w:t>
            </w:r>
            <w:r>
              <w:rPr>
                <w:rStyle w:val="VerbatimChar"/>
                <w:color w:val="7A2E0E"/>
                <w:sz w:val="15"/>
              </w:rPr>
              <w:t>int</w:t>
            </w:r>
            <w:r>
              <w:t>)</w:t>
            </w:r>
          </w:p>
        </w:tc>
        <w:tc>
          <w:tcPr>
            <w:tcW w:w="1450" w:type="dxa"/>
            <w:shd w:val="clear" w:color="auto" w:fill="F3F6FB"/>
          </w:tcPr>
          <w:p w14:paraId="43EADC14" w14:textId="77777777" w:rsidR="004C45CB" w:rsidRDefault="00000000">
            <w:pPr>
              <w:pStyle w:val="TablaTexto"/>
            </w:pPr>
            <m:oMath>
              <m:r>
                <m:rPr>
                  <m:sty m:val="p"/>
                </m:rPr>
                <w:rPr>
                  <w:rFonts w:ascii="Cambria Math" w:hAnsi="Cambria Math"/>
                </w:rPr>
                <m:t>≥</m:t>
              </m:r>
              <m:r>
                <w:rPr>
                  <w:rFonts w:ascii="Cambria Math" w:hAnsi="Cambria Math"/>
                </w:rPr>
                <m:t>0</m:t>
              </m:r>
            </m:oMath>
            <w:r>
              <w:t xml:space="preserve"> días</w:t>
            </w:r>
          </w:p>
        </w:tc>
        <w:tc>
          <w:tcPr>
            <w:tcW w:w="2200" w:type="dxa"/>
            <w:shd w:val="clear" w:color="auto" w:fill="F3F6FB"/>
          </w:tcPr>
          <w:p w14:paraId="2409D418" w14:textId="77777777" w:rsidR="004C45CB" w:rsidRDefault="00000000">
            <w:pPr>
              <w:pStyle w:val="TablaTexto"/>
            </w:pPr>
            <w:r>
              <w:t xml:space="preserve">Días de atraso en el mes inmediato anterior (Mes </w:t>
            </w:r>
            <m:oMath>
              <m:r>
                <w:rPr>
                  <w:rFonts w:ascii="Cambria Math" w:hAnsi="Cambria Math"/>
                </w:rPr>
                <m:t>t</m:t>
              </m:r>
              <m:r>
                <m:rPr>
                  <m:sty m:val="p"/>
                </m:rPr>
                <w:rPr>
                  <w:rFonts w:ascii="Cambria Math" w:hAnsi="Cambria Math"/>
                </w:rPr>
                <m:t>-</m:t>
              </m:r>
              <m:r>
                <w:rPr>
                  <w:rFonts w:ascii="Cambria Math" w:hAnsi="Cambria Math"/>
                </w:rPr>
                <m:t>1</m:t>
              </m:r>
            </m:oMath>
            <w:r>
              <w:t>).</w:t>
            </w:r>
          </w:p>
        </w:tc>
        <w:tc>
          <w:tcPr>
            <w:tcW w:w="1910" w:type="dxa"/>
            <w:shd w:val="clear" w:color="auto" w:fill="F3F6FB"/>
          </w:tcPr>
          <w:p w14:paraId="281A549E" w14:textId="77777777" w:rsidR="004C45CB" w:rsidRDefault="00000000">
            <w:pPr>
              <w:pStyle w:val="TablaTexto"/>
            </w:pPr>
            <w:r>
              <w:t>Indicador de mora actual y más reciente. Umbral clave para acciones preventivas.</w:t>
            </w:r>
          </w:p>
        </w:tc>
      </w:tr>
      <w:tr w:rsidR="004C45CB" w14:paraId="2DC15A2D" w14:textId="77777777" w:rsidTr="004C45CB">
        <w:trPr>
          <w:cantSplit/>
        </w:trPr>
        <w:tc>
          <w:tcPr>
            <w:tcW w:w="2600" w:type="dxa"/>
          </w:tcPr>
          <w:p w14:paraId="793AD5AD" w14:textId="77777777" w:rsidR="004C45CB" w:rsidRDefault="00000000">
            <w:pPr>
              <w:pStyle w:val="TablaTexto"/>
            </w:pPr>
            <w:r>
              <w:rPr>
                <w:rStyle w:val="VerbatimChar"/>
                <w:color w:val="7A2E0E"/>
                <w:sz w:val="15"/>
              </w:rPr>
              <w:t>DIAS_ATRASO_M2</w:t>
            </w:r>
          </w:p>
        </w:tc>
        <w:tc>
          <w:tcPr>
            <w:tcW w:w="1200" w:type="dxa"/>
          </w:tcPr>
          <w:p w14:paraId="6124588A" w14:textId="77777777" w:rsidR="004C45CB" w:rsidRDefault="00000000">
            <w:pPr>
              <w:pStyle w:val="TablaTexto"/>
            </w:pPr>
            <w:r>
              <w:t>Entero (</w:t>
            </w:r>
            <w:r>
              <w:rPr>
                <w:rStyle w:val="VerbatimChar"/>
                <w:color w:val="7A2E0E"/>
                <w:sz w:val="15"/>
              </w:rPr>
              <w:t>int</w:t>
            </w:r>
            <w:r>
              <w:t>)</w:t>
            </w:r>
          </w:p>
        </w:tc>
        <w:tc>
          <w:tcPr>
            <w:tcW w:w="1450" w:type="dxa"/>
          </w:tcPr>
          <w:p w14:paraId="4A65885D" w14:textId="77777777" w:rsidR="004C45CB" w:rsidRDefault="00000000">
            <w:pPr>
              <w:pStyle w:val="TablaTexto"/>
            </w:pPr>
            <m:oMath>
              <m:r>
                <m:rPr>
                  <m:sty m:val="p"/>
                </m:rPr>
                <w:rPr>
                  <w:rFonts w:ascii="Cambria Math" w:hAnsi="Cambria Math"/>
                </w:rPr>
                <m:t>≥</m:t>
              </m:r>
              <m:r>
                <w:rPr>
                  <w:rFonts w:ascii="Cambria Math" w:hAnsi="Cambria Math"/>
                </w:rPr>
                <m:t>0</m:t>
              </m:r>
            </m:oMath>
            <w:r>
              <w:t xml:space="preserve"> días</w:t>
            </w:r>
          </w:p>
        </w:tc>
        <w:tc>
          <w:tcPr>
            <w:tcW w:w="2200" w:type="dxa"/>
          </w:tcPr>
          <w:p w14:paraId="342D36A5" w14:textId="77777777" w:rsidR="004C45CB" w:rsidRDefault="00000000">
            <w:pPr>
              <w:pStyle w:val="TablaTexto"/>
            </w:pPr>
            <w:r>
              <w:t xml:space="preserve">Días de atraso reportados hace dos meses (Mes </w:t>
            </w:r>
            <m:oMath>
              <m:r>
                <w:rPr>
                  <w:rFonts w:ascii="Cambria Math" w:hAnsi="Cambria Math"/>
                </w:rPr>
                <m:t>t</m:t>
              </m:r>
              <m:r>
                <m:rPr>
                  <m:sty m:val="p"/>
                </m:rPr>
                <w:rPr>
                  <w:rFonts w:ascii="Cambria Math" w:hAnsi="Cambria Math"/>
                </w:rPr>
                <m:t>-</m:t>
              </m:r>
              <m:r>
                <w:rPr>
                  <w:rFonts w:ascii="Cambria Math" w:hAnsi="Cambria Math"/>
                </w:rPr>
                <m:t>2</m:t>
              </m:r>
            </m:oMath>
            <w:r>
              <w:t>).</w:t>
            </w:r>
          </w:p>
        </w:tc>
        <w:tc>
          <w:tcPr>
            <w:tcW w:w="1910" w:type="dxa"/>
          </w:tcPr>
          <w:p w14:paraId="45963022" w14:textId="77777777" w:rsidR="004C45CB" w:rsidRDefault="00000000">
            <w:pPr>
              <w:pStyle w:val="TablaTexto"/>
            </w:pPr>
            <w:r>
              <w:t>Permite evaluar la tendencia de transición de morosidad (</w:t>
            </w:r>
            <w:r>
              <w:rPr>
                <w:i/>
                <w:iCs/>
              </w:rPr>
              <w:t>Roll Rate</w:t>
            </w:r>
            <w:r>
              <w:t xml:space="preserve"> de cubos de mora).</w:t>
            </w:r>
          </w:p>
        </w:tc>
      </w:tr>
      <w:tr w:rsidR="004C45CB" w14:paraId="67DEBEFB" w14:textId="77777777" w:rsidTr="004C45CB">
        <w:trPr>
          <w:cantSplit/>
        </w:trPr>
        <w:tc>
          <w:tcPr>
            <w:tcW w:w="2600" w:type="dxa"/>
            <w:shd w:val="clear" w:color="auto" w:fill="F3F6FB"/>
          </w:tcPr>
          <w:p w14:paraId="6DAD314F" w14:textId="77777777" w:rsidR="004C45CB" w:rsidRDefault="00000000">
            <w:pPr>
              <w:pStyle w:val="TablaTexto"/>
            </w:pPr>
            <w:r>
              <w:rPr>
                <w:rStyle w:val="VerbatimChar"/>
                <w:color w:val="7A2E0E"/>
                <w:sz w:val="15"/>
              </w:rPr>
              <w:t>DIAS_ATRASO_M3</w:t>
            </w:r>
          </w:p>
        </w:tc>
        <w:tc>
          <w:tcPr>
            <w:tcW w:w="1200" w:type="dxa"/>
            <w:shd w:val="clear" w:color="auto" w:fill="F3F6FB"/>
          </w:tcPr>
          <w:p w14:paraId="2849900C" w14:textId="77777777" w:rsidR="004C45CB" w:rsidRDefault="00000000">
            <w:pPr>
              <w:pStyle w:val="TablaTexto"/>
            </w:pPr>
            <w:r>
              <w:t>Entero (</w:t>
            </w:r>
            <w:r>
              <w:rPr>
                <w:rStyle w:val="VerbatimChar"/>
                <w:color w:val="7A2E0E"/>
                <w:sz w:val="15"/>
              </w:rPr>
              <w:t>int</w:t>
            </w:r>
            <w:r>
              <w:t>)</w:t>
            </w:r>
          </w:p>
        </w:tc>
        <w:tc>
          <w:tcPr>
            <w:tcW w:w="1450" w:type="dxa"/>
            <w:shd w:val="clear" w:color="auto" w:fill="F3F6FB"/>
          </w:tcPr>
          <w:p w14:paraId="2927E903" w14:textId="77777777" w:rsidR="004C45CB" w:rsidRDefault="00000000">
            <w:pPr>
              <w:pStyle w:val="TablaTexto"/>
            </w:pPr>
            <m:oMath>
              <m:r>
                <m:rPr>
                  <m:sty m:val="p"/>
                </m:rPr>
                <w:rPr>
                  <w:rFonts w:ascii="Cambria Math" w:hAnsi="Cambria Math"/>
                </w:rPr>
                <m:t>≥</m:t>
              </m:r>
              <m:r>
                <w:rPr>
                  <w:rFonts w:ascii="Cambria Math" w:hAnsi="Cambria Math"/>
                </w:rPr>
                <m:t>0</m:t>
              </m:r>
            </m:oMath>
            <w:r>
              <w:t xml:space="preserve"> días</w:t>
            </w:r>
          </w:p>
        </w:tc>
        <w:tc>
          <w:tcPr>
            <w:tcW w:w="2200" w:type="dxa"/>
            <w:shd w:val="clear" w:color="auto" w:fill="F3F6FB"/>
          </w:tcPr>
          <w:p w14:paraId="7B22EAF5" w14:textId="77777777" w:rsidR="004C45CB" w:rsidRDefault="00000000">
            <w:pPr>
              <w:pStyle w:val="TablaTexto"/>
            </w:pPr>
            <w:r>
              <w:t xml:space="preserve">Días de atraso reportados hace tres meses (Mes </w:t>
            </w:r>
            <m:oMath>
              <m:r>
                <w:rPr>
                  <w:rFonts w:ascii="Cambria Math" w:hAnsi="Cambria Math"/>
                </w:rPr>
                <m:t>t</m:t>
              </m:r>
              <m:r>
                <m:rPr>
                  <m:sty m:val="p"/>
                </m:rPr>
                <w:rPr>
                  <w:rFonts w:ascii="Cambria Math" w:hAnsi="Cambria Math"/>
                </w:rPr>
                <m:t>-</m:t>
              </m:r>
              <m:r>
                <w:rPr>
                  <w:rFonts w:ascii="Cambria Math" w:hAnsi="Cambria Math"/>
                </w:rPr>
                <m:t>3</m:t>
              </m:r>
            </m:oMath>
            <w:r>
              <w:t>).</w:t>
            </w:r>
          </w:p>
        </w:tc>
        <w:tc>
          <w:tcPr>
            <w:tcW w:w="1910" w:type="dxa"/>
            <w:shd w:val="clear" w:color="auto" w:fill="F3F6FB"/>
          </w:tcPr>
          <w:p w14:paraId="059CB52A" w14:textId="77777777" w:rsidR="004C45CB" w:rsidRDefault="00000000">
            <w:pPr>
              <w:pStyle w:val="TablaTexto"/>
            </w:pPr>
            <w:r>
              <w:t>Base para detectar morosidad crónica o recurrente a mediano plazo.</w:t>
            </w:r>
          </w:p>
        </w:tc>
      </w:tr>
      <w:tr w:rsidR="004C45CB" w14:paraId="6A39000F" w14:textId="77777777" w:rsidTr="004C45CB">
        <w:trPr>
          <w:cantSplit/>
        </w:trPr>
        <w:tc>
          <w:tcPr>
            <w:tcW w:w="2600" w:type="dxa"/>
          </w:tcPr>
          <w:p w14:paraId="6751A243" w14:textId="77777777" w:rsidR="004C45CB" w:rsidRDefault="00000000">
            <w:pPr>
              <w:pStyle w:val="TablaTexto"/>
            </w:pPr>
            <w:r>
              <w:rPr>
                <w:rStyle w:val="VerbatimChar"/>
                <w:color w:val="7A2E0E"/>
                <w:sz w:val="15"/>
              </w:rPr>
              <w:t>PAGOS_MINIMOS_CONSECUTIVOS</w:t>
            </w:r>
          </w:p>
        </w:tc>
        <w:tc>
          <w:tcPr>
            <w:tcW w:w="1200" w:type="dxa"/>
          </w:tcPr>
          <w:p w14:paraId="41CAC094" w14:textId="77777777" w:rsidR="004C45CB" w:rsidRDefault="00000000">
            <w:pPr>
              <w:pStyle w:val="TablaTexto"/>
            </w:pPr>
            <w:r>
              <w:t>Entero (</w:t>
            </w:r>
            <w:r>
              <w:rPr>
                <w:rStyle w:val="VerbatimChar"/>
                <w:color w:val="7A2E0E"/>
                <w:sz w:val="15"/>
              </w:rPr>
              <w:t>int</w:t>
            </w:r>
            <w:r>
              <w:t>)</w:t>
            </w:r>
          </w:p>
        </w:tc>
        <w:tc>
          <w:tcPr>
            <w:tcW w:w="1450" w:type="dxa"/>
          </w:tcPr>
          <w:p w14:paraId="1A4AB83F" w14:textId="77777777" w:rsidR="004C45CB" w:rsidRDefault="00000000">
            <w:pPr>
              <w:pStyle w:val="TablaTexto"/>
            </w:pPr>
            <w:r>
              <w:t>0 – 12 meses</w:t>
            </w:r>
          </w:p>
        </w:tc>
        <w:tc>
          <w:tcPr>
            <w:tcW w:w="2200" w:type="dxa"/>
          </w:tcPr>
          <w:p w14:paraId="3F8B117E" w14:textId="77777777" w:rsidR="004C45CB" w:rsidRDefault="00000000">
            <w:pPr>
              <w:pStyle w:val="TablaTexto"/>
            </w:pPr>
            <w:r>
              <w:t>Número consecutivo de meses en los que el cliente sólo amortizó el pago mínimo.</w:t>
            </w:r>
          </w:p>
        </w:tc>
        <w:tc>
          <w:tcPr>
            <w:tcW w:w="1910" w:type="dxa"/>
          </w:tcPr>
          <w:p w14:paraId="552AE8FC" w14:textId="77777777" w:rsidR="004C45CB" w:rsidRDefault="00000000">
            <w:pPr>
              <w:pStyle w:val="TablaTexto"/>
            </w:pPr>
            <w:r>
              <w:t>Indicador de deterioro en la liquidez; alto predictor de insolvencia a largo plazo.</w:t>
            </w:r>
          </w:p>
        </w:tc>
      </w:tr>
      <w:tr w:rsidR="004C45CB" w14:paraId="7F0C15E6" w14:textId="77777777" w:rsidTr="004C45CB">
        <w:trPr>
          <w:cantSplit/>
        </w:trPr>
        <w:tc>
          <w:tcPr>
            <w:tcW w:w="2600" w:type="dxa"/>
            <w:shd w:val="clear" w:color="auto" w:fill="F3F6FB"/>
          </w:tcPr>
          <w:p w14:paraId="27C42A99" w14:textId="77777777" w:rsidR="004C45CB" w:rsidRDefault="00000000">
            <w:pPr>
              <w:pStyle w:val="TablaTexto"/>
            </w:pPr>
            <w:r>
              <w:rPr>
                <w:rStyle w:val="VerbatimChar"/>
                <w:color w:val="7A2E0E"/>
                <w:sz w:val="15"/>
              </w:rPr>
              <w:t>NUM_SOBREGIROS_U6M</w:t>
            </w:r>
          </w:p>
        </w:tc>
        <w:tc>
          <w:tcPr>
            <w:tcW w:w="1200" w:type="dxa"/>
            <w:shd w:val="clear" w:color="auto" w:fill="F3F6FB"/>
          </w:tcPr>
          <w:p w14:paraId="2BA2FFAF" w14:textId="77777777" w:rsidR="004C45CB" w:rsidRDefault="00000000">
            <w:pPr>
              <w:pStyle w:val="TablaTexto"/>
            </w:pPr>
            <w:r>
              <w:t>Entero (</w:t>
            </w:r>
            <w:r>
              <w:rPr>
                <w:rStyle w:val="VerbatimChar"/>
                <w:color w:val="7A2E0E"/>
                <w:sz w:val="15"/>
              </w:rPr>
              <w:t>int</w:t>
            </w:r>
            <w:r>
              <w:t>)</w:t>
            </w:r>
          </w:p>
        </w:tc>
        <w:tc>
          <w:tcPr>
            <w:tcW w:w="1450" w:type="dxa"/>
            <w:shd w:val="clear" w:color="auto" w:fill="F3F6FB"/>
          </w:tcPr>
          <w:p w14:paraId="273796B8" w14:textId="77777777" w:rsidR="004C45CB" w:rsidRDefault="00000000">
            <w:pPr>
              <w:pStyle w:val="TablaTexto"/>
            </w:pPr>
            <w:r>
              <w:t>0 – 6 ocasiones</w:t>
            </w:r>
          </w:p>
        </w:tc>
        <w:tc>
          <w:tcPr>
            <w:tcW w:w="2200" w:type="dxa"/>
            <w:shd w:val="clear" w:color="auto" w:fill="F3F6FB"/>
          </w:tcPr>
          <w:p w14:paraId="1A9DE8E3" w14:textId="77777777" w:rsidR="004C45CB" w:rsidRDefault="00000000">
            <w:pPr>
              <w:pStyle w:val="TablaTexto"/>
            </w:pPr>
            <w:r>
              <w:t>Frecuencia de incidentes donde el saldo deudor rebasó la línea autorizada en el último semestre.</w:t>
            </w:r>
          </w:p>
        </w:tc>
        <w:tc>
          <w:tcPr>
            <w:tcW w:w="1910" w:type="dxa"/>
            <w:shd w:val="clear" w:color="auto" w:fill="F3F6FB"/>
          </w:tcPr>
          <w:p w14:paraId="36FC105A" w14:textId="77777777" w:rsidR="004C45CB" w:rsidRDefault="00000000">
            <w:pPr>
              <w:pStyle w:val="TablaTexto"/>
            </w:pPr>
            <w:r>
              <w:t>Señal de falta de control presupuestal o comportamiento riesgoso del acreditado.</w:t>
            </w:r>
          </w:p>
        </w:tc>
      </w:tr>
      <w:tr w:rsidR="004C45CB" w14:paraId="68807955" w14:textId="77777777" w:rsidTr="004C45CB">
        <w:trPr>
          <w:cantSplit/>
        </w:trPr>
        <w:tc>
          <w:tcPr>
            <w:tcW w:w="2600" w:type="dxa"/>
          </w:tcPr>
          <w:p w14:paraId="0DB10428" w14:textId="77777777" w:rsidR="004C45CB" w:rsidRDefault="00000000">
            <w:pPr>
              <w:pStyle w:val="TablaTexto"/>
            </w:pPr>
            <w:r>
              <w:rPr>
                <w:rStyle w:val="VerbatimChar"/>
                <w:color w:val="7A2E0E"/>
                <w:sz w:val="15"/>
              </w:rPr>
              <w:t>SCORE_COMPORTAMENTAL</w:t>
            </w:r>
          </w:p>
        </w:tc>
        <w:tc>
          <w:tcPr>
            <w:tcW w:w="1200" w:type="dxa"/>
          </w:tcPr>
          <w:p w14:paraId="5AF91FB6" w14:textId="77777777" w:rsidR="004C45CB" w:rsidRDefault="00000000">
            <w:pPr>
              <w:pStyle w:val="TablaTexto"/>
            </w:pPr>
            <w:r>
              <w:t>Entero (</w:t>
            </w:r>
            <w:r>
              <w:rPr>
                <w:rStyle w:val="VerbatimChar"/>
                <w:color w:val="7A2E0E"/>
                <w:sz w:val="15"/>
              </w:rPr>
              <w:t>int</w:t>
            </w:r>
            <w:r>
              <w:t>)</w:t>
            </w:r>
          </w:p>
        </w:tc>
        <w:tc>
          <w:tcPr>
            <w:tcW w:w="1450" w:type="dxa"/>
          </w:tcPr>
          <w:p w14:paraId="22427744" w14:textId="77777777" w:rsidR="004C45CB" w:rsidRDefault="00000000">
            <w:pPr>
              <w:pStyle w:val="TablaTexto"/>
            </w:pPr>
            <w:r>
              <w:t>300 – 850 puntos</w:t>
            </w:r>
          </w:p>
        </w:tc>
        <w:tc>
          <w:tcPr>
            <w:tcW w:w="2200" w:type="dxa"/>
          </w:tcPr>
          <w:p w14:paraId="6AE61FA0" w14:textId="77777777" w:rsidR="004C45CB" w:rsidRDefault="00000000">
            <w:pPr>
              <w:pStyle w:val="TablaTexto"/>
            </w:pPr>
            <w:r>
              <w:t>Calificación estadística interna de propensión de pago (</w:t>
            </w:r>
            <w:r>
              <w:rPr>
                <w:i/>
                <w:iCs/>
              </w:rPr>
              <w:t>Behavioral Score</w:t>
            </w:r>
            <w:r>
              <w:t>).</w:t>
            </w:r>
          </w:p>
        </w:tc>
        <w:tc>
          <w:tcPr>
            <w:tcW w:w="1910" w:type="dxa"/>
          </w:tcPr>
          <w:p w14:paraId="1958389C" w14:textId="77777777" w:rsidR="004C45CB" w:rsidRDefault="00000000">
            <w:pPr>
              <w:pStyle w:val="TablaTexto"/>
            </w:pPr>
            <w:r>
              <w:t>Ponderador cuantitativo del riesgo relativo; define la segmentación en matrices de corte.</w:t>
            </w:r>
          </w:p>
        </w:tc>
      </w:tr>
      <w:tr w:rsidR="004C45CB" w14:paraId="4E3E9324" w14:textId="77777777" w:rsidTr="004C45CB">
        <w:trPr>
          <w:cantSplit/>
        </w:trPr>
        <w:tc>
          <w:tcPr>
            <w:tcW w:w="2600" w:type="dxa"/>
            <w:shd w:val="clear" w:color="auto" w:fill="F3F6FB"/>
          </w:tcPr>
          <w:p w14:paraId="23BBA8B8" w14:textId="77777777" w:rsidR="004C45CB" w:rsidRDefault="00000000">
            <w:pPr>
              <w:pStyle w:val="TablaTexto"/>
            </w:pPr>
            <w:r>
              <w:rPr>
                <w:rStyle w:val="VerbatimChar"/>
                <w:color w:val="7A2E0E"/>
                <w:sz w:val="15"/>
              </w:rPr>
              <w:lastRenderedPageBreak/>
              <w:t>ANTIGUEDAD_CUENTA_MESES</w:t>
            </w:r>
          </w:p>
        </w:tc>
        <w:tc>
          <w:tcPr>
            <w:tcW w:w="1200" w:type="dxa"/>
            <w:shd w:val="clear" w:color="auto" w:fill="F3F6FB"/>
          </w:tcPr>
          <w:p w14:paraId="71445177" w14:textId="77777777" w:rsidR="004C45CB" w:rsidRDefault="00000000">
            <w:pPr>
              <w:pStyle w:val="TablaTexto"/>
            </w:pPr>
            <w:r>
              <w:t>Entero (</w:t>
            </w:r>
            <w:r>
              <w:rPr>
                <w:rStyle w:val="VerbatimChar"/>
                <w:color w:val="7A2E0E"/>
                <w:sz w:val="15"/>
              </w:rPr>
              <w:t>int</w:t>
            </w:r>
            <w:r>
              <w:t>)</w:t>
            </w:r>
          </w:p>
        </w:tc>
        <w:tc>
          <w:tcPr>
            <w:tcW w:w="1450" w:type="dxa"/>
            <w:shd w:val="clear" w:color="auto" w:fill="F3F6FB"/>
          </w:tcPr>
          <w:p w14:paraId="64F62C07" w14:textId="77777777" w:rsidR="004C45CB" w:rsidRDefault="00000000">
            <w:pPr>
              <w:pStyle w:val="TablaTexto"/>
            </w:pPr>
            <m:oMath>
              <m:r>
                <m:rPr>
                  <m:sty m:val="p"/>
                </m:rPr>
                <w:rPr>
                  <w:rFonts w:ascii="Cambria Math" w:hAnsi="Cambria Math"/>
                </w:rPr>
                <m:t>≥</m:t>
              </m:r>
              <m:r>
                <w:rPr>
                  <w:rFonts w:ascii="Cambria Math" w:hAnsi="Cambria Math"/>
                </w:rPr>
                <m:t>1</m:t>
              </m:r>
            </m:oMath>
            <w:r>
              <w:t xml:space="preserve"> mes</w:t>
            </w:r>
          </w:p>
        </w:tc>
        <w:tc>
          <w:tcPr>
            <w:tcW w:w="2200" w:type="dxa"/>
            <w:shd w:val="clear" w:color="auto" w:fill="F3F6FB"/>
          </w:tcPr>
          <w:p w14:paraId="5303F4AA" w14:textId="77777777" w:rsidR="004C45CB" w:rsidRDefault="00000000">
            <w:pPr>
              <w:pStyle w:val="TablaTexto"/>
            </w:pPr>
            <w:r>
              <w:t>Tiempo transcurrido desde la firma y activación del contrato crediticio.</w:t>
            </w:r>
          </w:p>
        </w:tc>
        <w:tc>
          <w:tcPr>
            <w:tcW w:w="1910" w:type="dxa"/>
            <w:shd w:val="clear" w:color="auto" w:fill="F3F6FB"/>
          </w:tcPr>
          <w:p w14:paraId="59CDFBB7" w14:textId="77777777" w:rsidR="004C45CB" w:rsidRDefault="00000000">
            <w:pPr>
              <w:pStyle w:val="TablaTexto"/>
            </w:pPr>
            <w:r>
              <w:t>Factor de madurez de cartera; los clientes nuevos (&lt; 6 meses) tienen reglas de contención más rígidas.</w:t>
            </w:r>
          </w:p>
        </w:tc>
      </w:tr>
      <w:tr w:rsidR="004C45CB" w14:paraId="11A8AEA9" w14:textId="77777777" w:rsidTr="004C45CB">
        <w:trPr>
          <w:cantSplit/>
        </w:trPr>
        <w:tc>
          <w:tcPr>
            <w:tcW w:w="2600" w:type="dxa"/>
          </w:tcPr>
          <w:p w14:paraId="519FA8FD" w14:textId="77777777" w:rsidR="004C45CB" w:rsidRDefault="00000000">
            <w:pPr>
              <w:pStyle w:val="TablaTexto"/>
            </w:pPr>
            <w:r>
              <w:rPr>
                <w:rStyle w:val="VerbatimChar"/>
                <w:color w:val="7A2E0E"/>
                <w:sz w:val="15"/>
              </w:rPr>
              <w:t>FLAG_REESTRUCTURA_PREVIA</w:t>
            </w:r>
          </w:p>
        </w:tc>
        <w:tc>
          <w:tcPr>
            <w:tcW w:w="1200" w:type="dxa"/>
          </w:tcPr>
          <w:p w14:paraId="7522D4BD" w14:textId="77777777" w:rsidR="004C45CB" w:rsidRDefault="00000000">
            <w:pPr>
              <w:pStyle w:val="TablaTexto"/>
            </w:pPr>
            <w:r>
              <w:t>Booleano / Entero (</w:t>
            </w:r>
            <w:r>
              <w:rPr>
                <w:rStyle w:val="VerbatimChar"/>
                <w:color w:val="7A2E0E"/>
                <w:sz w:val="15"/>
              </w:rPr>
              <w:t>int</w:t>
            </w:r>
            <w:r>
              <w:t>)</w:t>
            </w:r>
          </w:p>
        </w:tc>
        <w:tc>
          <w:tcPr>
            <w:tcW w:w="1450" w:type="dxa"/>
          </w:tcPr>
          <w:p w14:paraId="544846E7" w14:textId="77777777" w:rsidR="004C45CB" w:rsidRDefault="00000000">
            <w:pPr>
              <w:pStyle w:val="TablaTexto"/>
            </w:pPr>
            <w:r>
              <w:t>0 = No, 1 = Sí</w:t>
            </w:r>
          </w:p>
        </w:tc>
        <w:tc>
          <w:tcPr>
            <w:tcW w:w="2200" w:type="dxa"/>
          </w:tcPr>
          <w:p w14:paraId="73D4E9A7" w14:textId="77777777" w:rsidR="004C45CB" w:rsidRDefault="00000000">
            <w:pPr>
              <w:pStyle w:val="TablaTexto"/>
            </w:pPr>
            <w:r>
              <w:t>Bandera que indica si el crédito ha atravesado un plan de reestructura o condonación.</w:t>
            </w:r>
          </w:p>
        </w:tc>
        <w:tc>
          <w:tcPr>
            <w:tcW w:w="1910" w:type="dxa"/>
          </w:tcPr>
          <w:p w14:paraId="4A148E6C" w14:textId="77777777" w:rsidR="004C45CB" w:rsidRDefault="00000000">
            <w:pPr>
              <w:pStyle w:val="TablaTexto"/>
            </w:pPr>
            <w:r>
              <w:t>Criterio de exclusión automática para aumentos de cupo y políticas preventivas especiales.</w:t>
            </w:r>
          </w:p>
        </w:tc>
      </w:tr>
    </w:tbl>
    <w:p w14:paraId="0F4152AD" w14:textId="77777777" w:rsidR="004C45CB" w:rsidRDefault="00000000">
      <w:pPr>
        <w:pStyle w:val="Ttulo1"/>
      </w:pPr>
      <w:bookmarkStart w:id="16" w:name="_Toc910008"/>
      <w:bookmarkStart w:id="17" w:name="X374727cae1973e647c4f2598fef3e3d70547113"/>
      <w:bookmarkEnd w:id="15"/>
      <w:r>
        <w:t>4. Definición de Reglas de Negocio (El Corazón del Motor)</w:t>
      </w:r>
      <w:bookmarkEnd w:id="16"/>
    </w:p>
    <w:p w14:paraId="580D830C" w14:textId="77777777" w:rsidR="004C45CB" w:rsidRDefault="00000000">
      <w:pPr>
        <w:pStyle w:val="FirstParagraph"/>
      </w:pPr>
      <w:r>
        <w:t xml:space="preserve">El motor operará bajo un esquema de </w:t>
      </w:r>
      <w:r>
        <w:rPr>
          <w:b/>
          <w:bCs/>
        </w:rPr>
        <w:t>prelación estricta y árboles de decisión jerárquicos</w:t>
      </w:r>
      <w:r>
        <w:t>. En la ingeniería de riesgos crediticios, el orden de evaluación es fundamental: las reglas de contención de pérdidas severas (</w:t>
      </w:r>
      <w:r>
        <w:rPr>
          <w:i/>
          <w:iCs/>
        </w:rPr>
        <w:t>Knock-out Rules</w:t>
      </w:r>
      <w:r>
        <w:t>) se evalúan prioritariamente antes de considerar acciones de expansión comercial o de mantenimiento.</w:t>
      </w:r>
    </w:p>
    <w:p w14:paraId="19695926" w14:textId="77777777" w:rsidR="004C45CB" w:rsidRDefault="00000000">
      <w:pPr>
        <w:pStyle w:val="SourceCode"/>
      </w:pPr>
      <w:r>
        <w:rPr>
          <w:rStyle w:val="VerbatimChar"/>
        </w:rPr>
        <w:t xml:space="preserve">                      Jerarquía de Evaluación del Motor</w:t>
      </w:r>
      <w:r>
        <w:br/>
      </w:r>
      <w:r>
        <w:rPr>
          <w:rStyle w:val="VerbatimChar"/>
        </w:rPr>
        <w:t xml:space="preserve">                                      </w:t>
      </w:r>
      <w:r>
        <w:br/>
      </w:r>
      <w:r>
        <w:rPr>
          <w:rStyle w:val="VerbatimChar"/>
        </w:rPr>
        <w:t xml:space="preserve">                         [ Ingesta de Cuenta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1. POLÍTICA KNOCK-OUT / SEVERA      │ ──&gt; [ CANCELACIÓN / COBRANZA ]</w:t>
      </w:r>
      <w:r>
        <w:br/>
      </w:r>
      <w:r>
        <w:rPr>
          <w:rStyle w:val="VerbatimChar"/>
        </w:rPr>
        <w:t xml:space="preserve">                │    (Mora &gt;= 90d o Reestructura)     │</w:t>
      </w:r>
      <w:r>
        <w:br/>
      </w:r>
      <w:r>
        <w:rPr>
          <w:rStyle w:val="VerbatimChar"/>
        </w:rPr>
        <w:t xml:space="preserve">                └─────────────────────────────────────┘</w:t>
      </w:r>
      <w:r>
        <w:br/>
      </w:r>
      <w:r>
        <w:rPr>
          <w:rStyle w:val="VerbatimChar"/>
        </w:rPr>
        <w:t xml:space="preserve">                                   │ (Pasa)</w:t>
      </w:r>
      <w:r>
        <w:br/>
      </w:r>
      <w:r>
        <w:rPr>
          <w:rStyle w:val="VerbatimChar"/>
        </w:rPr>
        <w:t xml:space="preserve">                                   ▼</w:t>
      </w:r>
      <w:r>
        <w:br/>
      </w:r>
      <w:r>
        <w:rPr>
          <w:rStyle w:val="VerbatimChar"/>
        </w:rPr>
        <w:t xml:space="preserve">                ┌─────────────────────────────────────┐</w:t>
      </w:r>
      <w:r>
        <w:br/>
      </w:r>
      <w:r>
        <w:rPr>
          <w:rStyle w:val="VerbatimChar"/>
        </w:rPr>
        <w:t xml:space="preserve">                │ 2. POLÍTICA DE CONTENCIÓN URGENTE   │ ──&gt; [ BLOQUEO TEMPORAL ]</w:t>
      </w:r>
      <w:r>
        <w:br/>
      </w:r>
      <w:r>
        <w:rPr>
          <w:rStyle w:val="VerbatimChar"/>
        </w:rPr>
        <w:t xml:space="preserve">                │    (Deterioro Acelerado M1&gt;M2 o Uso)│</w:t>
      </w:r>
      <w:r>
        <w:br/>
      </w:r>
      <w:r>
        <w:rPr>
          <w:rStyle w:val="VerbatimChar"/>
        </w:rPr>
        <w:t xml:space="preserve">                └─────────────────────────────────────┘</w:t>
      </w:r>
      <w:r>
        <w:br/>
      </w:r>
      <w:r>
        <w:rPr>
          <w:rStyle w:val="VerbatimChar"/>
        </w:rPr>
        <w:t xml:space="preserve">                                   │ (Pasa)</w:t>
      </w:r>
      <w:r>
        <w:br/>
      </w:r>
      <w:r>
        <w:rPr>
          <w:rStyle w:val="VerbatimChar"/>
        </w:rPr>
        <w:t xml:space="preserve">                                   ▼</w:t>
      </w:r>
      <w:r>
        <w:br/>
      </w:r>
      <w:r>
        <w:rPr>
          <w:rStyle w:val="VerbatimChar"/>
        </w:rPr>
        <w:t xml:space="preserve">                ┌─────────────────────────────────────┐</w:t>
      </w:r>
      <w:r>
        <w:br/>
      </w:r>
      <w:r>
        <w:rPr>
          <w:rStyle w:val="VerbatimChar"/>
        </w:rPr>
        <w:t xml:space="preserve">                │ 3. POLÍTICA DE MITIGACIÓN PREVENTIVA│ ──&gt; [ REDUCCIÓN DE LÍNEA ]</w:t>
      </w:r>
      <w:r>
        <w:br/>
      </w:r>
      <w:r>
        <w:rPr>
          <w:rStyle w:val="VerbatimChar"/>
        </w:rPr>
        <w:t xml:space="preserve">                │    (Score bajo + Mínimos + Uso alto)│</w:t>
      </w:r>
      <w:r>
        <w:br/>
      </w:r>
      <w:r>
        <w:rPr>
          <w:rStyle w:val="VerbatimChar"/>
        </w:rPr>
        <w:t xml:space="preserve">                └─────────────────────────────────────┘</w:t>
      </w:r>
      <w:r>
        <w:br/>
      </w:r>
      <w:r>
        <w:rPr>
          <w:rStyle w:val="VerbatimChar"/>
        </w:rPr>
        <w:t xml:space="preserve">                                   │ (Pasa)</w:t>
      </w:r>
      <w:r>
        <w:br/>
      </w:r>
      <w:r>
        <w:rPr>
          <w:rStyle w:val="VerbatimChar"/>
        </w:rPr>
        <w:t xml:space="preserve">                                   ▼</w:t>
      </w:r>
      <w:r>
        <w:br/>
      </w:r>
      <w:r>
        <w:rPr>
          <w:rStyle w:val="VerbatimChar"/>
        </w:rPr>
        <w:t xml:space="preserve">                ┌─────────────────────────────────────┐</w:t>
      </w:r>
      <w:r>
        <w:br/>
      </w:r>
      <w:r>
        <w:rPr>
          <w:rStyle w:val="VerbatimChar"/>
        </w:rPr>
        <w:t xml:space="preserve">                │ 4. POLÍTICA DE EXPANSIÓN PROACTIVA  │ ──&gt; [ INCREMENTO DE LÍNEA ]</w:t>
      </w:r>
      <w:r>
        <w:br/>
      </w:r>
      <w:r>
        <w:rPr>
          <w:rStyle w:val="VerbatimChar"/>
        </w:rPr>
        <w:t xml:space="preserve">                │    (Score Excelente + 0 Mora + Uso) │</w:t>
      </w:r>
      <w:r>
        <w:br/>
      </w:r>
      <w:r>
        <w:rPr>
          <w:rStyle w:val="VerbatimChar"/>
        </w:rPr>
        <w:t xml:space="preserve">                └─────────────────────────────────────┘</w:t>
      </w:r>
      <w:r>
        <w:br/>
      </w:r>
      <w:r>
        <w:rPr>
          <w:rStyle w:val="VerbatimChar"/>
        </w:rPr>
        <w:t xml:space="preserve">                                   │ (No califica)</w:t>
      </w:r>
      <w:r>
        <w:br/>
      </w:r>
      <w:r>
        <w:rPr>
          <w:rStyle w:val="VerbatimChar"/>
        </w:rPr>
        <w:t xml:space="preserve">                                   ▼</w:t>
      </w:r>
      <w:r>
        <w:br/>
      </w:r>
      <w:r>
        <w:rPr>
          <w:rStyle w:val="VerbatimChar"/>
        </w:rPr>
        <w:t xml:space="preserve">                         [ MANTENER CONDICIONES ]</w:t>
      </w:r>
    </w:p>
    <w:p w14:paraId="798DCEF5" w14:textId="77777777" w:rsidR="004C45CB" w:rsidRDefault="00000000">
      <w:pPr>
        <w:pStyle w:val="FirstParagraph"/>
        <w:keepNext/>
      </w:pPr>
      <w:r>
        <w:lastRenderedPageBreak/>
        <w:t>A continuación se formalizan matemáticamente las 4 políticas primordiales:</w:t>
      </w:r>
    </w:p>
    <w:p w14:paraId="50498A22" w14:textId="77777777" w:rsidR="004C45CB" w:rsidRDefault="00000000">
      <w:pPr>
        <w:pStyle w:val="Ttulo2"/>
      </w:pPr>
      <w:bookmarkStart w:id="18" w:name="_Toc910009"/>
      <w:bookmarkStart w:id="19" w:name="Xa8d9ab3e499fa1f1da27e06429d2a55960e210e"/>
      <w:r>
        <w:t>Regla 1: Política Knock-Out de Riesgo Severo (Cancelación de Línea y Envío a Cobranza)</w:t>
      </w:r>
      <w:bookmarkEnd w:id="18"/>
    </w:p>
    <w:p w14:paraId="30452161" w14:textId="77777777" w:rsidR="004C45CB" w:rsidRDefault="00000000">
      <w:pPr>
        <w:pStyle w:val="Compact"/>
        <w:numPr>
          <w:ilvl w:val="0"/>
          <w:numId w:val="16"/>
        </w:numPr>
      </w:pPr>
      <w:r>
        <w:rPr>
          <w:b/>
          <w:bCs/>
        </w:rPr>
        <w:t>Objetivo de Riesgo:</w:t>
      </w:r>
      <w:r>
        <w:t xml:space="preserve"> Cortar la línea de crédito de forma definitiva en cuentas que han traspasado el umbral contable de cartera vencida no amortizable (90 días de mora o </w:t>
      </w:r>
      <w:r>
        <w:rPr>
          <w:i/>
          <w:iCs/>
        </w:rPr>
        <w:t>Default</w:t>
      </w:r>
      <w:r>
        <w:t xml:space="preserve"> formal según IFRS 9 / Basilea) o que presentan reestructuras previas con mora activa.</w:t>
      </w:r>
    </w:p>
    <w:p w14:paraId="671E56B6" w14:textId="77777777" w:rsidR="004C45CB" w:rsidRDefault="00000000">
      <w:pPr>
        <w:pStyle w:val="Compact"/>
        <w:numPr>
          <w:ilvl w:val="0"/>
          <w:numId w:val="16"/>
        </w:numPr>
      </w:pPr>
      <w:r>
        <w:rPr>
          <w:b/>
          <w:bCs/>
        </w:rPr>
        <w:t>Lógica de Decisión:</w:t>
      </w:r>
    </w:p>
    <w:p w14:paraId="11F1611B" w14:textId="77777777" w:rsidR="004C45CB" w:rsidRDefault="00000000">
      <w:pPr>
        <w:pStyle w:val="Compact"/>
      </w:pPr>
      <m:oMathPara>
        <m:oMathParaPr>
          <m:jc m:val="center"/>
        </m:oMathParaPr>
        <m:oMath>
          <m:r>
            <m:rPr>
              <m:nor/>
            </m:rPr>
            <m:t xml:space="preserve">SI </m:t>
          </m:r>
          <m:d>
            <m:dPr>
              <m:ctrlPr>
                <w:rPr>
                  <w:rFonts w:ascii="Cambria Math" w:hAnsi="Cambria Math"/>
                </w:rPr>
              </m:ctrlPr>
            </m:dPr>
            <m:e>
              <m:r>
                <m:rPr>
                  <m:nor/>
                </m:rPr>
                <m:t>DIAS_ATRASO_M1</m:t>
              </m:r>
              <m:r>
                <m:rPr>
                  <m:sty m:val="p"/>
                </m:rPr>
                <w:rPr>
                  <w:rFonts w:ascii="Cambria Math" w:hAnsi="Cambria Math"/>
                </w:rPr>
                <m:t>≥</m:t>
              </m:r>
              <m:r>
                <w:rPr>
                  <w:rFonts w:ascii="Cambria Math" w:hAnsi="Cambria Math"/>
                </w:rPr>
                <m:t>90</m:t>
              </m:r>
            </m:e>
          </m:d>
          <m:r>
            <m:rPr>
              <m:sty m:val="p"/>
            </m:rPr>
            <w:rPr>
              <w:rFonts w:ascii="Cambria Math" w:hAnsi="Cambria Math"/>
            </w:rPr>
            <m:t>∨</m:t>
          </m:r>
          <m:d>
            <m:dPr>
              <m:ctrlPr>
                <w:rPr>
                  <w:rFonts w:ascii="Cambria Math" w:hAnsi="Cambria Math"/>
                </w:rPr>
              </m:ctrlPr>
            </m:dPr>
            <m:e>
              <m:r>
                <m:rPr>
                  <m:nor/>
                </m:rPr>
                <m:t>FLAG_REESTRUCTURA_PREVIA</m:t>
              </m:r>
              <m:r>
                <m:rPr>
                  <m:sty m:val="p"/>
                </m:rPr>
                <w:rPr>
                  <w:rFonts w:ascii="Cambria Math" w:hAnsi="Cambria Math"/>
                </w:rPr>
                <m:t>=</m:t>
              </m:r>
              <m:r>
                <w:rPr>
                  <w:rFonts w:ascii="Cambria Math" w:hAnsi="Cambria Math"/>
                </w:rPr>
                <m:t>1</m:t>
              </m:r>
              <m:r>
                <m:rPr>
                  <m:sty m:val="p"/>
                </m:rPr>
                <w:rPr>
                  <w:rFonts w:ascii="Cambria Math" w:hAnsi="Cambria Math"/>
                </w:rPr>
                <m:t>∧</m:t>
              </m:r>
              <m:r>
                <m:rPr>
                  <m:nor/>
                </m:rPr>
                <m:t>DIAS_ATRASO_M1</m:t>
              </m:r>
              <m:r>
                <m:rPr>
                  <m:sty m:val="p"/>
                </m:rPr>
                <w:rPr>
                  <w:rFonts w:ascii="Cambria Math" w:hAnsi="Cambria Math"/>
                </w:rPr>
                <m:t>≥</m:t>
              </m:r>
              <m:r>
                <w:rPr>
                  <w:rFonts w:ascii="Cambria Math" w:hAnsi="Cambria Math"/>
                </w:rPr>
                <m:t>30</m:t>
              </m:r>
            </m:e>
          </m:d>
        </m:oMath>
      </m:oMathPara>
    </w:p>
    <w:p w14:paraId="74270C3E" w14:textId="77777777" w:rsidR="004C45CB" w:rsidRDefault="00000000">
      <w:pPr>
        <w:pStyle w:val="Compact"/>
        <w:numPr>
          <w:ilvl w:val="0"/>
          <w:numId w:val="16"/>
        </w:numPr>
      </w:pPr>
      <w:r>
        <w:rPr>
          <w:b/>
          <w:bCs/>
        </w:rPr>
        <w:t>Acción Emitida:</w:t>
      </w:r>
      <w:r>
        <w:t xml:space="preserve"> </w:t>
      </w:r>
      <w:r>
        <w:rPr>
          <w:rStyle w:val="VerbatimChar"/>
          <w:color w:val="7A2E0E"/>
          <w:sz w:val="20"/>
        </w:rPr>
        <w:t>CANCELAR_LINEA_Y_ENVIO_COBRANZA</w:t>
      </w:r>
    </w:p>
    <w:p w14:paraId="190D92A6" w14:textId="77777777" w:rsidR="004C45CB" w:rsidRDefault="00000000">
      <w:pPr>
        <w:pStyle w:val="Compact"/>
        <w:numPr>
          <w:ilvl w:val="0"/>
          <w:numId w:val="16"/>
        </w:numPr>
      </w:pPr>
      <w:r>
        <w:rPr>
          <w:b/>
          <w:bCs/>
        </w:rPr>
        <w:t>Parámetros de Salida:</w:t>
      </w:r>
    </w:p>
    <w:p w14:paraId="38BFA1FA" w14:textId="77777777" w:rsidR="004C45CB" w:rsidRDefault="00000000">
      <w:pPr>
        <w:pStyle w:val="Compact"/>
        <w:numPr>
          <w:ilvl w:val="1"/>
          <w:numId w:val="17"/>
        </w:numPr>
      </w:pPr>
      <w:r>
        <w:rPr>
          <w:rStyle w:val="VerbatimChar"/>
          <w:color w:val="7A2E0E"/>
          <w:sz w:val="20"/>
        </w:rPr>
        <w:t>Nuevo_Limite</w:t>
      </w:r>
      <w:r>
        <w:t xml:space="preserve"> = $0.00</w:t>
      </w:r>
    </w:p>
    <w:p w14:paraId="2AB5CC16" w14:textId="77777777" w:rsidR="004C45CB" w:rsidRDefault="00000000">
      <w:pPr>
        <w:pStyle w:val="Compact"/>
        <w:numPr>
          <w:ilvl w:val="1"/>
          <w:numId w:val="17"/>
        </w:numPr>
      </w:pPr>
      <w:r>
        <w:rPr>
          <w:rStyle w:val="VerbatimChar"/>
          <w:color w:val="7A2E0E"/>
          <w:sz w:val="20"/>
        </w:rPr>
        <w:t>Estatus_Tarjeta</w:t>
      </w:r>
      <w:r>
        <w:t xml:space="preserve"> = </w:t>
      </w:r>
      <w:r>
        <w:rPr>
          <w:rStyle w:val="VerbatimChar"/>
          <w:color w:val="7A2E0E"/>
          <w:sz w:val="20"/>
        </w:rPr>
        <w:t>CANCELADA_POR_RIESGO</w:t>
      </w:r>
    </w:p>
    <w:p w14:paraId="1B6340C9" w14:textId="77777777" w:rsidR="004C45CB" w:rsidRDefault="00000000">
      <w:pPr>
        <w:pStyle w:val="Compact"/>
        <w:numPr>
          <w:ilvl w:val="1"/>
          <w:numId w:val="17"/>
        </w:numPr>
      </w:pPr>
      <w:r>
        <w:rPr>
          <w:rStyle w:val="VerbatimChar"/>
          <w:color w:val="7A2E0E"/>
          <w:sz w:val="20"/>
        </w:rPr>
        <w:t>Codigo_Razon</w:t>
      </w:r>
      <w:r>
        <w:t xml:space="preserve"> = </w:t>
      </w:r>
      <w:r>
        <w:rPr>
          <w:rStyle w:val="VerbatimChar"/>
          <w:color w:val="7A2E0E"/>
          <w:sz w:val="20"/>
        </w:rPr>
        <w:t>RC_DEFAULT_SEVERO_IFRS9</w:t>
      </w:r>
    </w:p>
    <w:p w14:paraId="49B91BDC" w14:textId="77777777" w:rsidR="004C45CB" w:rsidRDefault="00000000">
      <w:pPr>
        <w:pStyle w:val="Ttulo2"/>
      </w:pPr>
      <w:bookmarkStart w:id="20" w:name="_Toc910010"/>
      <w:bookmarkStart w:id="21" w:name="X230cd225dc9f680810191fa2ae9907decb29034"/>
      <w:bookmarkEnd w:id="19"/>
      <w:r>
        <w:t>Regla 2: Política de Contención Inmediata por Deterioro Acelerado (Bloqueo Temporal)</w:t>
      </w:r>
      <w:bookmarkEnd w:id="20"/>
    </w:p>
    <w:p w14:paraId="5D6EB3A4" w14:textId="77777777" w:rsidR="004C45CB" w:rsidRDefault="00000000">
      <w:pPr>
        <w:pStyle w:val="Compact"/>
        <w:numPr>
          <w:ilvl w:val="0"/>
          <w:numId w:val="18"/>
        </w:numPr>
      </w:pPr>
      <w:r>
        <w:rPr>
          <w:b/>
          <w:bCs/>
        </w:rPr>
        <w:t>Objetivo de Riesgo:</w:t>
      </w:r>
      <w:r>
        <w:t xml:space="preserve"> Frenar el sobreendeudamiento transaccional de acreditados cuya morosidad se encuentra en fase activa de crecimiento intermensual (</w:t>
      </w:r>
      <w:r>
        <w:rPr>
          <w:i/>
          <w:iCs/>
        </w:rPr>
        <w:t>Roll-forward</w:t>
      </w:r>
      <w:r>
        <w:t xml:space="preserve"> negativo de mora) o que combinan sobregiro técnico con retraso en el pago.</w:t>
      </w:r>
    </w:p>
    <w:p w14:paraId="7AEE89EB" w14:textId="77777777" w:rsidR="004C45CB" w:rsidRDefault="00000000">
      <w:pPr>
        <w:pStyle w:val="Compact"/>
        <w:numPr>
          <w:ilvl w:val="0"/>
          <w:numId w:val="18"/>
        </w:numPr>
      </w:pPr>
      <w:r>
        <w:rPr>
          <w:b/>
          <w:bCs/>
        </w:rPr>
        <w:t>Lógica de Decisión:</w:t>
      </w:r>
    </w:p>
    <w:p w14:paraId="2C2DF96E" w14:textId="77777777" w:rsidR="004C45CB" w:rsidRDefault="00000000">
      <w:pPr>
        <w:pStyle w:val="Compact"/>
      </w:pPr>
      <m:oMathPara>
        <m:oMathParaPr>
          <m:jc m:val="center"/>
        </m:oMathParaPr>
        <m:oMath>
          <m:r>
            <m:rPr>
              <m:nor/>
            </m:rPr>
            <m:t xml:space="preserve">SI </m:t>
          </m:r>
          <m:d>
            <m:dPr>
              <m:ctrlPr>
                <w:rPr>
                  <w:rFonts w:ascii="Cambria Math" w:hAnsi="Cambria Math"/>
                </w:rPr>
              </m:ctrlPr>
            </m:dPr>
            <m:e>
              <m:r>
                <m:rPr>
                  <m:nor/>
                </m:rPr>
                <m:t>DIAS_ATRASO_M1</m:t>
              </m:r>
              <m:r>
                <m:rPr>
                  <m:sty m:val="p"/>
                </m:rPr>
                <w:rPr>
                  <w:rFonts w:ascii="Cambria Math" w:hAnsi="Cambria Math"/>
                </w:rPr>
                <m:t>≥</m:t>
              </m:r>
              <m:r>
                <w:rPr>
                  <w:rFonts w:ascii="Cambria Math" w:hAnsi="Cambria Math"/>
                </w:rPr>
                <m:t>30</m:t>
              </m:r>
              <m:r>
                <m:rPr>
                  <m:sty m:val="p"/>
                </m:rPr>
                <w:rPr>
                  <w:rFonts w:ascii="Cambria Math" w:hAnsi="Cambria Math"/>
                </w:rPr>
                <m:t>∧</m:t>
              </m:r>
              <m:r>
                <m:rPr>
                  <m:nor/>
                </m:rPr>
                <m:t>DIAS_ATRASO_M1</m:t>
              </m:r>
              <m:r>
                <m:rPr>
                  <m:sty m:val="p"/>
                </m:rPr>
                <w:rPr>
                  <w:rFonts w:ascii="Cambria Math" w:hAnsi="Cambria Math"/>
                </w:rPr>
                <m:t>&gt;</m:t>
              </m:r>
              <m:r>
                <m:rPr>
                  <m:nor/>
                </m:rPr>
                <m:t>DIAS_ATRASO_M2</m:t>
              </m:r>
            </m:e>
          </m:d>
          <m:r>
            <m:rPr>
              <m:sty m:val="p"/>
            </m:rPr>
            <w:rPr>
              <w:rFonts w:ascii="Cambria Math" w:hAnsi="Cambria Math"/>
            </w:rPr>
            <m:t>∨</m:t>
          </m:r>
          <m:d>
            <m:dPr>
              <m:ctrlPr>
                <w:rPr>
                  <w:rFonts w:ascii="Cambria Math" w:hAnsi="Cambria Math"/>
                </w:rPr>
              </m:ctrlPr>
            </m:dPr>
            <m:e>
              <m:r>
                <m:rPr>
                  <m:nor/>
                </m:rPr>
                <m:t>PORC_USO_LINEA</m:t>
              </m:r>
              <m:r>
                <m:rPr>
                  <m:sty m:val="p"/>
                </m:rPr>
                <w:rPr>
                  <w:rFonts w:ascii="Cambria Math" w:hAnsi="Cambria Math"/>
                </w:rPr>
                <m:t>≥</m:t>
              </m:r>
              <m:r>
                <w:rPr>
                  <w:rFonts w:ascii="Cambria Math" w:hAnsi="Cambria Math"/>
                </w:rPr>
                <m:t>95</m:t>
              </m:r>
              <m:r>
                <m:rPr>
                  <m:sty m:val="p"/>
                </m:rPr>
                <w:rPr>
                  <w:rFonts w:ascii="Cambria Math" w:hAnsi="Cambria Math"/>
                </w:rPr>
                <m:t>%∧</m:t>
              </m:r>
              <m:r>
                <m:rPr>
                  <m:nor/>
                </m:rPr>
                <m:t>DIAS_ATRASO_M1</m:t>
              </m:r>
              <m:r>
                <m:rPr>
                  <m:sty m:val="p"/>
                </m:rPr>
                <w:rPr>
                  <w:rFonts w:ascii="Cambria Math" w:hAnsi="Cambria Math"/>
                </w:rPr>
                <m:t>≥</m:t>
              </m:r>
              <m:r>
                <w:rPr>
                  <w:rFonts w:ascii="Cambria Math" w:hAnsi="Cambria Math"/>
                </w:rPr>
                <m:t>15</m:t>
              </m:r>
            </m:e>
          </m:d>
        </m:oMath>
      </m:oMathPara>
    </w:p>
    <w:p w14:paraId="7AC6AA94" w14:textId="77777777" w:rsidR="004C45CB" w:rsidRDefault="00000000">
      <w:pPr>
        <w:pStyle w:val="Compact"/>
        <w:numPr>
          <w:ilvl w:val="0"/>
          <w:numId w:val="18"/>
        </w:numPr>
      </w:pPr>
      <w:r>
        <w:rPr>
          <w:b/>
          <w:bCs/>
        </w:rPr>
        <w:t>Acción Emitida:</w:t>
      </w:r>
      <w:r>
        <w:t xml:space="preserve"> </w:t>
      </w:r>
      <w:r>
        <w:rPr>
          <w:rStyle w:val="VerbatimChar"/>
          <w:color w:val="7A2E0E"/>
          <w:sz w:val="20"/>
        </w:rPr>
        <w:t>BLOQUEO_TEMPORAL_LINEA</w:t>
      </w:r>
    </w:p>
    <w:p w14:paraId="328AE3C1" w14:textId="77777777" w:rsidR="004C45CB" w:rsidRDefault="00000000">
      <w:pPr>
        <w:pStyle w:val="Compact"/>
        <w:numPr>
          <w:ilvl w:val="0"/>
          <w:numId w:val="18"/>
        </w:numPr>
      </w:pPr>
      <w:r>
        <w:rPr>
          <w:b/>
          <w:bCs/>
        </w:rPr>
        <w:t>Parámetros de Salida:</w:t>
      </w:r>
    </w:p>
    <w:p w14:paraId="155043D9" w14:textId="77777777" w:rsidR="004C45CB" w:rsidRDefault="00000000">
      <w:pPr>
        <w:pStyle w:val="Compact"/>
        <w:numPr>
          <w:ilvl w:val="1"/>
          <w:numId w:val="19"/>
        </w:numPr>
      </w:pPr>
      <w:r>
        <w:rPr>
          <w:rStyle w:val="VerbatimChar"/>
          <w:color w:val="7A2E0E"/>
          <w:sz w:val="20"/>
        </w:rPr>
        <w:t>Nuevo_Limite</w:t>
      </w:r>
      <w:r>
        <w:t xml:space="preserve"> = </w:t>
      </w:r>
      <m:oMath>
        <m:r>
          <m:rPr>
            <m:nor/>
          </m:rPr>
          <m:t>LIMITE_CREDITO_ACTUAL</m:t>
        </m:r>
      </m:oMath>
      <w:r>
        <w:t xml:space="preserve"> (Sin modificación nominal)</w:t>
      </w:r>
    </w:p>
    <w:p w14:paraId="4347A26A" w14:textId="77777777" w:rsidR="004C45CB" w:rsidRDefault="00000000">
      <w:pPr>
        <w:pStyle w:val="Compact"/>
        <w:numPr>
          <w:ilvl w:val="1"/>
          <w:numId w:val="19"/>
        </w:numPr>
      </w:pPr>
      <w:r>
        <w:rPr>
          <w:rStyle w:val="VerbatimChar"/>
          <w:color w:val="7A2E0E"/>
          <w:sz w:val="20"/>
        </w:rPr>
        <w:t>Estatus_Tarjeta</w:t>
      </w:r>
      <w:r>
        <w:t xml:space="preserve"> = </w:t>
      </w:r>
      <w:r>
        <w:rPr>
          <w:rStyle w:val="VerbatimChar"/>
          <w:color w:val="7A2E0E"/>
          <w:sz w:val="20"/>
        </w:rPr>
        <w:t>SUSPENDIDA_TEMPORAL</w:t>
      </w:r>
    </w:p>
    <w:p w14:paraId="2E2E9A65" w14:textId="77777777" w:rsidR="004C45CB" w:rsidRDefault="00000000">
      <w:pPr>
        <w:pStyle w:val="Compact"/>
        <w:numPr>
          <w:ilvl w:val="1"/>
          <w:numId w:val="19"/>
        </w:numPr>
      </w:pPr>
      <w:r>
        <w:rPr>
          <w:rStyle w:val="VerbatimChar"/>
          <w:color w:val="7A2E0E"/>
          <w:sz w:val="20"/>
        </w:rPr>
        <w:t>Codigo_Razon</w:t>
      </w:r>
      <w:r>
        <w:t xml:space="preserve"> = </w:t>
      </w:r>
      <w:r>
        <w:rPr>
          <w:rStyle w:val="VerbatimChar"/>
          <w:color w:val="7A2E0E"/>
          <w:sz w:val="20"/>
        </w:rPr>
        <w:t>RC_DETERIORO_MORA_ROLLFORWARD_CRITICO</w:t>
      </w:r>
    </w:p>
    <w:p w14:paraId="4CE5DF05" w14:textId="77777777" w:rsidR="004C45CB" w:rsidRDefault="00000000">
      <w:pPr>
        <w:pStyle w:val="Ttulo2"/>
      </w:pPr>
      <w:bookmarkStart w:id="22" w:name="_Toc910011"/>
      <w:bookmarkStart w:id="23" w:name="Xcb17cdcb71e677d4d2eb7ccba16943b38fd4799"/>
      <w:bookmarkEnd w:id="21"/>
      <w:r>
        <w:t>Regla 3: Política de Mitigación Preventiva de Exposición (Reducción de Línea de Crédito)</w:t>
      </w:r>
      <w:bookmarkEnd w:id="22"/>
    </w:p>
    <w:p w14:paraId="29A9A3DA" w14:textId="77777777" w:rsidR="004C45CB" w:rsidRDefault="00000000">
      <w:pPr>
        <w:pStyle w:val="Compact"/>
        <w:numPr>
          <w:ilvl w:val="0"/>
          <w:numId w:val="20"/>
        </w:numPr>
      </w:pPr>
      <w:r>
        <w:rPr>
          <w:b/>
          <w:bCs/>
        </w:rPr>
        <w:t>Objetivo de Riesgo:</w:t>
      </w:r>
      <w:r>
        <w:t xml:space="preserve"> Minimizar el saldo en riesgo (</w:t>
      </w:r>
      <w:r>
        <w:rPr>
          <w:i/>
          <w:iCs/>
        </w:rPr>
        <w:t>Exposure at Default</w:t>
      </w:r>
      <w:r>
        <w:t xml:space="preserve"> - EAD) en cuentas que, aunque no han caído en mora severa, presentan un perfil de fatiga crediticia persistente (abuso crónico de pagos mínimos, calificación comportamental en rangos bajos y uso intensivo de la línea autorizada).</w:t>
      </w:r>
    </w:p>
    <w:p w14:paraId="6BFF9E49" w14:textId="77777777" w:rsidR="004C45CB" w:rsidRDefault="00000000">
      <w:pPr>
        <w:pStyle w:val="Compact"/>
        <w:numPr>
          <w:ilvl w:val="0"/>
          <w:numId w:val="20"/>
        </w:numPr>
      </w:pPr>
      <w:r>
        <w:rPr>
          <w:b/>
          <w:bCs/>
        </w:rPr>
        <w:t>Lógica de Decisión:</w:t>
      </w:r>
    </w:p>
    <w:p w14:paraId="48684A49" w14:textId="77777777" w:rsidR="004C45CB" w:rsidRDefault="00000000">
      <w:pPr>
        <w:pStyle w:val="Compact"/>
      </w:pPr>
      <m:oMathPara>
        <m:oMathParaPr>
          <m:jc m:val="center"/>
        </m:oMathParaPr>
        <m:oMath>
          <m:r>
            <m:rPr>
              <m:nor/>
            </m:rPr>
            <m:t xml:space="preserve">SI </m:t>
          </m:r>
          <m:d>
            <m:dPr>
              <m:ctrlPr>
                <w:rPr>
                  <w:rFonts w:ascii="Cambria Math" w:hAnsi="Cambria Math"/>
                </w:rPr>
              </m:ctrlPr>
            </m:dPr>
            <m:e>
              <m:r>
                <m:rPr>
                  <m:nor/>
                </m:rPr>
                <m:t>SCORE_COMPORTAMENTAL</m:t>
              </m:r>
              <m:r>
                <m:rPr>
                  <m:sty m:val="p"/>
                </m:rPr>
                <w:rPr>
                  <w:rFonts w:ascii="Cambria Math" w:hAnsi="Cambria Math"/>
                </w:rPr>
                <m:t>&lt;</m:t>
              </m:r>
              <m:r>
                <w:rPr>
                  <w:rFonts w:ascii="Cambria Math" w:hAnsi="Cambria Math"/>
                </w:rPr>
                <m:t>580</m:t>
              </m:r>
              <m:r>
                <m:rPr>
                  <m:sty m:val="p"/>
                </m:rPr>
                <w:rPr>
                  <w:rFonts w:ascii="Cambria Math" w:hAnsi="Cambria Math"/>
                </w:rPr>
                <m:t>∧</m:t>
              </m:r>
              <m:r>
                <m:rPr>
                  <m:nor/>
                </m:rPr>
                <m:t>PORC_USO_LINEA</m:t>
              </m:r>
              <m:r>
                <m:rPr>
                  <m:sty m:val="p"/>
                </m:rPr>
                <w:rPr>
                  <w:rFonts w:ascii="Cambria Math" w:hAnsi="Cambria Math"/>
                </w:rPr>
                <m:t>≥</m:t>
              </m:r>
              <m:r>
                <w:rPr>
                  <w:rFonts w:ascii="Cambria Math" w:hAnsi="Cambria Math"/>
                </w:rPr>
                <m:t>80</m:t>
              </m:r>
              <m:r>
                <m:rPr>
                  <m:sty m:val="p"/>
                </m:rPr>
                <w:rPr>
                  <w:rFonts w:ascii="Cambria Math" w:hAnsi="Cambria Math"/>
                </w:rPr>
                <m:t>%</m:t>
              </m:r>
            </m:e>
          </m:d>
          <m:r>
            <m:rPr>
              <m:sty m:val="p"/>
            </m:rPr>
            <w:rPr>
              <w:rFonts w:ascii="Cambria Math" w:hAnsi="Cambria Math"/>
            </w:rPr>
            <m:t>∨</m:t>
          </m:r>
          <m:d>
            <m:dPr>
              <m:ctrlPr>
                <w:rPr>
                  <w:rFonts w:ascii="Cambria Math" w:hAnsi="Cambria Math"/>
                </w:rPr>
              </m:ctrlPr>
            </m:dPr>
            <m:e>
              <m:r>
                <m:rPr>
                  <m:nor/>
                </m:rPr>
                <m:t>PAGOS_MINIMOS_CONSECUTIVOS</m:t>
              </m:r>
              <m:r>
                <m:rPr>
                  <m:sty m:val="p"/>
                </m:rPr>
                <w:rPr>
                  <w:rFonts w:ascii="Cambria Math" w:hAnsi="Cambria Math"/>
                </w:rPr>
                <m:t>≥</m:t>
              </m:r>
              <m:r>
                <w:rPr>
                  <w:rFonts w:ascii="Cambria Math" w:hAnsi="Cambria Math"/>
                </w:rPr>
                <m:t>4</m:t>
              </m:r>
              <m:r>
                <m:rPr>
                  <m:sty m:val="p"/>
                </m:rPr>
                <w:rPr>
                  <w:rFonts w:ascii="Cambria Math" w:hAnsi="Cambria Math"/>
                </w:rPr>
                <m:t>∧</m:t>
              </m:r>
              <m:r>
                <m:rPr>
                  <m:nor/>
                </m:rPr>
                <m:t>SCORE_COMPORTAMENTAL</m:t>
              </m:r>
              <m:r>
                <m:rPr>
                  <m:sty m:val="p"/>
                </m:rPr>
                <w:rPr>
                  <w:rFonts w:ascii="Cambria Math" w:hAnsi="Cambria Math"/>
                </w:rPr>
                <m:t>&lt;</m:t>
              </m:r>
              <m:r>
                <w:rPr>
                  <w:rFonts w:ascii="Cambria Math" w:hAnsi="Cambria Math"/>
                </w:rPr>
                <m:t>620</m:t>
              </m:r>
            </m:e>
          </m:d>
        </m:oMath>
      </m:oMathPara>
    </w:p>
    <w:p w14:paraId="63F69E6C" w14:textId="77777777" w:rsidR="004C45CB" w:rsidRDefault="00000000">
      <w:pPr>
        <w:pStyle w:val="Compact"/>
        <w:numPr>
          <w:ilvl w:val="0"/>
          <w:numId w:val="20"/>
        </w:numPr>
      </w:pPr>
      <w:r>
        <w:rPr>
          <w:b/>
          <w:bCs/>
        </w:rPr>
        <w:t>Acción Emitida:</w:t>
      </w:r>
      <w:r>
        <w:t xml:space="preserve"> </w:t>
      </w:r>
      <w:r>
        <w:rPr>
          <w:rStyle w:val="VerbatimChar"/>
          <w:color w:val="7A2E0E"/>
          <w:sz w:val="20"/>
        </w:rPr>
        <w:t>REDUCIR_LINEA_PREVENTIVA</w:t>
      </w:r>
    </w:p>
    <w:p w14:paraId="07286F27" w14:textId="77777777" w:rsidR="004C45CB" w:rsidRDefault="00000000">
      <w:pPr>
        <w:pStyle w:val="Compact"/>
        <w:numPr>
          <w:ilvl w:val="0"/>
          <w:numId w:val="20"/>
        </w:numPr>
      </w:pPr>
      <w:r>
        <w:rPr>
          <w:b/>
          <w:bCs/>
        </w:rPr>
        <w:t>Parámetros de Salida:</w:t>
      </w:r>
    </w:p>
    <w:p w14:paraId="353CDD72" w14:textId="77777777" w:rsidR="004C45CB" w:rsidRDefault="00000000">
      <w:pPr>
        <w:pStyle w:val="Compact"/>
        <w:numPr>
          <w:ilvl w:val="1"/>
          <w:numId w:val="21"/>
        </w:numPr>
      </w:pPr>
      <m:oMath>
        <m:r>
          <m:rPr>
            <m:nor/>
          </m:rPr>
          <w:lastRenderedPageBreak/>
          <m:t>Nuevo_Limite</m:t>
        </m:r>
        <m:r>
          <m:rPr>
            <m:sty m:val="p"/>
          </m:rPr>
          <w:rPr>
            <w:rFonts w:ascii="Cambria Math" w:hAnsi="Cambria Math"/>
          </w:rPr>
          <m:t>=max</m:t>
        </m:r>
        <m:d>
          <m:dPr>
            <m:ctrlPr>
              <w:rPr>
                <w:rFonts w:ascii="Cambria Math" w:hAnsi="Cambria Math"/>
              </w:rPr>
            </m:ctrlPr>
          </m:dPr>
          <m:e>
            <m:r>
              <m:rPr>
                <m:nor/>
              </m:rPr>
              <m:t>SALDO_ACTUAL</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 </m:t>
            </m:r>
            <m:r>
              <m:rPr>
                <m:nor/>
              </m:rPr>
              <m:t>LIMITE_CREDITO_ACTUAL</m:t>
            </m:r>
            <m:r>
              <m:rPr>
                <m:sty m:val="p"/>
              </m:rPr>
              <w:rPr>
                <w:rFonts w:ascii="Cambria Math" w:hAnsi="Cambria Math"/>
              </w:rPr>
              <m:t>×</m:t>
            </m:r>
            <m:r>
              <w:rPr>
                <w:rFonts w:ascii="Cambria Math" w:hAnsi="Cambria Math"/>
              </w:rPr>
              <m:t>0.60</m:t>
            </m:r>
          </m:e>
        </m:d>
      </m:oMath>
      <w:r>
        <w:t xml:space="preserve"> </w:t>
      </w:r>
      <w:r>
        <w:rPr>
          <w:i/>
          <w:iCs/>
        </w:rPr>
        <w:t>(Nota técnica: Se reduce la línea disponible al 60% del cupo previo, protegiendo un colchón del 5% sobre el saldo devengado para evitar generar un sobregiro artificial al cliente)</w:t>
      </w:r>
    </w:p>
    <w:p w14:paraId="7B0833AE" w14:textId="77777777" w:rsidR="004C45CB" w:rsidRDefault="00000000">
      <w:pPr>
        <w:pStyle w:val="Compact"/>
        <w:numPr>
          <w:ilvl w:val="1"/>
          <w:numId w:val="21"/>
        </w:numPr>
      </w:pPr>
      <w:r>
        <w:rPr>
          <w:rStyle w:val="VerbatimChar"/>
          <w:color w:val="7A2E0E"/>
          <w:sz w:val="20"/>
        </w:rPr>
        <w:t>Estatus_Tarjeta</w:t>
      </w:r>
      <w:r>
        <w:t xml:space="preserve"> = </w:t>
      </w:r>
      <w:r>
        <w:rPr>
          <w:rStyle w:val="VerbatimChar"/>
          <w:color w:val="7A2E0E"/>
          <w:sz w:val="20"/>
        </w:rPr>
        <w:t>ACTIVA_REDUCIDA</w:t>
      </w:r>
    </w:p>
    <w:p w14:paraId="04B38F2E" w14:textId="77777777" w:rsidR="004C45CB" w:rsidRDefault="00000000">
      <w:pPr>
        <w:pStyle w:val="Compact"/>
        <w:numPr>
          <w:ilvl w:val="1"/>
          <w:numId w:val="21"/>
        </w:numPr>
      </w:pPr>
      <w:r>
        <w:rPr>
          <w:rStyle w:val="VerbatimChar"/>
          <w:color w:val="7A2E0E"/>
          <w:sz w:val="20"/>
        </w:rPr>
        <w:t>Codigo_Razon</w:t>
      </w:r>
      <w:r>
        <w:t xml:space="preserve"> = </w:t>
      </w:r>
      <w:r>
        <w:rPr>
          <w:rStyle w:val="VerbatimChar"/>
          <w:color w:val="7A2E0E"/>
          <w:sz w:val="20"/>
        </w:rPr>
        <w:t>RC_ESTRES_FINANCIERO_PAGOS_MINIMOS_PERSISTENTES</w:t>
      </w:r>
    </w:p>
    <w:p w14:paraId="778879A7" w14:textId="77777777" w:rsidR="004C45CB" w:rsidRDefault="00000000">
      <w:pPr>
        <w:pStyle w:val="Ttulo2"/>
      </w:pPr>
      <w:bookmarkStart w:id="24" w:name="_Toc910012"/>
      <w:bookmarkStart w:id="25" w:name="X03d48fd69144135593516328da21e06078125bb"/>
      <w:bookmarkEnd w:id="23"/>
      <w:r>
        <w:t>Regla 4: Política de Crecimiento Proactivo de Cartera (Incremento de Línea Autorizado)</w:t>
      </w:r>
      <w:bookmarkEnd w:id="24"/>
    </w:p>
    <w:p w14:paraId="49AFE05F" w14:textId="77777777" w:rsidR="004C45CB" w:rsidRDefault="00000000">
      <w:pPr>
        <w:pStyle w:val="Compact"/>
        <w:numPr>
          <w:ilvl w:val="0"/>
          <w:numId w:val="22"/>
        </w:numPr>
      </w:pPr>
      <w:r>
        <w:rPr>
          <w:b/>
          <w:bCs/>
        </w:rPr>
        <w:t>Objetivo de Riesgo:</w:t>
      </w:r>
      <w:r>
        <w:t xml:space="preserve"> Maximizar la rentabilidad y la fidelización en cuentas maduras que evidencian solvencia comprobada, disciplina de pago impecable y capacidad holgada de endeudamiento.</w:t>
      </w:r>
    </w:p>
    <w:p w14:paraId="7B3F7B25" w14:textId="77777777" w:rsidR="004C45CB" w:rsidRDefault="00000000">
      <w:pPr>
        <w:pStyle w:val="Compact"/>
        <w:numPr>
          <w:ilvl w:val="0"/>
          <w:numId w:val="22"/>
        </w:numPr>
      </w:pPr>
      <w:r>
        <w:rPr>
          <w:b/>
          <w:bCs/>
        </w:rPr>
        <w:t>Lógica de Decisión:</w:t>
      </w:r>
    </w:p>
    <w:p w14:paraId="4D642417" w14:textId="77777777" w:rsidR="004C45CB" w:rsidRDefault="00000000">
      <w:pPr>
        <w:pStyle w:val="Compact"/>
      </w:pPr>
      <m:oMathPara>
        <m:oMathParaPr>
          <m:jc m:val="center"/>
        </m:oMathParaPr>
        <m:oMath>
          <m:r>
            <m:rPr>
              <m:nor/>
            </m:rPr>
            <m:t xml:space="preserve">SI </m:t>
          </m:r>
          <m:d>
            <m:dPr>
              <m:ctrlPr>
                <w:rPr>
                  <w:rFonts w:ascii="Cambria Math" w:hAnsi="Cambria Math"/>
                </w:rPr>
              </m:ctrlPr>
            </m:dPr>
            <m:e>
              <m:r>
                <m:rPr>
                  <m:nor/>
                </m:rPr>
                <m:t>SCORE_COMPORTAMENTAL</m:t>
              </m:r>
              <m:r>
                <m:rPr>
                  <m:sty m:val="p"/>
                </m:rPr>
                <w:rPr>
                  <w:rFonts w:ascii="Cambria Math" w:hAnsi="Cambria Math"/>
                </w:rPr>
                <m:t>≥</m:t>
              </m:r>
              <m:r>
                <w:rPr>
                  <w:rFonts w:ascii="Cambria Math" w:hAnsi="Cambria Math"/>
                </w:rPr>
                <m:t>720</m:t>
              </m:r>
            </m:e>
          </m:d>
          <m:r>
            <m:rPr>
              <m:sty m:val="p"/>
            </m:rPr>
            <w:rPr>
              <w:rFonts w:ascii="Cambria Math" w:hAnsi="Cambria Math"/>
            </w:rPr>
            <m:t>∧</m:t>
          </m:r>
          <m:d>
            <m:dPr>
              <m:ctrlPr>
                <w:rPr>
                  <w:rFonts w:ascii="Cambria Math" w:hAnsi="Cambria Math"/>
                </w:rPr>
              </m:ctrlPr>
            </m:dPr>
            <m:e>
              <m:r>
                <m:rPr>
                  <m:nor/>
                </m:rPr>
                <m:t>DIAS_ATRASO_M1</m:t>
              </m:r>
              <m:r>
                <m:rPr>
                  <m:sty m:val="p"/>
                </m:rPr>
                <w:rPr>
                  <w:rFonts w:ascii="Cambria Math" w:hAnsi="Cambria Math"/>
                </w:rPr>
                <m:t>=</m:t>
              </m:r>
              <m:r>
                <w:rPr>
                  <w:rFonts w:ascii="Cambria Math" w:hAnsi="Cambria Math"/>
                </w:rPr>
                <m:t>0</m:t>
              </m:r>
              <m:r>
                <m:rPr>
                  <m:sty m:val="p"/>
                </m:rPr>
                <w:rPr>
                  <w:rFonts w:ascii="Cambria Math" w:hAnsi="Cambria Math"/>
                </w:rPr>
                <m:t>∧</m:t>
              </m:r>
              <m:r>
                <m:rPr>
                  <m:nor/>
                </m:rPr>
                <m:t>DIAS_ATRASO_M2</m:t>
              </m:r>
              <m:r>
                <m:rPr>
                  <m:sty m:val="p"/>
                </m:rPr>
                <w:rPr>
                  <w:rFonts w:ascii="Cambria Math" w:hAnsi="Cambria Math"/>
                </w:rPr>
                <m:t>=</m:t>
              </m:r>
              <m:r>
                <w:rPr>
                  <w:rFonts w:ascii="Cambria Math" w:hAnsi="Cambria Math"/>
                </w:rPr>
                <m:t>0</m:t>
              </m:r>
              <m:r>
                <m:rPr>
                  <m:sty m:val="p"/>
                </m:rPr>
                <w:rPr>
                  <w:rFonts w:ascii="Cambria Math" w:hAnsi="Cambria Math"/>
                </w:rPr>
                <m:t>∧</m:t>
              </m:r>
              <m:r>
                <m:rPr>
                  <m:nor/>
                </m:rPr>
                <m:t>DIAS_ATRASO_M3</m:t>
              </m:r>
              <m:r>
                <m:rPr>
                  <m:sty m:val="p"/>
                </m:rPr>
                <w:rPr>
                  <w:rFonts w:ascii="Cambria Math" w:hAnsi="Cambria Math"/>
                </w:rPr>
                <m:t>=</m:t>
              </m:r>
              <m:r>
                <w:rPr>
                  <w:rFonts w:ascii="Cambria Math" w:hAnsi="Cambria Math"/>
                </w:rPr>
                <m:t>0</m:t>
              </m:r>
            </m:e>
          </m:d>
          <m:r>
            <m:rPr>
              <m:sty m:val="p"/>
            </m:rPr>
            <w:rPr>
              <w:rFonts w:ascii="Cambria Math" w:hAnsi="Cambria Math"/>
            </w:rPr>
            <m:t>∧</m:t>
          </m:r>
        </m:oMath>
      </m:oMathPara>
    </w:p>
    <w:p w14:paraId="15C964B1" w14:textId="77777777" w:rsidR="004C45CB" w:rsidRDefault="00000000">
      <w:pPr>
        <w:pStyle w:val="Compact"/>
      </w:pPr>
      <m:oMathPara>
        <m:oMathParaPr>
          <m:jc m:val="center"/>
        </m:oMathParaPr>
        <m:oMath>
          <m:d>
            <m:dPr>
              <m:ctrlPr>
                <w:rPr>
                  <w:rFonts w:ascii="Cambria Math" w:hAnsi="Cambria Math"/>
                </w:rPr>
              </m:ctrlPr>
            </m:dPr>
            <m:e>
              <m:r>
                <w:rPr>
                  <w:rFonts w:ascii="Cambria Math" w:hAnsi="Cambria Math"/>
                </w:rPr>
                <m:t>40</m:t>
              </m:r>
              <m:r>
                <m:rPr>
                  <m:sty m:val="p"/>
                </m:rPr>
                <w:rPr>
                  <w:rFonts w:ascii="Cambria Math" w:hAnsi="Cambria Math"/>
                </w:rPr>
                <m:t>%≤</m:t>
              </m:r>
              <m:r>
                <m:rPr>
                  <m:nor/>
                </m:rPr>
                <m:t>PORC_USO_LINEA</m:t>
              </m:r>
              <m:r>
                <m:rPr>
                  <m:sty m:val="p"/>
                </m:rPr>
                <w:rPr>
                  <w:rFonts w:ascii="Cambria Math" w:hAnsi="Cambria Math"/>
                </w:rPr>
                <m:t>≤</m:t>
              </m:r>
              <m:r>
                <w:rPr>
                  <w:rFonts w:ascii="Cambria Math" w:hAnsi="Cambria Math"/>
                </w:rPr>
                <m:t>75</m:t>
              </m:r>
              <m:r>
                <m:rPr>
                  <m:sty m:val="p"/>
                </m:rPr>
                <w:rPr>
                  <w:rFonts w:ascii="Cambria Math" w:hAnsi="Cambria Math"/>
                </w:rPr>
                <m:t>%</m:t>
              </m:r>
            </m:e>
          </m:d>
          <m:r>
            <m:rPr>
              <m:sty m:val="p"/>
            </m:rPr>
            <w:rPr>
              <w:rFonts w:ascii="Cambria Math" w:hAnsi="Cambria Math"/>
            </w:rPr>
            <m:t>∧</m:t>
          </m:r>
          <m:d>
            <m:dPr>
              <m:ctrlPr>
                <w:rPr>
                  <w:rFonts w:ascii="Cambria Math" w:hAnsi="Cambria Math"/>
                </w:rPr>
              </m:ctrlPr>
            </m:dPr>
            <m:e>
              <m:r>
                <m:rPr>
                  <m:nor/>
                </m:rPr>
                <m:t>ANTIGUEDAD_CUENTA_MESES</m:t>
              </m:r>
              <m:r>
                <m:rPr>
                  <m:sty m:val="p"/>
                </m:rPr>
                <w:rPr>
                  <w:rFonts w:ascii="Cambria Math" w:hAnsi="Cambria Math"/>
                </w:rPr>
                <m:t>≥</m:t>
              </m:r>
              <m:r>
                <w:rPr>
                  <w:rFonts w:ascii="Cambria Math" w:hAnsi="Cambria Math"/>
                </w:rPr>
                <m:t>12</m:t>
              </m:r>
            </m:e>
          </m:d>
          <m:r>
            <m:rPr>
              <m:sty m:val="p"/>
            </m:rPr>
            <w:rPr>
              <w:rFonts w:ascii="Cambria Math" w:hAnsi="Cambria Math"/>
            </w:rPr>
            <m:t>∧</m:t>
          </m:r>
          <m:d>
            <m:dPr>
              <m:ctrlPr>
                <w:rPr>
                  <w:rFonts w:ascii="Cambria Math" w:hAnsi="Cambria Math"/>
                </w:rPr>
              </m:ctrlPr>
            </m:dPr>
            <m:e>
              <m:r>
                <m:rPr>
                  <m:nor/>
                </m:rPr>
                <m:t>NUM_SOBREGIROS_U6M</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m:rPr>
                  <m:nor/>
                </m:rPr>
                <m:t>FLAG_REESTRUCTURA_PREVIA</m:t>
              </m:r>
              <m:r>
                <m:rPr>
                  <m:sty m:val="p"/>
                </m:rPr>
                <w:rPr>
                  <w:rFonts w:ascii="Cambria Math" w:hAnsi="Cambria Math"/>
                </w:rPr>
                <m:t>=</m:t>
              </m:r>
              <m:r>
                <w:rPr>
                  <w:rFonts w:ascii="Cambria Math" w:hAnsi="Cambria Math"/>
                </w:rPr>
                <m:t>0</m:t>
              </m:r>
            </m:e>
          </m:d>
        </m:oMath>
      </m:oMathPara>
    </w:p>
    <w:p w14:paraId="6A28A813" w14:textId="77777777" w:rsidR="004C45CB" w:rsidRDefault="00000000">
      <w:pPr>
        <w:pStyle w:val="Compact"/>
        <w:numPr>
          <w:ilvl w:val="0"/>
          <w:numId w:val="22"/>
        </w:numPr>
      </w:pPr>
      <w:r>
        <w:rPr>
          <w:b/>
          <w:bCs/>
        </w:rPr>
        <w:t>Acción Emitida:</w:t>
      </w:r>
      <w:r>
        <w:t xml:space="preserve"> </w:t>
      </w:r>
      <w:r>
        <w:rPr>
          <w:rStyle w:val="VerbatimChar"/>
          <w:color w:val="7A2E0E"/>
          <w:sz w:val="20"/>
        </w:rPr>
        <w:t>INCREMENTAR_LINEA_PROACTIVO</w:t>
      </w:r>
    </w:p>
    <w:p w14:paraId="34C4CF93" w14:textId="77777777" w:rsidR="004C45CB" w:rsidRDefault="00000000">
      <w:pPr>
        <w:pStyle w:val="Compact"/>
        <w:numPr>
          <w:ilvl w:val="0"/>
          <w:numId w:val="22"/>
        </w:numPr>
      </w:pPr>
      <w:r>
        <w:rPr>
          <w:b/>
          <w:bCs/>
        </w:rPr>
        <w:t>Parámetros de Salida:</w:t>
      </w:r>
    </w:p>
    <w:p w14:paraId="7D5BF8BD" w14:textId="77777777" w:rsidR="004C45CB" w:rsidRDefault="00000000">
      <w:pPr>
        <w:pStyle w:val="Compact"/>
        <w:numPr>
          <w:ilvl w:val="1"/>
          <w:numId w:val="23"/>
        </w:numPr>
      </w:pPr>
      <m:oMath>
        <m:r>
          <m:rPr>
            <m:nor/>
          </m:rPr>
          <m:t>Nuevo_Limite</m:t>
        </m:r>
        <m:r>
          <m:rPr>
            <m:sty m:val="p"/>
          </m:rPr>
          <w:rPr>
            <w:rFonts w:ascii="Cambria Math" w:hAnsi="Cambria Math"/>
          </w:rPr>
          <m:t>=</m:t>
        </m:r>
        <m:r>
          <m:rPr>
            <m:nor/>
          </m:rPr>
          <m:t>LIMITE_CREDITO_ACTUAL</m:t>
        </m:r>
        <m:r>
          <m:rPr>
            <m:sty m:val="p"/>
          </m:rPr>
          <w:rPr>
            <w:rFonts w:ascii="Cambria Math" w:hAnsi="Cambria Math"/>
          </w:rPr>
          <m:t>×</m:t>
        </m:r>
        <m:r>
          <w:rPr>
            <w:rFonts w:ascii="Cambria Math" w:hAnsi="Cambria Math"/>
          </w:rPr>
          <m:t>1.25</m:t>
        </m:r>
      </m:oMath>
      <w:r>
        <w:t xml:space="preserve"> (+25% de incremento)</w:t>
      </w:r>
    </w:p>
    <w:p w14:paraId="4C626FA8" w14:textId="77777777" w:rsidR="004C45CB" w:rsidRDefault="00000000">
      <w:pPr>
        <w:pStyle w:val="Compact"/>
        <w:numPr>
          <w:ilvl w:val="1"/>
          <w:numId w:val="23"/>
        </w:numPr>
      </w:pPr>
      <w:r>
        <w:rPr>
          <w:rStyle w:val="VerbatimChar"/>
          <w:color w:val="7A2E0E"/>
          <w:sz w:val="20"/>
        </w:rPr>
        <w:t>Estatus_Tarjeta</w:t>
      </w:r>
      <w:r>
        <w:t xml:space="preserve"> = </w:t>
      </w:r>
      <w:r>
        <w:rPr>
          <w:rStyle w:val="VerbatimChar"/>
          <w:color w:val="7A2E0E"/>
          <w:sz w:val="20"/>
        </w:rPr>
        <w:t>ACTIVA_PREMIUM</w:t>
      </w:r>
    </w:p>
    <w:p w14:paraId="776269C1" w14:textId="77777777" w:rsidR="004C45CB" w:rsidRDefault="00000000">
      <w:pPr>
        <w:pStyle w:val="Compact"/>
        <w:numPr>
          <w:ilvl w:val="1"/>
          <w:numId w:val="23"/>
        </w:numPr>
      </w:pPr>
      <w:r>
        <w:rPr>
          <w:rStyle w:val="VerbatimChar"/>
          <w:color w:val="7A2E0E"/>
          <w:sz w:val="20"/>
        </w:rPr>
        <w:t>Codigo_Razon</w:t>
      </w:r>
      <w:r>
        <w:t xml:space="preserve"> = </w:t>
      </w:r>
      <w:r>
        <w:rPr>
          <w:rStyle w:val="VerbatimChar"/>
          <w:color w:val="7A2E0E"/>
          <w:sz w:val="20"/>
        </w:rPr>
        <w:t>RC_CLIENTE_PRIME_EXCELENTE_HISTORIAL</w:t>
      </w:r>
    </w:p>
    <w:p w14:paraId="157FF645" w14:textId="77777777" w:rsidR="004C45CB" w:rsidRDefault="00000000">
      <w:pPr>
        <w:pStyle w:val="Ttulo2"/>
      </w:pPr>
      <w:bookmarkStart w:id="26" w:name="_Toc910013"/>
      <w:bookmarkStart w:id="27" w:name="X9d57e2ba5354c8d26f34424f3cf13c9e83350bd"/>
      <w:bookmarkEnd w:id="25"/>
      <w:r>
        <w:t>Política Residual (Comportamiento por Defecto)</w:t>
      </w:r>
      <w:bookmarkEnd w:id="26"/>
    </w:p>
    <w:p w14:paraId="691770EF" w14:textId="77777777" w:rsidR="004C45CB" w:rsidRDefault="00000000">
      <w:pPr>
        <w:pStyle w:val="Compact"/>
        <w:numPr>
          <w:ilvl w:val="0"/>
          <w:numId w:val="24"/>
        </w:numPr>
      </w:pPr>
      <w:r>
        <w:rPr>
          <w:b/>
          <w:bCs/>
        </w:rPr>
        <w:t>Condición:</w:t>
      </w:r>
      <w:r>
        <w:t xml:space="preserve"> Si la cuenta no cumple ninguna de las 4 condiciones anteriores.</w:t>
      </w:r>
    </w:p>
    <w:p w14:paraId="43545FAF" w14:textId="77777777" w:rsidR="004C45CB" w:rsidRDefault="00000000">
      <w:pPr>
        <w:pStyle w:val="Compact"/>
        <w:numPr>
          <w:ilvl w:val="0"/>
          <w:numId w:val="24"/>
        </w:numPr>
      </w:pPr>
      <w:r>
        <w:rPr>
          <w:b/>
          <w:bCs/>
        </w:rPr>
        <w:t>Acción Emitida:</w:t>
      </w:r>
      <w:r>
        <w:t xml:space="preserve"> </w:t>
      </w:r>
      <w:r>
        <w:rPr>
          <w:rStyle w:val="VerbatimChar"/>
          <w:color w:val="7A2E0E"/>
          <w:sz w:val="20"/>
        </w:rPr>
        <w:t>MANTENER_CONDICIONES_ACTUALES</w:t>
      </w:r>
    </w:p>
    <w:p w14:paraId="16E794C5" w14:textId="77777777" w:rsidR="004C45CB" w:rsidRDefault="00000000">
      <w:pPr>
        <w:pStyle w:val="Compact"/>
        <w:numPr>
          <w:ilvl w:val="0"/>
          <w:numId w:val="24"/>
        </w:numPr>
      </w:pPr>
      <w:r>
        <w:rPr>
          <w:b/>
          <w:bCs/>
        </w:rPr>
        <w:t>Parámetros de Salida:</w:t>
      </w:r>
    </w:p>
    <w:p w14:paraId="4D42F506" w14:textId="77777777" w:rsidR="004C45CB" w:rsidRDefault="00000000">
      <w:pPr>
        <w:pStyle w:val="Compact"/>
        <w:numPr>
          <w:ilvl w:val="1"/>
          <w:numId w:val="25"/>
        </w:numPr>
      </w:pPr>
      <m:oMath>
        <m:r>
          <m:rPr>
            <m:nor/>
          </m:rPr>
          <m:t>Nuevo_Limite</m:t>
        </m:r>
        <m:r>
          <m:rPr>
            <m:sty m:val="p"/>
          </m:rPr>
          <w:rPr>
            <w:rFonts w:ascii="Cambria Math" w:hAnsi="Cambria Math"/>
          </w:rPr>
          <m:t>=</m:t>
        </m:r>
        <m:r>
          <m:rPr>
            <m:nor/>
          </m:rPr>
          <m:t>LIMITE_CREDITO_ACTUAL</m:t>
        </m:r>
      </m:oMath>
    </w:p>
    <w:p w14:paraId="1CBECE82" w14:textId="77777777" w:rsidR="004C45CB" w:rsidRDefault="00000000">
      <w:pPr>
        <w:pStyle w:val="Compact"/>
        <w:numPr>
          <w:ilvl w:val="1"/>
          <w:numId w:val="25"/>
        </w:numPr>
      </w:pPr>
      <w:r>
        <w:rPr>
          <w:rStyle w:val="VerbatimChar"/>
          <w:color w:val="7A2E0E"/>
          <w:sz w:val="20"/>
        </w:rPr>
        <w:t>Estatus_Tarjeta</w:t>
      </w:r>
      <w:r>
        <w:t xml:space="preserve"> = </w:t>
      </w:r>
      <w:r>
        <w:rPr>
          <w:rStyle w:val="VerbatimChar"/>
          <w:color w:val="7A2E0E"/>
          <w:sz w:val="20"/>
        </w:rPr>
        <w:t>ACTIVA_REGULAR</w:t>
      </w:r>
    </w:p>
    <w:p w14:paraId="5F051735" w14:textId="77777777" w:rsidR="004C45CB" w:rsidRDefault="00000000">
      <w:pPr>
        <w:pStyle w:val="Compact"/>
        <w:numPr>
          <w:ilvl w:val="1"/>
          <w:numId w:val="25"/>
        </w:numPr>
      </w:pPr>
      <w:r>
        <w:rPr>
          <w:rStyle w:val="VerbatimChar"/>
          <w:color w:val="7A2E0E"/>
          <w:sz w:val="20"/>
        </w:rPr>
        <w:t>Codigo_Razon</w:t>
      </w:r>
      <w:r>
        <w:t xml:space="preserve"> = </w:t>
      </w:r>
      <w:r>
        <w:rPr>
          <w:rStyle w:val="VerbatimChar"/>
          <w:color w:val="7A2E0E"/>
          <w:sz w:val="20"/>
        </w:rPr>
        <w:t>RC_PERFIL_DENTRO_DE_TOLERANCIA_ESTANDAR</w:t>
      </w:r>
    </w:p>
    <w:p w14:paraId="61583F1E" w14:textId="77777777" w:rsidR="004C45CB" w:rsidRDefault="00000000">
      <w:pPr>
        <w:pStyle w:val="Ttulo1"/>
      </w:pPr>
      <w:bookmarkStart w:id="28" w:name="_Toc910014"/>
      <w:bookmarkStart w:id="29" w:name="arquitectura-y-propuesta-tecnológica"/>
      <w:bookmarkEnd w:id="17"/>
      <w:bookmarkEnd w:id="27"/>
      <w:r>
        <w:t>5. Arquitectura y Propuesta Tecnológica</w:t>
      </w:r>
      <w:bookmarkEnd w:id="28"/>
    </w:p>
    <w:p w14:paraId="117A4D33" w14:textId="77777777" w:rsidR="004C45CB" w:rsidRDefault="00000000">
      <w:pPr>
        <w:pStyle w:val="FirstParagraph"/>
      </w:pPr>
      <w:r>
        <w:t xml:space="preserve">El desarrollo del software se estructurará bajo principios de </w:t>
      </w:r>
      <w:r>
        <w:rPr>
          <w:b/>
          <w:bCs/>
        </w:rPr>
        <w:t>diseño limpio, arquitectura modular desacoplada y alta cohesión</w:t>
      </w:r>
      <w:r>
        <w:t>, asegurando que los cambios en las políticas de crédito no afecten la infraestructura de datos ni la capa de presentación.</w:t>
      </w:r>
    </w:p>
    <w:p w14:paraId="1BF05534" w14:textId="77777777" w:rsidR="004C45CB" w:rsidRDefault="00000000">
      <w:pPr>
        <w:pStyle w:val="SourceCode"/>
      </w:pPr>
      <w:r>
        <w:rPr>
          <w:rStyle w:val="VerbatimChar"/>
        </w:rPr>
        <w:lastRenderedPageBreak/>
        <w:t xml:space="preserve">                                  ARQUITECTURA DEL SISTEMA</w:t>
      </w:r>
      <w:r>
        <w:br/>
      </w:r>
      <w:r>
        <w:rPr>
          <w:rStyle w:val="VerbatimChar"/>
        </w:rPr>
        <w:t xml:space="preserve"> ┌───────────────────────────────────────────────────────────────────────────────────────────┐</w:t>
      </w:r>
      <w:r>
        <w:br/>
      </w:r>
      <w:r>
        <w:rPr>
          <w:rStyle w:val="VerbatimChar"/>
        </w:rPr>
        <w:t xml:space="preserve"> │ 1. CAPA DE INGESTA Y CONTRATOS DE DATOS (Data Contracts &amp; Ingestion)                      │</w:t>
      </w:r>
      <w:r>
        <w:br/>
      </w:r>
      <w:r>
        <w:rPr>
          <w:rStyle w:val="VerbatimChar"/>
        </w:rPr>
        <w:t xml:space="preserve"> │    - Ingesta de fuentes heterogéneas (CSV, Parquet, JSON)                                 │</w:t>
      </w:r>
      <w:r>
        <w:br/>
      </w:r>
      <w:r>
        <w:rPr>
          <w:rStyle w:val="VerbatimChar"/>
        </w:rPr>
        <w:t xml:space="preserve"> │    - Validación semántica de esquemas (Pydantic / Tipado estricto)                        │</w:t>
      </w:r>
      <w:r>
        <w:br/>
      </w:r>
      <w:r>
        <w:rPr>
          <w:rStyle w:val="VerbatimChar"/>
        </w:rPr>
        <w:t xml:space="preserve"> └───────────────────────────────────────────┬───────────────────────────────────────────────┘</w:t>
      </w:r>
      <w:r>
        <w:br/>
      </w:r>
      <w:r>
        <w:rPr>
          <w:rStyle w:val="VerbatimChar"/>
        </w:rPr>
        <w:t xml:space="preserve">                                             │ DataFrame Validado</w:t>
      </w:r>
      <w:r>
        <w:br/>
      </w:r>
      <w:r>
        <w:rPr>
          <w:rStyle w:val="VerbatimChar"/>
        </w:rPr>
        <w:t xml:space="preserve">                                             ▼</w:t>
      </w:r>
      <w:r>
        <w:br/>
      </w:r>
      <w:r>
        <w:rPr>
          <w:rStyle w:val="VerbatimChar"/>
        </w:rPr>
        <w:t xml:space="preserve"> ┌───────────────────────────────────────────────────────────────────────────────────────────┐</w:t>
      </w:r>
      <w:r>
        <w:br/>
      </w:r>
      <w:r>
        <w:rPr>
          <w:rStyle w:val="VerbatimChar"/>
        </w:rPr>
        <w:t xml:space="preserve"> │ 2. CAPA DE PREPROCESAMIENTO Y FEATURE ENGINEERING (Data Transformation)                   │</w:t>
      </w:r>
      <w:r>
        <w:br/>
      </w:r>
      <w:r>
        <w:rPr>
          <w:rStyle w:val="VerbatimChar"/>
        </w:rPr>
        <w:t xml:space="preserve"> │    - Cálculo de vectores de atraso y derivadas temporales (Roll Rates)                    │</w:t>
      </w:r>
      <w:r>
        <w:br/>
      </w:r>
      <w:r>
        <w:rPr>
          <w:rStyle w:val="VerbatimChar"/>
        </w:rPr>
        <w:t xml:space="preserve"> │    - Cálculo del índice de apalancamiento relativo (Ratio de Uso de Línea)                │</w:t>
      </w:r>
      <w:r>
        <w:br/>
      </w:r>
      <w:r>
        <w:rPr>
          <w:rStyle w:val="VerbatimChar"/>
        </w:rPr>
        <w:t xml:space="preserve"> └───────────────────────────────────────────┬───────────────────────────────────────────────┘</w:t>
      </w:r>
      <w:r>
        <w:br/>
      </w:r>
      <w:r>
        <w:rPr>
          <w:rStyle w:val="VerbatimChar"/>
        </w:rPr>
        <w:t xml:space="preserve">                                             │ Features Comportamentales</w:t>
      </w:r>
      <w:r>
        <w:br/>
      </w:r>
      <w:r>
        <w:rPr>
          <w:rStyle w:val="VerbatimChar"/>
        </w:rPr>
        <w:t xml:space="preserve">                                             ▼</w:t>
      </w:r>
      <w:r>
        <w:br/>
      </w:r>
      <w:r>
        <w:rPr>
          <w:rStyle w:val="VerbatimChar"/>
        </w:rPr>
        <w:t xml:space="preserve"> ┌───────────────────────────────────────────────────────────────────────────────────────────┐</w:t>
      </w:r>
      <w:r>
        <w:br/>
      </w:r>
      <w:r>
        <w:rPr>
          <w:rStyle w:val="VerbatimChar"/>
        </w:rPr>
        <w:t xml:space="preserve"> │ 3. NÚCLEO DEL MOTOR DE DECISIONES (Decision Engine Core - Rule Strategy)                  │</w:t>
      </w:r>
      <w:r>
        <w:br/>
      </w:r>
      <w:r>
        <w:rPr>
          <w:rStyle w:val="VerbatimChar"/>
        </w:rPr>
        <w:t xml:space="preserve"> │    - Árbol de prelación de estrategias (Estrategias Knock-out -&gt; Preventivas -&gt; Expansión)│</w:t>
      </w:r>
      <w:r>
        <w:br/>
      </w:r>
      <w:r>
        <w:rPr>
          <w:rStyle w:val="VerbatimChar"/>
        </w:rPr>
        <w:t xml:space="preserve"> │    - Evaluador determinístico matricial vectorizado con NumPy / Pandas                    │</w:t>
      </w:r>
      <w:r>
        <w:br/>
      </w:r>
      <w:r>
        <w:rPr>
          <w:rStyle w:val="VerbatimChar"/>
        </w:rPr>
        <w:t xml:space="preserve"> │    - Asignador de Códigos de Razón unívocos (Explicabilidad)                              │</w:t>
      </w:r>
      <w:r>
        <w:br/>
      </w:r>
      <w:r>
        <w:rPr>
          <w:rStyle w:val="VerbatimChar"/>
        </w:rPr>
        <w:t xml:space="preserve"> └───────────────────────────────────────────┬───────────────────────────────────────────────┘</w:t>
      </w:r>
      <w:r>
        <w:br/>
      </w:r>
      <w:r>
        <w:rPr>
          <w:rStyle w:val="VerbatimChar"/>
        </w:rPr>
        <w:t xml:space="preserve">                                             │ DataFrame de Decisiones + Audit Trail</w:t>
      </w:r>
      <w:r>
        <w:br/>
      </w:r>
      <w:r>
        <w:rPr>
          <w:rStyle w:val="VerbatimChar"/>
        </w:rPr>
        <w:t xml:space="preserve">                                             ▼</w:t>
      </w:r>
      <w:r>
        <w:br/>
      </w:r>
      <w:r>
        <w:rPr>
          <w:rStyle w:val="VerbatimChar"/>
        </w:rPr>
        <w:t xml:space="preserve"> ┌───────────────────────────────────────────────────────────────────────────────────────────┐</w:t>
      </w:r>
      <w:r>
        <w:br/>
      </w:r>
      <w:r>
        <w:rPr>
          <w:rStyle w:val="VerbatimChar"/>
        </w:rPr>
        <w:t xml:space="preserve"> │ 4. CAPA DE PERSISTENCIA Y AUDITORÍA (Audit &amp; Storage Layer)                               │</w:t>
      </w:r>
      <w:r>
        <w:br/>
      </w:r>
      <w:r>
        <w:rPr>
          <w:rStyle w:val="VerbatimChar"/>
        </w:rPr>
        <w:t xml:space="preserve"> │    - Generación de log de auditoría reproducible (Timestamp, versión de regla, cuenta)    │</w:t>
      </w:r>
      <w:r>
        <w:br/>
      </w:r>
      <w:r>
        <w:rPr>
          <w:rStyle w:val="VerbatimChar"/>
        </w:rPr>
        <w:t xml:space="preserve"> │    - Exportación de resultados procesados a CSV/Parquet                                   │</w:t>
      </w:r>
      <w:r>
        <w:br/>
      </w:r>
      <w:r>
        <w:rPr>
          <w:rStyle w:val="VerbatimChar"/>
        </w:rPr>
        <w:t xml:space="preserve"> └───────────────────────────────────────────┬───────────────────────────────────────────────┘</w:t>
      </w:r>
      <w:r>
        <w:br/>
      </w:r>
      <w:r>
        <w:rPr>
          <w:rStyle w:val="VerbatimChar"/>
        </w:rPr>
        <w:t xml:space="preserve">                                             │ Métricas y Resultados</w:t>
      </w:r>
      <w:r>
        <w:br/>
      </w:r>
      <w:r>
        <w:rPr>
          <w:rStyle w:val="VerbatimChar"/>
        </w:rPr>
        <w:t xml:space="preserve">                                             ▼</w:t>
      </w:r>
      <w:r>
        <w:br/>
      </w:r>
      <w:r>
        <w:rPr>
          <w:rStyle w:val="VerbatimChar"/>
        </w:rPr>
        <w:t xml:space="preserve"> ┌───────────────────────────────────────────────────────────────────────────────────────────┐</w:t>
      </w:r>
      <w:r>
        <w:br/>
      </w:r>
      <w:r>
        <w:rPr>
          <w:rStyle w:val="VerbatimChar"/>
        </w:rPr>
        <w:t xml:space="preserve"> │ 5. CAPA DE PRESENTACIÓN Y SIMULACIÓN TÁCTICA (UI Streamlit Dashboard)                     │</w:t>
      </w:r>
      <w:r>
        <w:br/>
      </w:r>
      <w:r>
        <w:rPr>
          <w:rStyle w:val="VerbatimChar"/>
        </w:rPr>
        <w:t xml:space="preserve"> │    - Carga interactiva de carteras crediticias                                            │</w:t>
      </w:r>
      <w:r>
        <w:br/>
      </w:r>
      <w:r>
        <w:rPr>
          <w:rStyle w:val="VerbatimChar"/>
        </w:rPr>
        <w:t xml:space="preserve"> │    - Parametrización en caliente de umbrales de decisión (Cut-off sliders)                │</w:t>
      </w:r>
      <w:r>
        <w:br/>
      </w:r>
      <w:r>
        <w:rPr>
          <w:rStyle w:val="VerbatimChar"/>
        </w:rPr>
        <w:t xml:space="preserve"> │    - Visualización de matrices de transición, embudos de decisión y kpis financieros      │</w:t>
      </w:r>
      <w:r>
        <w:br/>
      </w:r>
      <w:r>
        <w:rPr>
          <w:rStyle w:val="VerbatimChar"/>
        </w:rPr>
        <w:t xml:space="preserve"> └───────────────────────────────────────────────────────────────────────────────────────────┘</w:t>
      </w:r>
    </w:p>
    <w:p w14:paraId="6E015DCA" w14:textId="77777777" w:rsidR="004C45CB" w:rsidRDefault="00000000">
      <w:pPr>
        <w:pStyle w:val="Ttulo2"/>
      </w:pPr>
      <w:bookmarkStart w:id="30" w:name="_Toc910015"/>
      <w:bookmarkStart w:id="31" w:name="pila-tecnológica-seleccionada"/>
      <w:r>
        <w:t>5.1 Pila Tecnológica Seleccionada</w:t>
      </w:r>
      <w:bookmarkEnd w:id="30"/>
    </w:p>
    <w:p w14:paraId="45780D89" w14:textId="77777777" w:rsidR="004C45CB" w:rsidRDefault="00000000">
      <w:pPr>
        <w:pStyle w:val="Compact"/>
        <w:numPr>
          <w:ilvl w:val="0"/>
          <w:numId w:val="26"/>
        </w:numPr>
      </w:pPr>
      <w:r>
        <w:rPr>
          <w:b/>
          <w:bCs/>
        </w:rPr>
        <w:t>Lenguaje Base:</w:t>
      </w:r>
      <w:r>
        <w:t xml:space="preserve"> </w:t>
      </w:r>
      <w:r>
        <w:rPr>
          <w:rStyle w:val="VerbatimChar"/>
          <w:color w:val="7A2E0E"/>
          <w:sz w:val="20"/>
        </w:rPr>
        <w:t>Python 3.11+</w:t>
      </w:r>
    </w:p>
    <w:p w14:paraId="29AC240D" w14:textId="77777777" w:rsidR="004C45CB" w:rsidRDefault="00000000">
      <w:pPr>
        <w:pStyle w:val="Compact"/>
        <w:numPr>
          <w:ilvl w:val="1"/>
          <w:numId w:val="27"/>
        </w:numPr>
      </w:pPr>
      <w:r>
        <w:t>Selección fundamentada en su madurez en analítica de datos, facilidad de testing y amplio ecosistema para procesamiento financiero.</w:t>
      </w:r>
    </w:p>
    <w:p w14:paraId="4BEFD40C" w14:textId="77777777" w:rsidR="004C45CB" w:rsidRDefault="00000000">
      <w:pPr>
        <w:pStyle w:val="Compact"/>
        <w:numPr>
          <w:ilvl w:val="0"/>
          <w:numId w:val="26"/>
        </w:numPr>
      </w:pPr>
      <w:r>
        <w:rPr>
          <w:b/>
          <w:bCs/>
        </w:rPr>
        <w:t>Motor de Transformación y Procesamiento:</w:t>
      </w:r>
      <w:r>
        <w:t xml:space="preserve"> </w:t>
      </w:r>
      <w:r>
        <w:rPr>
          <w:rStyle w:val="VerbatimChar"/>
          <w:color w:val="7A2E0E"/>
          <w:sz w:val="20"/>
        </w:rPr>
        <w:t>Pandas 2.x</w:t>
      </w:r>
      <w:r>
        <w:t xml:space="preserve"> y </w:t>
      </w:r>
      <w:r>
        <w:rPr>
          <w:rStyle w:val="VerbatimChar"/>
          <w:color w:val="7A2E0E"/>
          <w:sz w:val="20"/>
        </w:rPr>
        <w:t>NumPy</w:t>
      </w:r>
    </w:p>
    <w:p w14:paraId="4AA6BB95" w14:textId="77777777" w:rsidR="004C45CB" w:rsidRDefault="00000000">
      <w:pPr>
        <w:pStyle w:val="Compact"/>
        <w:numPr>
          <w:ilvl w:val="1"/>
          <w:numId w:val="28"/>
        </w:numPr>
      </w:pPr>
      <w:r>
        <w:t>Procesamiento vectorial eficiente de datasets de cartera, permitiendo evaluar cientos de miles de registros en pocos segundos sin cuellos de botella iterativos.</w:t>
      </w:r>
    </w:p>
    <w:p w14:paraId="79771A31" w14:textId="77777777" w:rsidR="004C45CB" w:rsidRDefault="00000000">
      <w:pPr>
        <w:pStyle w:val="Compact"/>
        <w:numPr>
          <w:ilvl w:val="0"/>
          <w:numId w:val="26"/>
        </w:numPr>
      </w:pPr>
      <w:r>
        <w:rPr>
          <w:b/>
          <w:bCs/>
        </w:rPr>
        <w:t>Validación de Esquema y Contratos de Entrada:</w:t>
      </w:r>
      <w:r>
        <w:t xml:space="preserve"> </w:t>
      </w:r>
      <w:r>
        <w:rPr>
          <w:rStyle w:val="VerbatimChar"/>
          <w:color w:val="7A2E0E"/>
          <w:sz w:val="20"/>
        </w:rPr>
        <w:t>Pydantic v2</w:t>
      </w:r>
    </w:p>
    <w:p w14:paraId="6934CC8C" w14:textId="77777777" w:rsidR="004C45CB" w:rsidRDefault="00000000">
      <w:pPr>
        <w:pStyle w:val="Compact"/>
        <w:numPr>
          <w:ilvl w:val="1"/>
          <w:numId w:val="29"/>
        </w:numPr>
      </w:pPr>
      <w:r>
        <w:t>Garantiza que los registros ingresados al motor cumplan estrictamente con los tipos y rangos de datos definidos en el diccionario.</w:t>
      </w:r>
    </w:p>
    <w:p w14:paraId="299815B7" w14:textId="77777777" w:rsidR="004C45CB" w:rsidRDefault="00000000">
      <w:pPr>
        <w:pStyle w:val="Compact"/>
        <w:numPr>
          <w:ilvl w:val="0"/>
          <w:numId w:val="26"/>
        </w:numPr>
      </w:pPr>
      <w:r>
        <w:rPr>
          <w:b/>
          <w:bCs/>
        </w:rPr>
        <w:t>Capa de Visualización y Simulación:</w:t>
      </w:r>
      <w:r>
        <w:t xml:space="preserve"> </w:t>
      </w:r>
      <w:r>
        <w:rPr>
          <w:rStyle w:val="VerbatimChar"/>
          <w:color w:val="7A2E0E"/>
          <w:sz w:val="20"/>
        </w:rPr>
        <w:t>Streamlit</w:t>
      </w:r>
    </w:p>
    <w:p w14:paraId="4A85D4D0" w14:textId="77777777" w:rsidR="004C45CB" w:rsidRDefault="00000000">
      <w:pPr>
        <w:pStyle w:val="Compact"/>
        <w:numPr>
          <w:ilvl w:val="1"/>
          <w:numId w:val="30"/>
        </w:numPr>
      </w:pPr>
      <w:r>
        <w:t xml:space="preserve">Proporciona un entorno web reactivo de nivel gerencial para analistas de riesgo, permitiendo parametrizar umbrales y realizar simulaciones </w:t>
      </w:r>
      <w:r>
        <w:rPr>
          <w:i/>
          <w:iCs/>
        </w:rPr>
        <w:t>What-If</w:t>
      </w:r>
      <w:r>
        <w:t xml:space="preserve"> sin necesidad de modificar el código fuente.</w:t>
      </w:r>
    </w:p>
    <w:p w14:paraId="0B420668" w14:textId="77777777" w:rsidR="004C45CB" w:rsidRDefault="00000000">
      <w:pPr>
        <w:pStyle w:val="Compact"/>
        <w:numPr>
          <w:ilvl w:val="0"/>
          <w:numId w:val="26"/>
        </w:numPr>
      </w:pPr>
      <w:r>
        <w:rPr>
          <w:b/>
          <w:bCs/>
        </w:rPr>
        <w:t>Entorno de Pruebas Unitarias y de Regresión:</w:t>
      </w:r>
      <w:r>
        <w:t xml:space="preserve"> </w:t>
      </w:r>
      <w:r>
        <w:rPr>
          <w:rStyle w:val="VerbatimChar"/>
          <w:color w:val="7A2E0E"/>
          <w:sz w:val="20"/>
        </w:rPr>
        <w:t>pytest</w:t>
      </w:r>
    </w:p>
    <w:p w14:paraId="7EFC8B42" w14:textId="77777777" w:rsidR="004C45CB" w:rsidRDefault="00000000">
      <w:pPr>
        <w:pStyle w:val="Compact"/>
        <w:numPr>
          <w:ilvl w:val="1"/>
          <w:numId w:val="31"/>
        </w:numPr>
      </w:pPr>
      <w:r>
        <w:t>Suite para verificar el 100% de los casos de uso y la no colisión en la prelación de reglas.</w:t>
      </w:r>
    </w:p>
    <w:p w14:paraId="39776E1E" w14:textId="77777777" w:rsidR="004C45CB" w:rsidRDefault="00000000">
      <w:pPr>
        <w:pStyle w:val="Ttulo2"/>
      </w:pPr>
      <w:bookmarkStart w:id="32" w:name="_Toc910016"/>
      <w:bookmarkStart w:id="33" w:name="X20188b7fdcf6aa6c1de4eb86b46fc527f64a45f"/>
      <w:bookmarkEnd w:id="31"/>
      <w:r>
        <w:lastRenderedPageBreak/>
        <w:t>5.2 Estructura Modular del Repositorio (Propuesta)</w:t>
      </w:r>
      <w:bookmarkEnd w:id="32"/>
    </w:p>
    <w:p w14:paraId="35C85A94" w14:textId="77777777" w:rsidR="004C45CB" w:rsidRDefault="00000000">
      <w:pPr>
        <w:pStyle w:val="SourceCode"/>
      </w:pPr>
      <w:r>
        <w:rPr>
          <w:rStyle w:val="VerbatimChar"/>
        </w:rPr>
        <w:t>proyecto_residencias/</w:t>
      </w:r>
      <w:r>
        <w:br/>
      </w:r>
      <w:r>
        <w:rPr>
          <w:rStyle w:val="VerbatimChar"/>
        </w:rPr>
        <w:t>│</w:t>
      </w:r>
      <w:r>
        <w:br/>
      </w:r>
      <w:r>
        <w:rPr>
          <w:rStyle w:val="VerbatimChar"/>
        </w:rPr>
        <w:t>├── 01_Documentacion_Tecnica_Conceptual.md   # [Este Documento de Especificación]</w:t>
      </w:r>
      <w:r>
        <w:br/>
      </w:r>
      <w:r>
        <w:rPr>
          <w:rStyle w:val="VerbatimChar"/>
        </w:rPr>
        <w:t>├── README.md                                # Guía de instalación y ejecución</w:t>
      </w:r>
      <w:r>
        <w:br/>
      </w:r>
      <w:r>
        <w:rPr>
          <w:rStyle w:val="VerbatimChar"/>
        </w:rPr>
        <w:t>├── requirements.txt                         # Dependencias del proyecto</w:t>
      </w:r>
      <w:r>
        <w:br/>
      </w:r>
      <w:r>
        <w:rPr>
          <w:rStyle w:val="VerbatimChar"/>
        </w:rPr>
        <w:t>│</w:t>
      </w:r>
      <w:r>
        <w:br/>
      </w:r>
      <w:r>
        <w:rPr>
          <w:rStyle w:val="VerbatimChar"/>
        </w:rPr>
        <w:t>├── data/</w:t>
      </w:r>
      <w:r>
        <w:br/>
      </w:r>
      <w:r>
        <w:rPr>
          <w:rStyle w:val="VerbatimChar"/>
        </w:rPr>
        <w:t>│   ├── raw/                                 # Datasets crudos de cartera simulada</w:t>
      </w:r>
      <w:r>
        <w:br/>
      </w:r>
      <w:r>
        <w:rPr>
          <w:rStyle w:val="VerbatimChar"/>
        </w:rPr>
        <w:t>│   └── processed/                           # Salidas procesadas con decisiones y logs</w:t>
      </w:r>
      <w:r>
        <w:br/>
      </w:r>
      <w:r>
        <w:rPr>
          <w:rStyle w:val="VerbatimChar"/>
        </w:rPr>
        <w:t>│</w:t>
      </w:r>
      <w:r>
        <w:br/>
      </w:r>
      <w:r>
        <w:rPr>
          <w:rStyle w:val="VerbatimChar"/>
        </w:rPr>
        <w:t>├── src/</w:t>
      </w:r>
      <w:r>
        <w:br/>
      </w:r>
      <w:r>
        <w:rPr>
          <w:rStyle w:val="VerbatimChar"/>
        </w:rPr>
        <w:t>│   ├── __init__.py</w:t>
      </w:r>
      <w:r>
        <w:br/>
      </w:r>
      <w:r>
        <w:rPr>
          <w:rStyle w:val="VerbatimChar"/>
        </w:rPr>
        <w:t>│   ├── schema/                              # Contratos de datos y validadores</w:t>
      </w:r>
      <w:r>
        <w:br/>
      </w:r>
      <w:r>
        <w:rPr>
          <w:rStyle w:val="VerbatimChar"/>
        </w:rPr>
        <w:t>│   │   ├── __init__.py</w:t>
      </w:r>
      <w:r>
        <w:br/>
      </w:r>
      <w:r>
        <w:rPr>
          <w:rStyle w:val="VerbatimChar"/>
        </w:rPr>
        <w:t>│   │   └── account_schema.py</w:t>
      </w:r>
      <w:r>
        <w:br/>
      </w:r>
      <w:r>
        <w:rPr>
          <w:rStyle w:val="VerbatimChar"/>
        </w:rPr>
        <w:t>│   │</w:t>
      </w:r>
      <w:r>
        <w:br/>
      </w:r>
      <w:r>
        <w:rPr>
          <w:rStyle w:val="VerbatimChar"/>
        </w:rPr>
        <w:t>│   ├── pipeline/                            # Ingeniería de variables y limpieza</w:t>
      </w:r>
      <w:r>
        <w:br/>
      </w:r>
      <w:r>
        <w:rPr>
          <w:rStyle w:val="VerbatimChar"/>
        </w:rPr>
        <w:t>│   │   ├── __init__.py</w:t>
      </w:r>
      <w:r>
        <w:br/>
      </w:r>
      <w:r>
        <w:rPr>
          <w:rStyle w:val="VerbatimChar"/>
        </w:rPr>
        <w:t>│   │   └── feature_engineering.py</w:t>
      </w:r>
      <w:r>
        <w:br/>
      </w:r>
      <w:r>
        <w:rPr>
          <w:rStyle w:val="VerbatimChar"/>
        </w:rPr>
        <w:t>│   │</w:t>
      </w:r>
      <w:r>
        <w:br/>
      </w:r>
      <w:r>
        <w:rPr>
          <w:rStyle w:val="VerbatimChar"/>
        </w:rPr>
        <w:t>│   ├── engine/                              # Núcleo del Motor de Decisiones</w:t>
      </w:r>
      <w:r>
        <w:br/>
      </w:r>
      <w:r>
        <w:rPr>
          <w:rStyle w:val="VerbatimChar"/>
        </w:rPr>
        <w:t>│   │   ├── __init__.py</w:t>
      </w:r>
      <w:r>
        <w:br/>
      </w:r>
      <w:r>
        <w:rPr>
          <w:rStyle w:val="VerbatimChar"/>
        </w:rPr>
        <w:t>│   │   ├── rules.py                         # Definición formal de cada regla</w:t>
      </w:r>
      <w:r>
        <w:br/>
      </w:r>
      <w:r>
        <w:rPr>
          <w:rStyle w:val="VerbatimChar"/>
        </w:rPr>
        <w:t>│   │   ├── strategy_manager.py              # Orquestador de prelación y prioridades</w:t>
      </w:r>
      <w:r>
        <w:br/>
      </w:r>
      <w:r>
        <w:rPr>
          <w:rStyle w:val="VerbatimChar"/>
        </w:rPr>
        <w:t>│   │   └── audit.py                         # Generación del log de auditoría</w:t>
      </w:r>
      <w:r>
        <w:br/>
      </w:r>
      <w:r>
        <w:rPr>
          <w:rStyle w:val="VerbatimChar"/>
        </w:rPr>
        <w:t>│   │</w:t>
      </w:r>
      <w:r>
        <w:br/>
      </w:r>
      <w:r>
        <w:rPr>
          <w:rStyle w:val="VerbatimChar"/>
        </w:rPr>
        <w:t>│   └── app/                                 # Aplicación interactiva</w:t>
      </w:r>
      <w:r>
        <w:br/>
      </w:r>
      <w:r>
        <w:rPr>
          <w:rStyle w:val="VerbatimChar"/>
        </w:rPr>
        <w:t>│       ├── __init__.py</w:t>
      </w:r>
      <w:r>
        <w:br/>
      </w:r>
      <w:r>
        <w:rPr>
          <w:rStyle w:val="VerbatimChar"/>
        </w:rPr>
        <w:t>│       └── dashboard.py                     # Interfaz visual en Streamlit</w:t>
      </w:r>
      <w:r>
        <w:br/>
      </w:r>
      <w:r>
        <w:rPr>
          <w:rStyle w:val="VerbatimChar"/>
        </w:rPr>
        <w:t>│</w:t>
      </w:r>
      <w:r>
        <w:br/>
      </w:r>
      <w:r>
        <w:rPr>
          <w:rStyle w:val="VerbatimChar"/>
        </w:rPr>
        <w:t>└── tests/                                   # Batería de pruebas unitarias</w:t>
      </w:r>
      <w:r>
        <w:br/>
      </w:r>
      <w:r>
        <w:rPr>
          <w:rStyle w:val="VerbatimChar"/>
        </w:rPr>
        <w:t xml:space="preserve">    ├── test_features.py</w:t>
      </w:r>
      <w:r>
        <w:br/>
      </w:r>
      <w:r>
        <w:rPr>
          <w:rStyle w:val="VerbatimChar"/>
        </w:rPr>
        <w:t xml:space="preserve">    └── test_rules_engine.py</w:t>
      </w:r>
    </w:p>
    <w:p w14:paraId="6247A5E6" w14:textId="77777777" w:rsidR="004C45CB" w:rsidRDefault="00000000">
      <w:pPr>
        <w:pStyle w:val="Ttulo2"/>
      </w:pPr>
      <w:bookmarkStart w:id="34" w:name="_Toc910017"/>
      <w:bookmarkStart w:id="35" w:name="X5bf82a5dc90e4d6f25a14822910d24f57fe6e0a"/>
      <w:bookmarkEnd w:id="33"/>
      <w:r>
        <w:t>5.3 Metodología de Validación y Control de Calidad</w:t>
      </w:r>
      <w:bookmarkEnd w:id="34"/>
    </w:p>
    <w:p w14:paraId="71B442FE" w14:textId="77777777" w:rsidR="004C45CB" w:rsidRDefault="00000000">
      <w:pPr>
        <w:pStyle w:val="FirstParagraph"/>
        <w:keepNext/>
      </w:pPr>
      <w:r>
        <w:t>Para garantizar la solidez requerida por un comité evaluador de ingeniería, el prototipo será validado mediante:</w:t>
      </w:r>
    </w:p>
    <w:p w14:paraId="2B7AED55" w14:textId="77777777" w:rsidR="004C45CB" w:rsidRDefault="00000000">
      <w:pPr>
        <w:pStyle w:val="Compact"/>
        <w:numPr>
          <w:ilvl w:val="0"/>
          <w:numId w:val="32"/>
        </w:numPr>
      </w:pPr>
      <w:r>
        <w:rPr>
          <w:b/>
          <w:bCs/>
        </w:rPr>
        <w:t>Pruebas de Caja Negra por Regla (Unit Tests):</w:t>
      </w:r>
      <w:r>
        <w:t xml:space="preserve"> Casos sintéticos controlados para evaluar individualmente que cada una de las 4 reglas responde unívocamente bajo sus condiciones límite (</w:t>
      </w:r>
      <w:r>
        <w:rPr>
          <w:i/>
          <w:iCs/>
        </w:rPr>
        <w:t>boundary conditions</w:t>
      </w:r>
      <w:r>
        <w:t>).</w:t>
      </w:r>
    </w:p>
    <w:p w14:paraId="25EF8E74" w14:textId="77777777" w:rsidR="004C45CB" w:rsidRDefault="00000000">
      <w:pPr>
        <w:pStyle w:val="Compact"/>
        <w:numPr>
          <w:ilvl w:val="0"/>
          <w:numId w:val="32"/>
        </w:numPr>
      </w:pPr>
      <w:r>
        <w:rPr>
          <w:b/>
          <w:bCs/>
        </w:rPr>
        <w:t>Pruebas de Jerarquía y No-Colisión:</w:t>
      </w:r>
      <w:r>
        <w:t xml:space="preserve"> Verificación de que una cuenta que cumpla simultáneamente condiciones de dos reglas reciba la decisión de mayor jerarquía (e.g., una cuenta que califica para aumento pero presenta un día de mora severa debe ser bloqueada o cancelada, nunca incrementada).</w:t>
      </w:r>
    </w:p>
    <w:p w14:paraId="7238B0EF" w14:textId="77777777" w:rsidR="004C45CB" w:rsidRDefault="00000000">
      <w:pPr>
        <w:pStyle w:val="Compact"/>
        <w:numPr>
          <w:ilvl w:val="0"/>
          <w:numId w:val="32"/>
        </w:numPr>
      </w:pPr>
      <w:r>
        <w:rPr>
          <w:b/>
          <w:bCs/>
        </w:rPr>
        <w:t>Pruebas de Estrés y Desempeño Lote (Batch Stress Tests):</w:t>
      </w:r>
      <w:r>
        <w:t xml:space="preserve"> Evaluación de tiempos de respuesta procesando datasets sintéticos de 10,000, 50,000 y 100,000 registros para comprobar la eficiencia del motor vectorial.</w:t>
      </w:r>
    </w:p>
    <w:p w14:paraId="03E8B4E4" w14:textId="77777777" w:rsidR="004C45CB" w:rsidRDefault="00000000">
      <w:pPr>
        <w:pStyle w:val="Compact"/>
        <w:numPr>
          <w:ilvl w:val="0"/>
          <w:numId w:val="32"/>
        </w:numPr>
      </w:pPr>
      <w:r>
        <w:rPr>
          <w:b/>
          <w:bCs/>
        </w:rPr>
        <w:t>Validación de Explicabilidad:</w:t>
      </w:r>
      <w:r>
        <w:t xml:space="preserve"> Comprobación sistemática de que ninguna decisión resulte huérfana de su correspondiente </w:t>
      </w:r>
      <w:r>
        <w:rPr>
          <w:rStyle w:val="VerbatimChar"/>
          <w:color w:val="7A2E0E"/>
          <w:sz w:val="20"/>
        </w:rPr>
        <w:t>Codigo_Razon</w:t>
      </w:r>
      <w:r>
        <w:t>.</w:t>
      </w:r>
    </w:p>
    <w:p w14:paraId="1170503E" w14:textId="77777777" w:rsidR="004C45CB" w:rsidRDefault="00000000">
      <w:pPr>
        <w:pStyle w:val="Ttulo1"/>
      </w:pPr>
      <w:bookmarkStart w:id="36" w:name="_Toc910018"/>
      <w:bookmarkStart w:id="37" w:name="conclusión-de-la-fase-1-y-próximos-pasos"/>
      <w:bookmarkEnd w:id="29"/>
      <w:bookmarkEnd w:id="35"/>
      <w:r>
        <w:lastRenderedPageBreak/>
        <w:t>6. Conclusión de la Fase 1 y Próximos Pasos</w:t>
      </w:r>
      <w:bookmarkEnd w:id="36"/>
    </w:p>
    <w:p w14:paraId="1CC323F5" w14:textId="77777777" w:rsidR="004C45CB" w:rsidRDefault="00000000">
      <w:pPr>
        <w:pStyle w:val="FirstParagraph"/>
        <w:keepNext/>
      </w:pPr>
      <w:r>
        <w:t>El presente documento formaliza el marco conceptual, normativo y arquitectónico del Prototipo de Motor de Decisiones Comportamentales. Con este diseño se garantiza:</w:t>
      </w:r>
    </w:p>
    <w:p w14:paraId="054721C9" w14:textId="77777777" w:rsidR="004C45CB" w:rsidRDefault="00000000">
      <w:pPr>
        <w:pStyle w:val="Compact"/>
        <w:numPr>
          <w:ilvl w:val="0"/>
          <w:numId w:val="33"/>
        </w:numPr>
      </w:pPr>
      <w:r>
        <w:t>La transición de procesos heurísticos vulnerables en hojas de cálculo hacia una arquitectura de software desacoplada, auditable y de alto rendimiento.</w:t>
      </w:r>
    </w:p>
    <w:p w14:paraId="14E7BCD7" w14:textId="77777777" w:rsidR="004C45CB" w:rsidRDefault="00000000">
      <w:pPr>
        <w:pStyle w:val="Compact"/>
        <w:numPr>
          <w:ilvl w:val="0"/>
          <w:numId w:val="33"/>
        </w:numPr>
      </w:pPr>
      <w:r>
        <w:t>La réplica didáctica y técnica de los principios rectores de soluciones industriales consolidadas como Experian PowerCurve.</w:t>
      </w:r>
    </w:p>
    <w:p w14:paraId="19444D03" w14:textId="77777777" w:rsidR="004C45CB" w:rsidRDefault="00000000">
      <w:pPr>
        <w:pStyle w:val="Compact"/>
        <w:numPr>
          <w:ilvl w:val="0"/>
          <w:numId w:val="33"/>
        </w:numPr>
      </w:pPr>
      <w:r>
        <w:t>Un marco de trabajo ordenado para iniciar la codificación de las capas de datos y motor en los siguientes avances de la residencia profesional.</w:t>
      </w:r>
      <w:bookmarkEnd w:id="37"/>
    </w:p>
    <w:sectPr w:rsidR="004C45CB">
      <w:headerReference w:type="default" r:id="rId7"/>
      <w:footerReference w:type="default" r:id="rId8"/>
      <w:pgSz w:w="12240" w:h="15840"/>
      <w:pgMar w:top="1440" w:right="1440" w:bottom="1440" w:left="1440" w:header="650" w:footer="65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4DB28" w14:textId="77777777" w:rsidR="00E25411" w:rsidRDefault="00E25411">
      <w:pPr>
        <w:spacing w:after="0"/>
      </w:pPr>
      <w:r>
        <w:separator/>
      </w:r>
    </w:p>
  </w:endnote>
  <w:endnote w:type="continuationSeparator" w:id="0">
    <w:p w14:paraId="4E72DA9B" w14:textId="77777777" w:rsidR="00E25411" w:rsidRDefault="00E254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DFD3" w14:textId="77777777" w:rsidR="004C45CB" w:rsidRDefault="00000000">
    <w:pPr>
      <w:pStyle w:val="Piedepgina1"/>
      <w:tabs>
        <w:tab w:val="right" w:pos="9360"/>
      </w:tabs>
    </w:pPr>
    <w:r>
      <w:rPr>
        <w:color w:val="7F7F7F"/>
        <w:sz w:val="17"/>
      </w:rPr>
      <w:t>TESE · Residencia Profesional</w:t>
    </w:r>
    <w:r>
      <w:rPr>
        <w:color w:val="7F7F7F"/>
        <w:sz w:val="17"/>
      </w:rPr>
      <w:tab/>
      <w:t xml:space="preserve">Página </w:t>
    </w:r>
    <w:r>
      <w:rPr>
        <w:color w:val="7F7F7F"/>
        <w:sz w:val="17"/>
      </w:rPr>
      <w:fldChar w:fldCharType="begin"/>
    </w:r>
    <w:r>
      <w:rPr>
        <w:color w:val="7F7F7F"/>
        <w:sz w:val="17"/>
      </w:rPr>
      <w:instrText xml:space="preserve"> PAGE </w:instrText>
    </w:r>
    <w:r>
      <w:rPr>
        <w:color w:val="7F7F7F"/>
        <w:sz w:val="17"/>
      </w:rPr>
      <w:fldChar w:fldCharType="separate"/>
    </w:r>
    <w:r>
      <w:rPr>
        <w:color w:val="7F7F7F"/>
        <w:sz w:val="17"/>
      </w:rPr>
      <w:t>1</w:t>
    </w:r>
    <w:r>
      <w:rPr>
        <w:color w:val="7F7F7F"/>
        <w:sz w:val="17"/>
      </w:rPr>
      <w:fldChar w:fldCharType="end"/>
    </w:r>
    <w:r>
      <w:rPr>
        <w:color w:val="7F7F7F"/>
        <w:sz w:val="17"/>
      </w:rPr>
      <w:t xml:space="preserve"> de </w:t>
    </w:r>
    <w:r>
      <w:rPr>
        <w:color w:val="7F7F7F"/>
        <w:sz w:val="17"/>
      </w:rPr>
      <w:fldChar w:fldCharType="begin"/>
    </w:r>
    <w:r>
      <w:rPr>
        <w:color w:val="7F7F7F"/>
        <w:sz w:val="17"/>
      </w:rPr>
      <w:instrText xml:space="preserve"> NUMPAGES </w:instrText>
    </w:r>
    <w:r>
      <w:rPr>
        <w:color w:val="7F7F7F"/>
        <w:sz w:val="17"/>
      </w:rPr>
      <w:fldChar w:fldCharType="separate"/>
    </w:r>
    <w:r>
      <w:rPr>
        <w:color w:val="7F7F7F"/>
        <w:sz w:val="17"/>
      </w:rPr>
      <w:t>1</w:t>
    </w:r>
    <w:r>
      <w:rPr>
        <w:color w:val="7F7F7F"/>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987B" w14:textId="77777777" w:rsidR="00E25411" w:rsidRDefault="00E25411">
      <w:r>
        <w:separator/>
      </w:r>
    </w:p>
  </w:footnote>
  <w:footnote w:type="continuationSeparator" w:id="0">
    <w:p w14:paraId="271303F4" w14:textId="77777777" w:rsidR="00E25411" w:rsidRDefault="00E25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5B9A3" w14:textId="77777777" w:rsidR="004C45CB" w:rsidRDefault="00000000">
    <w:pPr>
      <w:pStyle w:val="Encabezado1"/>
      <w:pBdr>
        <w:bottom w:val="single" w:sz="4" w:space="4" w:color="BFC7D5"/>
      </w:pBdr>
      <w:tabs>
        <w:tab w:val="right" w:pos="9360"/>
      </w:tabs>
    </w:pPr>
    <w:r>
      <w:rPr>
        <w:color w:val="7F7F7F"/>
        <w:sz w:val="17"/>
      </w:rPr>
      <w:t>Documentación Técnica y Conceptual del Proyecto</w:t>
    </w:r>
    <w:r>
      <w:tab/>
    </w:r>
    <w:r>
      <w:rPr>
        <w:color w:val="7F7F7F"/>
        <w:sz w:val="17"/>
      </w:rPr>
      <w:t>Versión 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0084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198ED9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6786F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254346">
    <w:abstractNumId w:val="0"/>
  </w:num>
  <w:num w:numId="2" w16cid:durableId="1131439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0869927">
    <w:abstractNumId w:val="1"/>
  </w:num>
  <w:num w:numId="4" w16cid:durableId="162551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0907965">
    <w:abstractNumId w:val="1"/>
  </w:num>
  <w:num w:numId="6" w16cid:durableId="780075888">
    <w:abstractNumId w:val="1"/>
  </w:num>
  <w:num w:numId="7" w16cid:durableId="294917274">
    <w:abstractNumId w:val="1"/>
  </w:num>
  <w:num w:numId="8" w16cid:durableId="1525096283">
    <w:abstractNumId w:val="1"/>
  </w:num>
  <w:num w:numId="9" w16cid:durableId="415785923">
    <w:abstractNumId w:val="1"/>
  </w:num>
  <w:num w:numId="10" w16cid:durableId="1938714827">
    <w:abstractNumId w:val="1"/>
  </w:num>
  <w:num w:numId="11" w16cid:durableId="1790926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16408281">
    <w:abstractNumId w:val="1"/>
  </w:num>
  <w:num w:numId="13" w16cid:durableId="1489861785">
    <w:abstractNumId w:val="1"/>
  </w:num>
  <w:num w:numId="14" w16cid:durableId="693381635">
    <w:abstractNumId w:val="1"/>
  </w:num>
  <w:num w:numId="15" w16cid:durableId="1776635140">
    <w:abstractNumId w:val="1"/>
  </w:num>
  <w:num w:numId="16" w16cid:durableId="1030573478">
    <w:abstractNumId w:val="1"/>
  </w:num>
  <w:num w:numId="17" w16cid:durableId="1995134279">
    <w:abstractNumId w:val="1"/>
  </w:num>
  <w:num w:numId="18" w16cid:durableId="828836516">
    <w:abstractNumId w:val="1"/>
  </w:num>
  <w:num w:numId="19" w16cid:durableId="1813599634">
    <w:abstractNumId w:val="1"/>
  </w:num>
  <w:num w:numId="20" w16cid:durableId="190460664">
    <w:abstractNumId w:val="1"/>
  </w:num>
  <w:num w:numId="21" w16cid:durableId="372846974">
    <w:abstractNumId w:val="1"/>
  </w:num>
  <w:num w:numId="22" w16cid:durableId="962884043">
    <w:abstractNumId w:val="1"/>
  </w:num>
  <w:num w:numId="23" w16cid:durableId="1078746764">
    <w:abstractNumId w:val="1"/>
  </w:num>
  <w:num w:numId="24" w16cid:durableId="807094318">
    <w:abstractNumId w:val="1"/>
  </w:num>
  <w:num w:numId="25" w16cid:durableId="1797137182">
    <w:abstractNumId w:val="1"/>
  </w:num>
  <w:num w:numId="26" w16cid:durableId="1660185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57602240">
    <w:abstractNumId w:val="1"/>
  </w:num>
  <w:num w:numId="28" w16cid:durableId="805701610">
    <w:abstractNumId w:val="1"/>
  </w:num>
  <w:num w:numId="29" w16cid:durableId="725951694">
    <w:abstractNumId w:val="1"/>
  </w:num>
  <w:num w:numId="30" w16cid:durableId="1793405839">
    <w:abstractNumId w:val="1"/>
  </w:num>
  <w:num w:numId="31" w16cid:durableId="1424767287">
    <w:abstractNumId w:val="1"/>
  </w:num>
  <w:num w:numId="32" w16cid:durableId="1021591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71013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45CB"/>
    <w:rsid w:val="001D335E"/>
    <w:rsid w:val="004C45CB"/>
    <w:rsid w:val="00550D9F"/>
    <w:rsid w:val="006A7E66"/>
    <w:rsid w:val="00CE7882"/>
    <w:rsid w:val="00E25411"/>
    <w:rsid w:val="00EF4FA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15735"/>
  <w15:docId w15:val="{C0BA5A0E-4156-43B0-80DF-EF4203714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color w:val="262626"/>
      <w:sz w:val="21"/>
    </w:rPr>
  </w:style>
  <w:style w:type="paragraph" w:styleId="Ttulo1">
    <w:name w:val="heading 1"/>
    <w:basedOn w:val="Normal"/>
    <w:next w:val="Textoindependiente"/>
    <w:uiPriority w:val="9"/>
    <w:qFormat/>
    <w:pPr>
      <w:keepNext/>
      <w:keepLines/>
      <w:pBdr>
        <w:bottom w:val="single" w:sz="8" w:space="3" w:color="1F3864"/>
      </w:pBdr>
      <w:spacing w:before="360" w:after="160"/>
      <w:outlineLvl w:val="0"/>
    </w:pPr>
    <w:rPr>
      <w:b/>
      <w:bCs/>
      <w:color w:val="1F3864"/>
      <w:sz w:val="34"/>
      <w:szCs w:val="32"/>
    </w:rPr>
  </w:style>
  <w:style w:type="paragraph" w:styleId="Ttulo2">
    <w:name w:val="heading 2"/>
    <w:basedOn w:val="Normal"/>
    <w:next w:val="Textoindependiente"/>
    <w:uiPriority w:val="9"/>
    <w:unhideWhenUsed/>
    <w:qFormat/>
    <w:pPr>
      <w:keepNext/>
      <w:keepLines/>
      <w:spacing w:before="280" w:after="80"/>
      <w:outlineLvl w:val="1"/>
    </w:pPr>
    <w:rPr>
      <w:b/>
      <w:bCs/>
      <w:color w:val="2E5597"/>
      <w:sz w:val="26"/>
      <w:szCs w:val="28"/>
    </w:rPr>
  </w:style>
  <w:style w:type="paragraph" w:styleId="Ttulo3">
    <w:name w:val="heading 3"/>
    <w:basedOn w:val="Normal"/>
    <w:next w:val="Textoindependiente"/>
    <w:uiPriority w:val="9"/>
    <w:unhideWhenUsed/>
    <w:qFormat/>
    <w:pPr>
      <w:keepNext/>
      <w:keepLines/>
      <w:spacing w:before="200" w:after="60"/>
      <w:outlineLvl w:val="2"/>
    </w:pPr>
    <w:rPr>
      <w:b/>
      <w:bCs/>
      <w:color w:val="1F3864"/>
      <w:sz w:val="23"/>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20" w:line="269" w:lineRule="auto"/>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60" w:line="264" w:lineRule="auto"/>
    </w:pPr>
  </w:style>
  <w:style w:type="paragraph" w:styleId="Ttulo">
    <w:name w:val="Title"/>
    <w:basedOn w:val="Normal"/>
    <w:next w:val="Textoindependiente"/>
    <w:qFormat/>
    <w:pPr>
      <w:keepNext/>
      <w:keepLines/>
    </w:pPr>
    <w:rPr>
      <w:b/>
      <w:bCs/>
      <w:color w:val="1F3864"/>
      <w:sz w:val="60"/>
      <w:szCs w:val="36"/>
    </w:rPr>
  </w:style>
  <w:style w:type="paragraph" w:styleId="Subttulo">
    <w:name w:val="Subtitle"/>
    <w:basedOn w:val="Ttulo"/>
    <w:next w:val="Textoindependiente"/>
    <w:qFormat/>
    <w:pPr>
      <w:spacing w:after="280" w:line="264" w:lineRule="auto"/>
    </w:pPr>
    <w:rPr>
      <w:b w:val="0"/>
      <w:color w:val="595959"/>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eastAsia="Consolas" w:hAnsi="Consolas" w:cs="Consolas"/>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0" w:after="240" w:line="259" w:lineRule="auto"/>
      <w:outlineLvl w:val="9"/>
    </w:pPr>
    <w:rPr>
      <w:bCs w:val="0"/>
    </w:rPr>
  </w:style>
  <w:style w:type="paragraph" w:customStyle="1" w:styleId="SourceCode">
    <w:name w:val="Source Code"/>
    <w:basedOn w:val="Normal"/>
    <w:link w:val="VerbatimChar"/>
    <w:pPr>
      <w:keepLines/>
      <w:pBdr>
        <w:top w:val="single" w:sz="4" w:space="5" w:color="C9D1DF"/>
        <w:left w:val="single" w:sz="4" w:space="5" w:color="C9D1DF"/>
        <w:bottom w:val="single" w:sz="4" w:space="5" w:color="C9D1DF"/>
        <w:right w:val="single" w:sz="4" w:space="5" w:color="C9D1DF"/>
      </w:pBdr>
      <w:shd w:val="clear" w:color="auto" w:fill="F4F6FA"/>
      <w:wordWrap w:val="0"/>
      <w:spacing w:before="120"/>
      <w:ind w:left="140" w:right="140"/>
    </w:pPr>
    <w:rPr>
      <w:rFonts w:ascii="Consolas" w:eastAsia="Consolas" w:hAnsi="Consolas" w:cs="Consolas"/>
      <w:color w:val="1E1E1E"/>
      <w:sz w:val="15"/>
    </w:rPr>
  </w:style>
  <w:style w:type="character" w:customStyle="1" w:styleId="KeywordTok">
    <w:name w:val="KeywordTok"/>
    <w:basedOn w:val="VerbatimChar"/>
    <w:rPr>
      <w:rFonts w:ascii="Consolas" w:eastAsia="Consolas" w:hAnsi="Consolas" w:cs="Consolas"/>
      <w:b/>
      <w:color w:val="007020"/>
    </w:rPr>
  </w:style>
  <w:style w:type="character" w:customStyle="1" w:styleId="DataTypeTok">
    <w:name w:val="DataTypeTok"/>
    <w:basedOn w:val="VerbatimChar"/>
    <w:rPr>
      <w:rFonts w:ascii="Consolas" w:eastAsia="Consolas" w:hAnsi="Consolas" w:cs="Consolas"/>
      <w:color w:val="902000"/>
    </w:rPr>
  </w:style>
  <w:style w:type="character" w:customStyle="1" w:styleId="DecValTok">
    <w:name w:val="DecValTok"/>
    <w:basedOn w:val="VerbatimChar"/>
    <w:rPr>
      <w:rFonts w:ascii="Consolas" w:eastAsia="Consolas" w:hAnsi="Consolas" w:cs="Consolas"/>
      <w:color w:val="40A070"/>
    </w:rPr>
  </w:style>
  <w:style w:type="character" w:customStyle="1" w:styleId="BaseNTok">
    <w:name w:val="BaseNTok"/>
    <w:basedOn w:val="VerbatimChar"/>
    <w:rPr>
      <w:rFonts w:ascii="Consolas" w:eastAsia="Consolas" w:hAnsi="Consolas" w:cs="Consolas"/>
      <w:color w:val="40A070"/>
    </w:rPr>
  </w:style>
  <w:style w:type="character" w:customStyle="1" w:styleId="FloatTok">
    <w:name w:val="FloatTok"/>
    <w:basedOn w:val="VerbatimChar"/>
    <w:rPr>
      <w:rFonts w:ascii="Consolas" w:eastAsia="Consolas" w:hAnsi="Consolas" w:cs="Consolas"/>
      <w:color w:val="40A070"/>
    </w:rPr>
  </w:style>
  <w:style w:type="character" w:customStyle="1" w:styleId="ConstantTok">
    <w:name w:val="ConstantTok"/>
    <w:basedOn w:val="VerbatimChar"/>
    <w:rPr>
      <w:rFonts w:ascii="Consolas" w:eastAsia="Consolas" w:hAnsi="Consolas" w:cs="Consolas"/>
      <w:color w:val="880000"/>
    </w:rPr>
  </w:style>
  <w:style w:type="character" w:customStyle="1" w:styleId="CharTok">
    <w:name w:val="CharTok"/>
    <w:basedOn w:val="VerbatimChar"/>
    <w:rPr>
      <w:rFonts w:ascii="Consolas" w:eastAsia="Consolas" w:hAnsi="Consolas" w:cs="Consolas"/>
      <w:color w:val="4070A0"/>
    </w:rPr>
  </w:style>
  <w:style w:type="character" w:customStyle="1" w:styleId="SpecialCharTok">
    <w:name w:val="SpecialCharTok"/>
    <w:basedOn w:val="VerbatimChar"/>
    <w:rPr>
      <w:rFonts w:ascii="Consolas" w:eastAsia="Consolas" w:hAnsi="Consolas" w:cs="Consolas"/>
      <w:color w:val="4070A0"/>
    </w:rPr>
  </w:style>
  <w:style w:type="character" w:customStyle="1" w:styleId="StringTok">
    <w:name w:val="StringTok"/>
    <w:basedOn w:val="VerbatimChar"/>
    <w:rPr>
      <w:rFonts w:ascii="Consolas" w:eastAsia="Consolas" w:hAnsi="Consolas" w:cs="Consolas"/>
      <w:color w:val="4070A0"/>
    </w:rPr>
  </w:style>
  <w:style w:type="character" w:customStyle="1" w:styleId="VerbatimStringTok">
    <w:name w:val="VerbatimStringTok"/>
    <w:basedOn w:val="VerbatimChar"/>
    <w:rPr>
      <w:rFonts w:ascii="Consolas" w:eastAsia="Consolas" w:hAnsi="Consolas" w:cs="Consolas"/>
      <w:color w:val="4070A0"/>
    </w:rPr>
  </w:style>
  <w:style w:type="character" w:customStyle="1" w:styleId="SpecialStringTok">
    <w:name w:val="SpecialStringTok"/>
    <w:basedOn w:val="VerbatimChar"/>
    <w:rPr>
      <w:rFonts w:ascii="Consolas" w:eastAsia="Consolas" w:hAnsi="Consolas" w:cs="Consolas"/>
      <w:color w:val="BB6688"/>
    </w:rPr>
  </w:style>
  <w:style w:type="character" w:customStyle="1" w:styleId="ImportTok">
    <w:name w:val="ImportTok"/>
    <w:basedOn w:val="VerbatimChar"/>
    <w:rPr>
      <w:rFonts w:ascii="Consolas" w:eastAsia="Consolas" w:hAnsi="Consolas" w:cs="Consolas"/>
      <w:b/>
      <w:color w:val="008000"/>
    </w:rPr>
  </w:style>
  <w:style w:type="character" w:customStyle="1" w:styleId="CommentTok">
    <w:name w:val="CommentTok"/>
    <w:basedOn w:val="VerbatimChar"/>
    <w:rPr>
      <w:rFonts w:ascii="Consolas" w:eastAsia="Consolas" w:hAnsi="Consolas" w:cs="Consolas"/>
      <w:i/>
      <w:color w:val="60A0B0"/>
    </w:rPr>
  </w:style>
  <w:style w:type="character" w:customStyle="1" w:styleId="DocumentationTok">
    <w:name w:val="DocumentationTok"/>
    <w:basedOn w:val="VerbatimChar"/>
    <w:rPr>
      <w:rFonts w:ascii="Consolas" w:eastAsia="Consolas" w:hAnsi="Consolas" w:cs="Consolas"/>
      <w:i/>
      <w:color w:val="BA2121"/>
    </w:rPr>
  </w:style>
  <w:style w:type="character" w:customStyle="1" w:styleId="AnnotationTok">
    <w:name w:val="AnnotationTok"/>
    <w:basedOn w:val="VerbatimChar"/>
    <w:rPr>
      <w:rFonts w:ascii="Consolas" w:eastAsia="Consolas" w:hAnsi="Consolas" w:cs="Consolas"/>
      <w:b/>
      <w:i/>
      <w:color w:val="60A0B0"/>
    </w:rPr>
  </w:style>
  <w:style w:type="character" w:customStyle="1" w:styleId="CommentVarTok">
    <w:name w:val="CommentVarTok"/>
    <w:basedOn w:val="VerbatimChar"/>
    <w:rPr>
      <w:rFonts w:ascii="Consolas" w:eastAsia="Consolas" w:hAnsi="Consolas" w:cs="Consolas"/>
      <w:b/>
      <w:i/>
      <w:color w:val="60A0B0"/>
    </w:rPr>
  </w:style>
  <w:style w:type="character" w:customStyle="1" w:styleId="OtherTok">
    <w:name w:val="OtherTok"/>
    <w:basedOn w:val="VerbatimChar"/>
    <w:rPr>
      <w:rFonts w:ascii="Consolas" w:eastAsia="Consolas" w:hAnsi="Consolas" w:cs="Consolas"/>
      <w:color w:val="007020"/>
    </w:rPr>
  </w:style>
  <w:style w:type="character" w:customStyle="1" w:styleId="FunctionTok">
    <w:name w:val="FunctionTok"/>
    <w:basedOn w:val="VerbatimChar"/>
    <w:rPr>
      <w:rFonts w:ascii="Consolas" w:eastAsia="Consolas" w:hAnsi="Consolas" w:cs="Consolas"/>
      <w:color w:val="06287E"/>
    </w:rPr>
  </w:style>
  <w:style w:type="character" w:customStyle="1" w:styleId="VariableTok">
    <w:name w:val="VariableTok"/>
    <w:basedOn w:val="VerbatimChar"/>
    <w:rPr>
      <w:rFonts w:ascii="Consolas" w:eastAsia="Consolas" w:hAnsi="Consolas" w:cs="Consolas"/>
      <w:color w:val="19177C"/>
    </w:rPr>
  </w:style>
  <w:style w:type="character" w:customStyle="1" w:styleId="ControlFlowTok">
    <w:name w:val="ControlFlowTok"/>
    <w:basedOn w:val="VerbatimChar"/>
    <w:rPr>
      <w:rFonts w:ascii="Consolas" w:eastAsia="Consolas" w:hAnsi="Consolas" w:cs="Consolas"/>
      <w:b/>
      <w:color w:val="007020"/>
    </w:rPr>
  </w:style>
  <w:style w:type="character" w:customStyle="1" w:styleId="OperatorTok">
    <w:name w:val="OperatorTok"/>
    <w:basedOn w:val="VerbatimChar"/>
    <w:rPr>
      <w:rFonts w:ascii="Consolas" w:eastAsia="Consolas" w:hAnsi="Consolas" w:cs="Consolas"/>
      <w:color w:val="666666"/>
    </w:rPr>
  </w:style>
  <w:style w:type="character" w:customStyle="1" w:styleId="BuiltInTok">
    <w:name w:val="BuiltInTok"/>
    <w:basedOn w:val="VerbatimChar"/>
    <w:rPr>
      <w:rFonts w:ascii="Consolas" w:eastAsia="Consolas" w:hAnsi="Consolas" w:cs="Consolas"/>
      <w:color w:val="008000"/>
    </w:rPr>
  </w:style>
  <w:style w:type="character" w:customStyle="1" w:styleId="ExtensionTok">
    <w:name w:val="ExtensionTok"/>
    <w:basedOn w:val="VerbatimChar"/>
    <w:rPr>
      <w:rFonts w:ascii="Consolas" w:eastAsia="Consolas" w:hAnsi="Consolas" w:cs="Consolas"/>
    </w:rPr>
  </w:style>
  <w:style w:type="character" w:customStyle="1" w:styleId="PreprocessorTok">
    <w:name w:val="PreprocessorTok"/>
    <w:basedOn w:val="VerbatimChar"/>
    <w:rPr>
      <w:rFonts w:ascii="Consolas" w:eastAsia="Consolas" w:hAnsi="Consolas" w:cs="Consolas"/>
      <w:color w:val="BC7A00"/>
    </w:rPr>
  </w:style>
  <w:style w:type="character" w:customStyle="1" w:styleId="AttributeTok">
    <w:name w:val="AttributeTok"/>
    <w:basedOn w:val="VerbatimChar"/>
    <w:rPr>
      <w:rFonts w:ascii="Consolas" w:eastAsia="Consolas" w:hAnsi="Consolas" w:cs="Consolas"/>
      <w:color w:val="7D9029"/>
    </w:rPr>
  </w:style>
  <w:style w:type="character" w:customStyle="1" w:styleId="RegionMarkerTok">
    <w:name w:val="RegionMarkerTok"/>
    <w:basedOn w:val="VerbatimChar"/>
    <w:rPr>
      <w:rFonts w:ascii="Consolas" w:eastAsia="Consolas" w:hAnsi="Consolas" w:cs="Consolas"/>
    </w:rPr>
  </w:style>
  <w:style w:type="character" w:customStyle="1" w:styleId="InformationTok">
    <w:name w:val="InformationTok"/>
    <w:basedOn w:val="VerbatimChar"/>
    <w:rPr>
      <w:rFonts w:ascii="Consolas" w:eastAsia="Consolas" w:hAnsi="Consolas" w:cs="Consolas"/>
      <w:b/>
      <w:i/>
      <w:color w:val="60A0B0"/>
    </w:rPr>
  </w:style>
  <w:style w:type="character" w:customStyle="1" w:styleId="WarningTok">
    <w:name w:val="WarningTok"/>
    <w:basedOn w:val="VerbatimChar"/>
    <w:rPr>
      <w:rFonts w:ascii="Consolas" w:eastAsia="Consolas" w:hAnsi="Consolas" w:cs="Consolas"/>
      <w:b/>
      <w:i/>
      <w:color w:val="60A0B0"/>
    </w:rPr>
  </w:style>
  <w:style w:type="character" w:customStyle="1" w:styleId="AlertTok">
    <w:name w:val="AlertTok"/>
    <w:basedOn w:val="VerbatimChar"/>
    <w:rPr>
      <w:rFonts w:ascii="Consolas" w:eastAsia="Consolas" w:hAnsi="Consolas" w:cs="Consolas"/>
      <w:b/>
      <w:color w:val="FF0000"/>
    </w:rPr>
  </w:style>
  <w:style w:type="character" w:customStyle="1" w:styleId="ErrorTok">
    <w:name w:val="ErrorTok"/>
    <w:basedOn w:val="VerbatimChar"/>
    <w:rPr>
      <w:rFonts w:ascii="Consolas" w:eastAsia="Consolas" w:hAnsi="Consolas" w:cs="Consolas"/>
      <w:b/>
      <w:color w:val="FF0000"/>
    </w:rPr>
  </w:style>
  <w:style w:type="character" w:customStyle="1" w:styleId="NormalTok">
    <w:name w:val="NormalTok"/>
    <w:basedOn w:val="VerbatimChar"/>
    <w:rPr>
      <w:rFonts w:ascii="Consolas" w:eastAsia="Consolas" w:hAnsi="Consolas" w:cs="Consolas"/>
    </w:rPr>
  </w:style>
  <w:style w:type="paragraph" w:customStyle="1" w:styleId="Encabezado1">
    <w:name w:val="Encabezado1"/>
    <w:basedOn w:val="Normal"/>
    <w:pPr>
      <w:spacing w:after="0"/>
    </w:pPr>
  </w:style>
  <w:style w:type="paragraph" w:customStyle="1" w:styleId="Piedepgina1">
    <w:name w:val="Pie de página1"/>
    <w:basedOn w:val="Normal"/>
    <w:pPr>
      <w:spacing w:after="0"/>
    </w:pPr>
  </w:style>
  <w:style w:type="paragraph" w:customStyle="1" w:styleId="TablaTexto">
    <w:name w:val="Tabla Texto"/>
    <w:basedOn w:val="Compact"/>
    <w:pPr>
      <w:spacing w:after="0" w:line="252" w:lineRule="auto"/>
    </w:pPr>
    <w:rPr>
      <w:sz w:val="17"/>
    </w:rPr>
  </w:style>
  <w:style w:type="paragraph" w:customStyle="1" w:styleId="TDC11">
    <w:name w:val="TDC 11"/>
    <w:basedOn w:val="Normal"/>
    <w:pPr>
      <w:tabs>
        <w:tab w:val="right" w:leader="dot" w:pos="9350"/>
      </w:tabs>
      <w:spacing w:before="120" w:after="40" w:line="252" w:lineRule="auto"/>
    </w:pPr>
    <w:rPr>
      <w:b/>
      <w:color w:val="1F3864"/>
    </w:rPr>
  </w:style>
  <w:style w:type="paragraph" w:customStyle="1" w:styleId="TDC21">
    <w:name w:val="TDC 21"/>
    <w:basedOn w:val="Normal"/>
    <w:pPr>
      <w:tabs>
        <w:tab w:val="right" w:leader="dot" w:pos="9350"/>
      </w:tabs>
      <w:spacing w:before="20" w:after="40" w:line="252" w:lineRule="auto"/>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4028</Words>
  <Characters>22156</Characters>
  <Application>Microsoft Office Word</Application>
  <DocSecurity>0</DocSecurity>
  <Lines>184</Lines>
  <Paragraphs>52</Paragraphs>
  <ScaleCrop>false</ScaleCrop>
  <Company/>
  <LinksUpToDate>false</LinksUpToDate>
  <CharactersWithSpaces>26132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y Conceptual del Proyecto — Prototipo de Motor de Decisiones Comportamentales para Riesgo de Crédito (Arquitectura Inspirada en PowerCurve Strategy Management)</dc:title>
  <dc:creator>Residente de Ingeniería</dc:creator>
  <cp:keywords/>
  <cp:lastModifiedBy>Marco Oroza</cp:lastModifiedBy>
  <cp:revision>3</cp:revision>
  <dcterms:created xsi:type="dcterms:W3CDTF">2026-09-18T21:36:00Z</dcterms:created>
  <dcterms:modified xsi:type="dcterms:W3CDTF">2026-09-18T22:17:00Z</dcterms:modified>
  <dc:language>es-MX</dc:language>
</cp:coreProperties>
</file>