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xml:space="preserve">. Ing. Gabriela Salem / Ing. Andrea </w:t>
      </w:r>
      <w:proofErr w:type="spellStart"/>
      <w:r>
        <w:rPr>
          <w:rFonts w:ascii="Arial" w:eastAsia="Arial" w:hAnsi="Arial" w:cs="Arial"/>
          <w:i/>
          <w:sz w:val="22"/>
          <w:szCs w:val="22"/>
        </w:rPr>
        <w:t>Alegretti</w:t>
      </w:r>
      <w:proofErr w:type="spellEnd"/>
      <w:r>
        <w:rPr>
          <w:rFonts w:ascii="Arial" w:eastAsia="Arial" w:hAnsi="Arial" w:cs="Arial"/>
          <w:i/>
          <w:sz w:val="22"/>
          <w:szCs w:val="22"/>
        </w:rPr>
        <w:t xml:space="preserve"> / Gabriel </w:t>
      </w:r>
      <w:proofErr w:type="spellStart"/>
      <w:r>
        <w:rPr>
          <w:rFonts w:ascii="Arial" w:eastAsia="Arial" w:hAnsi="Arial" w:cs="Arial"/>
          <w:i/>
          <w:sz w:val="22"/>
          <w:szCs w:val="22"/>
        </w:rPr>
        <w:t>Simois</w:t>
      </w:r>
      <w:proofErr w:type="spellEnd"/>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Andrea </w:t>
      </w:r>
      <w:proofErr w:type="spellStart"/>
      <w:r>
        <w:rPr>
          <w:rFonts w:ascii="Arial" w:eastAsia="Arial" w:hAnsi="Arial" w:cs="Arial"/>
          <w:i/>
          <w:sz w:val="22"/>
          <w:szCs w:val="22"/>
        </w:rPr>
        <w:t>Alegretti</w:t>
      </w:r>
      <w:proofErr w:type="spellEnd"/>
      <w:r>
        <w:rPr>
          <w:rFonts w:ascii="Arial" w:eastAsia="Arial" w:hAnsi="Arial" w:cs="Arial"/>
          <w:b/>
          <w:i/>
          <w:sz w:val="22"/>
          <w:szCs w:val="22"/>
        </w:rPr>
        <w:t xml:space="preserve"> / </w:t>
      </w:r>
      <w:r>
        <w:rPr>
          <w:rFonts w:ascii="Arial" w:eastAsia="Arial" w:hAnsi="Arial" w:cs="Arial"/>
          <w:i/>
          <w:sz w:val="22"/>
          <w:szCs w:val="22"/>
        </w:rPr>
        <w:t xml:space="preserve">Gabriel </w:t>
      </w:r>
      <w:proofErr w:type="spellStart"/>
      <w:r>
        <w:rPr>
          <w:rFonts w:ascii="Arial" w:eastAsia="Arial" w:hAnsi="Arial" w:cs="Arial"/>
          <w:i/>
          <w:sz w:val="22"/>
          <w:szCs w:val="22"/>
        </w:rPr>
        <w:t>Simois</w:t>
      </w:r>
      <w:proofErr w:type="spellEnd"/>
      <w:r>
        <w:rPr>
          <w:rFonts w:ascii="Arial" w:eastAsia="Arial" w:hAnsi="Arial" w:cs="Arial"/>
          <w:i/>
          <w:sz w:val="22"/>
          <w:szCs w:val="22"/>
        </w:rPr>
        <w:t xml:space="preserve"> / </w:t>
      </w:r>
      <w:proofErr w:type="spellStart"/>
      <w:r w:rsidRPr="003F194A">
        <w:rPr>
          <w:rFonts w:ascii="Arial" w:eastAsia="Arial" w:hAnsi="Arial" w:cs="Arial"/>
          <w:i/>
          <w:sz w:val="22"/>
          <w:szCs w:val="22"/>
        </w:rPr>
        <w:t>Agustin</w:t>
      </w:r>
      <w:proofErr w:type="spellEnd"/>
      <w:r w:rsidRPr="003F194A">
        <w:rPr>
          <w:rFonts w:ascii="Arial" w:eastAsia="Arial" w:hAnsi="Arial" w:cs="Arial"/>
          <w:i/>
          <w:sz w:val="22"/>
          <w:szCs w:val="22"/>
        </w:rPr>
        <w:t xml:space="preserve"> López </w:t>
      </w:r>
      <w:proofErr w:type="spellStart"/>
      <w:r w:rsidRPr="003F194A">
        <w:rPr>
          <w:rFonts w:ascii="Arial" w:eastAsia="Arial" w:hAnsi="Arial" w:cs="Arial"/>
          <w:i/>
          <w:sz w:val="22"/>
          <w:szCs w:val="22"/>
        </w:rPr>
        <w:t>Munell</w:t>
      </w:r>
      <w:proofErr w:type="spellEnd"/>
      <w:r w:rsidRPr="003F194A">
        <w:rPr>
          <w:rFonts w:ascii="Arial" w:eastAsia="Arial" w:hAnsi="Arial" w:cs="Arial"/>
          <w:i/>
          <w:sz w:val="22"/>
          <w:szCs w:val="22"/>
        </w:rPr>
        <w:t xml:space="preserve">/ Mauro </w:t>
      </w:r>
      <w:proofErr w:type="spellStart"/>
      <w:r w:rsidRPr="003F194A">
        <w:rPr>
          <w:rFonts w:ascii="Arial" w:eastAsia="Arial" w:hAnsi="Arial" w:cs="Arial"/>
          <w:i/>
          <w:sz w:val="22"/>
          <w:szCs w:val="22"/>
        </w:rPr>
        <w:t>Giraldez</w:t>
      </w:r>
      <w:bookmarkStart w:id="1" w:name="_heading=h.30j0zll" w:colFirst="0" w:colLast="0"/>
      <w:bookmarkStart w:id="2" w:name="_heading=h.1fob9te" w:colFirst="0" w:colLast="0"/>
      <w:bookmarkEnd w:id="1"/>
      <w:bookmarkEnd w:id="2"/>
      <w:proofErr w:type="spellEnd"/>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3986A1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 del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77777777" w:rsidR="00C23819" w:rsidRDefault="00C23819">
            <w:pPr>
              <w:pBdr>
                <w:top w:val="nil"/>
                <w:left w:val="nil"/>
                <w:bottom w:val="nil"/>
                <w:right w:val="nil"/>
                <w:between w:val="nil"/>
              </w:pBdr>
              <w:tabs>
                <w:tab w:val="left" w:pos="708"/>
              </w:tabs>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1"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2"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3"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4"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E0D0EA9" w:rsidR="004F2593" w:rsidRDefault="00070CA3"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 ante cambios relevantes en el estado del tanque</w:t>
            </w:r>
            <w:r w:rsidR="007D1146">
              <w:rPr>
                <w:rFonts w:ascii="Arial" w:eastAsia="Arial" w:hAnsi="Arial" w:cs="Arial"/>
                <w:color w:val="000000"/>
                <w:sz w:val="22"/>
                <w:szCs w:val="22"/>
              </w:rPr>
              <w:t xml:space="preserve"> (como la detección de que el tanque no se esté llenando, se haya vaciado/llenado totalmente, etc.)</w:t>
            </w:r>
            <w:r w:rsidR="004F2593">
              <w:rPr>
                <w:rFonts w:ascii="Arial" w:eastAsia="Arial" w:hAnsi="Arial" w:cs="Arial"/>
                <w:color w:val="000000"/>
                <w:sz w:val="22"/>
                <w:szCs w:val="22"/>
              </w:rPr>
              <w:t>.</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65695F5" w14:textId="6E319320" w:rsidR="003D1640" w:rsidRPr="0098286D" w:rsidRDefault="003D1640"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Puede ser usado de plataforma para múltiples servicios adicionales relacionados, como recomendaciones personalizadas sobre el uso de agua, o integraciones con sistemas de control hogareños para el encendido y apagado de la bomba de suministro.</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lastRenderedPageBreak/>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22223CC6"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923D96">
              <w:rPr>
                <w:rFonts w:ascii="Arial" w:hAnsi="Arial" w:cs="Arial"/>
                <w:color w:val="000000"/>
                <w:sz w:val="22"/>
                <w:szCs w:val="22"/>
                <w:shd w:val="clear" w:color="auto" w:fill="FBFBFB"/>
              </w:rPr>
              <w:t>aprobado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w:t>
            </w:r>
            <w:proofErr w:type="gramStart"/>
            <w:r>
              <w:rPr>
                <w:rFonts w:ascii="Arial" w:eastAsia="Arial" w:hAnsi="Arial" w:cs="Arial"/>
                <w:color w:val="000000"/>
                <w:sz w:val="20"/>
                <w:szCs w:val="20"/>
              </w:rPr>
              <w:t>que</w:t>
            </w:r>
            <w:proofErr w:type="gramEnd"/>
            <w:r>
              <w:rPr>
                <w:rFonts w:ascii="Arial" w:eastAsia="Arial" w:hAnsi="Arial" w:cs="Arial"/>
                <w:color w:val="000000"/>
                <w:sz w:val="20"/>
                <w:szCs w:val="20"/>
              </w:rPr>
              <w:t xml:space="preserve"> en la vida real, la asignación de nombre y apellido a un determinado rol se lo suele realizar antes de la reunión de </w:t>
            </w:r>
            <w:proofErr w:type="spellStart"/>
            <w:r>
              <w:rPr>
                <w:rFonts w:ascii="Arial" w:eastAsia="Arial" w:hAnsi="Arial" w:cs="Arial"/>
                <w:color w:val="000000"/>
                <w:sz w:val="20"/>
                <w:szCs w:val="20"/>
              </w:rPr>
              <w:t>kickoff</w:t>
            </w:r>
            <w:proofErr w:type="spellEnd"/>
            <w:r>
              <w:rPr>
                <w:rFonts w:ascii="Arial" w:eastAsia="Arial" w:hAnsi="Arial" w:cs="Arial"/>
                <w:color w:val="000000"/>
                <w:sz w:val="20"/>
                <w:szCs w:val="20"/>
              </w:rPr>
              <w:t xml:space="preserve">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Proyecto</w:t>
            </w:r>
          </w:p>
        </w:tc>
      </w:tr>
      <w:tr w:rsidR="00C23819" w14:paraId="06569626" w14:textId="77777777">
        <w:trPr>
          <w:trHeight w:val="640"/>
        </w:trPr>
        <w:tc>
          <w:tcPr>
            <w:tcW w:w="10305" w:type="dxa"/>
          </w:tcPr>
          <w:p w14:paraId="06569622"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de ejecución con el que se va a encarar el proyecto. Incluye la metodología a utilizar para la gestión, como así también, la que se utilizará para la construcción de la solución de software.</w:t>
            </w:r>
          </w:p>
          <w:p w14:paraId="0656962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4"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la metodología de gestión que se utilizará para gestionar el proyecto y cuál será la metodología elegida para la construcción del software).</w:t>
            </w:r>
          </w:p>
          <w:p w14:paraId="06569625"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en que se llevará a cabo la puesta en marcha en producción de la solución propuesta y los procesos definidos como parte del proyecto.</w:t>
            </w:r>
          </w:p>
          <w:p w14:paraId="0656962A"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B"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este ítem sirve para establecer la modalidad de puesta en marcha o despliegue del producto en producción).</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w:t>
            </w:r>
            <w:proofErr w:type="spellStart"/>
            <w:r>
              <w:rPr>
                <w:rFonts w:ascii="Arial" w:eastAsia="Arial" w:hAnsi="Arial" w:cs="Arial"/>
                <w:color w:val="000000"/>
                <w:sz w:val="20"/>
                <w:szCs w:val="20"/>
              </w:rPr>
              <w:t>kickoff</w:t>
            </w:r>
            <w:proofErr w:type="spellEnd"/>
            <w:r>
              <w:rPr>
                <w:rFonts w:ascii="Arial" w:eastAsia="Arial" w:hAnsi="Arial" w:cs="Arial"/>
                <w:color w:val="000000"/>
                <w:sz w:val="20"/>
                <w:szCs w:val="20"/>
              </w:rPr>
              <w:t xml:space="preserve"> del proyecto. A </w:t>
            </w:r>
            <w:proofErr w:type="gramStart"/>
            <w:r>
              <w:rPr>
                <w:rFonts w:ascii="Arial" w:eastAsia="Arial" w:hAnsi="Arial" w:cs="Arial"/>
                <w:color w:val="000000"/>
                <w:sz w:val="20"/>
                <w:szCs w:val="20"/>
              </w:rPr>
              <w:t>continuación</w:t>
            </w:r>
            <w:proofErr w:type="gramEnd"/>
            <w:r>
              <w:rPr>
                <w:rFonts w:ascii="Arial" w:eastAsia="Arial" w:hAnsi="Arial" w:cs="Arial"/>
                <w:color w:val="000000"/>
                <w:sz w:val="20"/>
                <w:szCs w:val="20"/>
              </w:rPr>
              <w:t xml:space="preserve">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A11D87">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A11D87">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 xml:space="preserve">Dado que </w:t>
            </w:r>
            <w:proofErr w:type="gramStart"/>
            <w:r w:rsidRPr="002144A5">
              <w:rPr>
                <w:rFonts w:ascii="Arial" w:eastAsia="Arial" w:hAnsi="Arial" w:cs="Arial"/>
                <w:color w:val="000000"/>
                <w:sz w:val="20"/>
                <w:szCs w:val="20"/>
              </w:rPr>
              <w:t>los  componentes</w:t>
            </w:r>
            <w:proofErr w:type="gramEnd"/>
            <w:r w:rsidRPr="002144A5">
              <w:rPr>
                <w:rFonts w:ascii="Arial" w:eastAsia="Arial" w:hAnsi="Arial" w:cs="Arial"/>
                <w:color w:val="000000"/>
                <w:sz w:val="20"/>
                <w:szCs w:val="20"/>
              </w:rPr>
              <w:t xml:space="preserve"> de software externos pueden presentar vulnerabilidades de seguridad, entonces el sistema se podría ver comprometido</w:t>
            </w:r>
          </w:p>
          <w:p w14:paraId="49A2E24D"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las condiciones de los proveedores de servicios de mensajería pueden cambiar, el proyecto se puede ver desfavorecida técnica y/o económicamente</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se identifica como supuesto a toda acción que no ha sido contemplada como parte del alcance del proyecto y que el equipo considera que el usuario, cliente / </w:t>
            </w:r>
            <w:proofErr w:type="gramStart"/>
            <w:r>
              <w:rPr>
                <w:rFonts w:ascii="Arial" w:eastAsia="Arial" w:hAnsi="Arial" w:cs="Arial"/>
                <w:color w:val="000000"/>
                <w:sz w:val="20"/>
                <w:szCs w:val="20"/>
              </w:rPr>
              <w:t>sponsor</w:t>
            </w:r>
            <w:proofErr w:type="gramEnd"/>
            <w:r>
              <w:rPr>
                <w:rFonts w:ascii="Arial" w:eastAsia="Arial" w:hAnsi="Arial" w:cs="Arial"/>
                <w:color w:val="000000"/>
                <w:sz w:val="20"/>
                <w:szCs w:val="20"/>
              </w:rPr>
              <w:t xml:space="preserve">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se identifica como restricción a toda acción que se considera bloqueante del proyecto, sin embargo, se considera desde una perspectiva de responsabilidad del usuario, cliente / </w:t>
            </w:r>
            <w:proofErr w:type="gramStart"/>
            <w:r>
              <w:rPr>
                <w:rFonts w:ascii="Arial" w:eastAsia="Arial" w:hAnsi="Arial" w:cs="Arial"/>
                <w:color w:val="000000"/>
                <w:sz w:val="20"/>
                <w:szCs w:val="20"/>
              </w:rPr>
              <w:t>sponsor</w:t>
            </w:r>
            <w:proofErr w:type="gramEnd"/>
            <w:r>
              <w:rPr>
                <w:rFonts w:ascii="Arial" w:eastAsia="Arial" w:hAnsi="Arial" w:cs="Arial"/>
                <w:color w:val="000000"/>
                <w:sz w:val="20"/>
                <w:szCs w:val="20"/>
              </w:rPr>
              <w:t xml:space="preserve">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roofErr w:type="gramStart"/>
      <w:r>
        <w:rPr>
          <w:rFonts w:ascii="Arial" w:eastAsia="Arial" w:hAnsi="Arial" w:cs="Arial"/>
          <w:color w:val="000000"/>
          <w:sz w:val="22"/>
          <w:szCs w:val="22"/>
        </w:rPr>
        <w:t>Fecha:_</w:t>
      </w:r>
      <w:proofErr w:type="gramEnd"/>
      <w:r>
        <w:rPr>
          <w:rFonts w:ascii="Arial" w:eastAsia="Arial" w:hAnsi="Arial" w:cs="Arial"/>
          <w:color w:val="000000"/>
          <w:sz w:val="22"/>
          <w:szCs w:val="22"/>
        </w:rPr>
        <w:t>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roofErr w:type="gramStart"/>
      <w:r>
        <w:rPr>
          <w:rFonts w:ascii="Arial" w:eastAsia="Arial" w:hAnsi="Arial" w:cs="Arial"/>
          <w:color w:val="000000"/>
          <w:sz w:val="22"/>
          <w:szCs w:val="22"/>
        </w:rPr>
        <w:t>Fecha:_</w:t>
      </w:r>
      <w:proofErr w:type="gramEnd"/>
      <w:r>
        <w:rPr>
          <w:rFonts w:ascii="Arial" w:eastAsia="Arial" w:hAnsi="Arial" w:cs="Arial"/>
          <w:color w:val="000000"/>
          <w:sz w:val="22"/>
          <w:szCs w:val="22"/>
        </w:rPr>
        <w:t>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w:t>
      </w:r>
      <w:proofErr w:type="gramStart"/>
      <w:r>
        <w:rPr>
          <w:rFonts w:ascii="Arial" w:eastAsia="Arial" w:hAnsi="Arial" w:cs="Arial"/>
          <w:color w:val="000000"/>
          <w:sz w:val="20"/>
          <w:szCs w:val="20"/>
        </w:rPr>
        <w:t xml:space="preserve">docentes  </w:t>
      </w:r>
      <w:r>
        <w:rPr>
          <w:rFonts w:ascii="Arial" w:eastAsia="Arial" w:hAnsi="Arial" w:cs="Arial"/>
          <w:sz w:val="20"/>
          <w:szCs w:val="20"/>
        </w:rPr>
        <w:t>adicionales</w:t>
      </w:r>
      <w:proofErr w:type="gramEnd"/>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A88B" w14:textId="77777777" w:rsidR="000144D9" w:rsidRDefault="000144D9">
      <w:r>
        <w:separator/>
      </w:r>
    </w:p>
  </w:endnote>
  <w:endnote w:type="continuationSeparator" w:id="0">
    <w:p w14:paraId="1C6F6850" w14:textId="77777777" w:rsidR="000144D9" w:rsidRDefault="0001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proofErr w:type="spellStart"/>
    <w:r>
      <w:rPr>
        <w:rFonts w:ascii="Arial" w:eastAsia="Arial" w:hAnsi="Arial" w:cs="Arial"/>
        <w:color w:val="000000"/>
        <w:sz w:val="16"/>
        <w:szCs w:val="16"/>
      </w:rPr>
      <w:t>Template</w:t>
    </w:r>
    <w:proofErr w:type="spellEnd"/>
    <w:r>
      <w:rPr>
        <w:rFonts w:ascii="Arial" w:eastAsia="Arial" w:hAnsi="Arial" w:cs="Arial"/>
        <w:color w:val="000000"/>
        <w:sz w:val="16"/>
        <w:szCs w:val="16"/>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4597" w14:textId="77777777" w:rsidR="000144D9" w:rsidRDefault="000144D9">
      <w:r>
        <w:separator/>
      </w:r>
    </w:p>
  </w:footnote>
  <w:footnote w:type="continuationSeparator" w:id="0">
    <w:p w14:paraId="0D48B8D4" w14:textId="77777777" w:rsidR="000144D9" w:rsidRDefault="00014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A11D87"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0670FFD8"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A41CDB">
            <w:rPr>
              <w:rFonts w:ascii="Arial" w:eastAsia="Arial" w:hAnsi="Arial" w:cs="Arial"/>
              <w:color w:val="000000"/>
              <w:sz w:val="20"/>
              <w:szCs w:val="20"/>
            </w:rPr>
            <w:t>1</w:t>
          </w:r>
        </w:p>
      </w:tc>
      <w:tc>
        <w:tcPr>
          <w:tcW w:w="3335" w:type="dxa"/>
          <w:vAlign w:val="center"/>
        </w:tcPr>
        <w:p w14:paraId="06569682" w14:textId="22E8BC24" w:rsidR="00CF2CFF" w:rsidRDefault="00A41CDB"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25</w:t>
          </w:r>
          <w:r w:rsidR="00CF2CFF">
            <w:rPr>
              <w:rFonts w:ascii="Arial" w:eastAsia="Arial" w:hAnsi="Arial" w:cs="Arial"/>
              <w:color w:val="000000"/>
              <w:sz w:val="20"/>
              <w:szCs w:val="20"/>
            </w:rPr>
            <w:t>/09/2023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9EFC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1731F7"/>
    <w:rsid w:val="001E0BA2"/>
    <w:rsid w:val="001E7BB6"/>
    <w:rsid w:val="002144A5"/>
    <w:rsid w:val="0027383C"/>
    <w:rsid w:val="00327ADA"/>
    <w:rsid w:val="00337E1D"/>
    <w:rsid w:val="003D1640"/>
    <w:rsid w:val="003E4669"/>
    <w:rsid w:val="003F194A"/>
    <w:rsid w:val="004046EE"/>
    <w:rsid w:val="00456C73"/>
    <w:rsid w:val="004C5062"/>
    <w:rsid w:val="004E73DC"/>
    <w:rsid w:val="004F2593"/>
    <w:rsid w:val="00531161"/>
    <w:rsid w:val="005B5EE2"/>
    <w:rsid w:val="005E2CF9"/>
    <w:rsid w:val="00657BAB"/>
    <w:rsid w:val="007D1146"/>
    <w:rsid w:val="00841BFC"/>
    <w:rsid w:val="00892365"/>
    <w:rsid w:val="008E588B"/>
    <w:rsid w:val="00923D96"/>
    <w:rsid w:val="0098286D"/>
    <w:rsid w:val="009F369E"/>
    <w:rsid w:val="00A11D87"/>
    <w:rsid w:val="00A33150"/>
    <w:rsid w:val="00A41CDB"/>
    <w:rsid w:val="00AB22C9"/>
    <w:rsid w:val="00AE3B0A"/>
    <w:rsid w:val="00B2629C"/>
    <w:rsid w:val="00BB624F"/>
    <w:rsid w:val="00C23819"/>
    <w:rsid w:val="00C44E7A"/>
    <w:rsid w:val="00C5649C"/>
    <w:rsid w:val="00C920A7"/>
    <w:rsid w:val="00C95EF2"/>
    <w:rsid w:val="00CB4F79"/>
    <w:rsid w:val="00CB69A3"/>
    <w:rsid w:val="00CD6892"/>
    <w:rsid w:val="00CF2CFF"/>
    <w:rsid w:val="00D50B8E"/>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18</cp:revision>
  <dcterms:created xsi:type="dcterms:W3CDTF">2020-03-24T16:16:00Z</dcterms:created>
  <dcterms:modified xsi:type="dcterms:W3CDTF">2023-09-25T18:47:00Z</dcterms:modified>
</cp:coreProperties>
</file>