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77777777" w:rsidR="00256772" w:rsidRPr="00797DFC" w:rsidRDefault="00256772" w:rsidP="00797DFC">
      <w:pPr>
        <w:rPr>
          <w:color w:val="4472C4" w:themeColor="accent1"/>
          <w:sz w:val="36"/>
          <w:szCs w:val="36"/>
        </w:rPr>
      </w:pPr>
      <w:r w:rsidRPr="00797DFC">
        <w:rPr>
          <w:color w:val="4472C4" w:themeColor="accent1"/>
          <w:sz w:val="36"/>
          <w:szCs w:val="36"/>
        </w:rPr>
        <w:t xml:space="preserve">1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38B83F2D" w:rsidR="000E0E34" w:rsidRPr="00797DFC" w:rsidRDefault="00797DFC" w:rsidP="00797DFC">
      <w:pPr>
        <w:pStyle w:val="Paragrafoelenco"/>
        <w:ind w:left="732"/>
        <w:rPr>
          <w:color w:val="4472C4" w:themeColor="accent1"/>
          <w:sz w:val="36"/>
          <w:szCs w:val="36"/>
        </w:rPr>
      </w:pPr>
      <w:r w:rsidRPr="00797DFC">
        <w:rPr>
          <w:color w:val="4472C4" w:themeColor="accent1"/>
          <w:sz w:val="36"/>
          <w:szCs w:val="36"/>
        </w:rPr>
        <w:t>1.1</w:t>
      </w:r>
      <w:r w:rsidR="000E0E34" w:rsidRPr="00797DFC">
        <w:rPr>
          <w:color w:val="4472C4" w:themeColor="accent1"/>
          <w:sz w:val="36"/>
          <w:szCs w:val="36"/>
        </w:rPr>
        <w:t>Trade-offs</w:t>
      </w:r>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r w:rsidR="00486041">
        <w:t>sviluppo,</w:t>
      </w:r>
      <w:r>
        <w:t>partendo</w:t>
      </w:r>
      <w:proofErr w:type="spell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w:t>
      </w:r>
      <w:proofErr w:type="gramStart"/>
      <w:r w:rsidR="00FC7934">
        <w:t>E’</w:t>
      </w:r>
      <w:proofErr w:type="gramEnd"/>
      <w:r w:rsidR="00FC7934">
        <w:t xml:space="preserv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28BCCC45" w:rsidR="001D7CDD" w:rsidRDefault="000865B3" w:rsidP="001D7CDD">
      <w:pPr>
        <w:pStyle w:val="Titolo2"/>
        <w:rPr>
          <w:b/>
        </w:rPr>
      </w:pPr>
      <w:r>
        <w:rPr>
          <w:b/>
        </w:rPr>
        <w:t xml:space="preserve">1.2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xml:space="preserve">(), </w:t>
      </w:r>
      <w:proofErr w:type="spellStart"/>
      <w:r>
        <w:t>setId</w:t>
      </w:r>
      <w:proofErr w:type="spellEnd"/>
      <w:r>
        <w:t>()</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w:t>
      </w:r>
      <w:r>
        <w:t xml:space="preserv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538A2E55" w:rsidR="001D7CDD" w:rsidRDefault="000865B3" w:rsidP="000865B3">
      <w:pPr>
        <w:pStyle w:val="Titolo2"/>
        <w:rPr>
          <w:b/>
        </w:rPr>
      </w:pPr>
      <w:bookmarkStart w:id="0" w:name="_odukdq4ooxx7" w:colFirst="0" w:colLast="0"/>
      <w:bookmarkStart w:id="1" w:name="_GoBack"/>
      <w:bookmarkEnd w:id="0"/>
      <w:bookmarkEnd w:id="1"/>
      <w:r>
        <w:rPr>
          <w:b/>
        </w:rPr>
        <w:t xml:space="preserve">1.3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SDD: System Design </w:t>
      </w:r>
      <w:proofErr w:type="spellStart"/>
      <w:r>
        <w:t>Document</w:t>
      </w:r>
      <w:proofErr w:type="spellEnd"/>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ODD: Object Design </w:t>
      </w:r>
      <w:proofErr w:type="spellStart"/>
      <w:r>
        <w:t>Document</w:t>
      </w:r>
      <w:proofErr w:type="spellEnd"/>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 xml:space="preserve">DB: </w:t>
      </w:r>
      <w:proofErr w:type="spellStart"/>
      <w:r>
        <w:t>DataBase</w:t>
      </w:r>
      <w:proofErr w:type="spellEnd"/>
    </w:p>
    <w:p w14:paraId="06AEEE5D" w14:textId="77777777" w:rsidR="001D7CDD" w:rsidRDefault="001D7CDD" w:rsidP="001D7CDD"/>
    <w:p w14:paraId="7FFB12D0" w14:textId="7E53A604" w:rsidR="001D7CDD" w:rsidRDefault="001D7CDD" w:rsidP="000865B3">
      <w:pPr>
        <w:pStyle w:val="Titolo2"/>
        <w:numPr>
          <w:ilvl w:val="1"/>
          <w:numId w:val="14"/>
        </w:numPr>
        <w:rPr>
          <w:b/>
        </w:rPr>
      </w:pPr>
      <w:bookmarkStart w:id="2" w:name="_doaed1vs2w4m" w:colFirst="0" w:colLast="0"/>
      <w:bookmarkEnd w:id="2"/>
      <w:r>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proofErr w:type="spellStart"/>
      <w:r w:rsidR="000865B3">
        <w:t>Eat</w:t>
      </w:r>
      <w:proofErr w:type="spellEnd"/>
      <w:r w:rsidR="000865B3">
        <w:t xml:space="preserve"> &amp; </w:t>
      </w:r>
      <w:proofErr w:type="spellStart"/>
      <w:r w:rsidR="000865B3">
        <w:t>Reorder</w:t>
      </w:r>
      <w:proofErr w:type="spellEnd"/>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proofErr w:type="spellStart"/>
      <w:r w:rsidR="000865B3">
        <w:t>Eat</w:t>
      </w:r>
      <w:proofErr w:type="spellEnd"/>
      <w:r w:rsidR="000865B3">
        <w:t xml:space="preserve"> &amp; </w:t>
      </w:r>
      <w:proofErr w:type="spellStart"/>
      <w:r w:rsidR="000865B3">
        <w:t>Reorder</w:t>
      </w:r>
      <w:proofErr w:type="spellEnd"/>
    </w:p>
    <w:p w14:paraId="28DB875F" w14:textId="77777777" w:rsidR="005A6659" w:rsidRPr="005A6659" w:rsidRDefault="005A6659" w:rsidP="000E0E34"/>
    <w:sectPr w:rsidR="005A6659" w:rsidRPr="005A66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8"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6"/>
  </w:num>
  <w:num w:numId="4">
    <w:abstractNumId w:val="2"/>
  </w:num>
  <w:num w:numId="5">
    <w:abstractNumId w:val="13"/>
  </w:num>
  <w:num w:numId="6">
    <w:abstractNumId w:val="5"/>
  </w:num>
  <w:num w:numId="7">
    <w:abstractNumId w:val="3"/>
  </w:num>
  <w:num w:numId="8">
    <w:abstractNumId w:val="9"/>
  </w:num>
  <w:num w:numId="9">
    <w:abstractNumId w:val="1"/>
  </w:num>
  <w:num w:numId="10">
    <w:abstractNumId w:val="11"/>
  </w:num>
  <w:num w:numId="11">
    <w:abstractNumId w:val="1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865B3"/>
    <w:rsid w:val="000D4FA5"/>
    <w:rsid w:val="000E0E34"/>
    <w:rsid w:val="001065F9"/>
    <w:rsid w:val="001643F6"/>
    <w:rsid w:val="001D7CDD"/>
    <w:rsid w:val="001E7012"/>
    <w:rsid w:val="00237FDC"/>
    <w:rsid w:val="00256772"/>
    <w:rsid w:val="0028673F"/>
    <w:rsid w:val="002A1863"/>
    <w:rsid w:val="002E1C13"/>
    <w:rsid w:val="003F6F06"/>
    <w:rsid w:val="0043570B"/>
    <w:rsid w:val="00486041"/>
    <w:rsid w:val="005A6659"/>
    <w:rsid w:val="005C540A"/>
    <w:rsid w:val="0066514F"/>
    <w:rsid w:val="00797DFC"/>
    <w:rsid w:val="009B7F74"/>
    <w:rsid w:val="009C4FE3"/>
    <w:rsid w:val="00A25B65"/>
    <w:rsid w:val="00BA460E"/>
    <w:rsid w:val="00BB259F"/>
    <w:rsid w:val="00D57949"/>
    <w:rsid w:val="00F30C1C"/>
    <w:rsid w:val="00FC7934"/>
    <w:rsid w:val="00FD28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815</Words>
  <Characters>4652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9</cp:revision>
  <dcterms:created xsi:type="dcterms:W3CDTF">2019-12-10T15:00:00Z</dcterms:created>
  <dcterms:modified xsi:type="dcterms:W3CDTF">2019-12-18T13:47:00Z</dcterms:modified>
</cp:coreProperties>
</file>