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DC" w:rsidRDefault="000A59DC" w:rsidP="000A59D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the documents describing the MyTaxiService’s </w:t>
      </w:r>
      <w:proofErr w:type="gramStart"/>
      <w:r>
        <w:rPr>
          <w:rFonts w:ascii="Cambria" w:hAnsi="Cambria"/>
          <w:sz w:val="24"/>
          <w:szCs w:val="24"/>
        </w:rPr>
        <w:t>project</w:t>
      </w:r>
      <w:proofErr w:type="gramEnd"/>
      <w:r>
        <w:rPr>
          <w:rFonts w:ascii="Cambria" w:hAnsi="Cambria"/>
          <w:sz w:val="24"/>
          <w:szCs w:val="24"/>
        </w:rPr>
        <w:t xml:space="preserve"> we have always tried to be as detached from the project’s language as possible. In </w:t>
      </w:r>
      <w:r w:rsidR="00F50A2F">
        <w:rPr>
          <w:rFonts w:ascii="Cambria" w:hAnsi="Cambria"/>
          <w:sz w:val="24"/>
          <w:szCs w:val="24"/>
        </w:rPr>
        <w:t>such way we managed to describe a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high level</w:t>
      </w:r>
      <w:proofErr w:type="gramEnd"/>
      <w:r>
        <w:rPr>
          <w:rFonts w:ascii="Cambria" w:hAnsi="Cambria"/>
          <w:sz w:val="24"/>
          <w:szCs w:val="24"/>
        </w:rPr>
        <w:t xml:space="preserve"> view of the application without bounding the developers to the limitations (or, possibly, advantages) of a specific language. However, here we will evaluate the COCOMO parameters </w:t>
      </w:r>
      <w:r w:rsidR="006A7E04">
        <w:rPr>
          <w:rFonts w:ascii="Cambria" w:hAnsi="Cambria"/>
          <w:sz w:val="24"/>
          <w:szCs w:val="24"/>
        </w:rPr>
        <w:t>as if the project was to be developed in the J2EE language, which however seems to be the most obvious choice for this kind of application.</w:t>
      </w:r>
    </w:p>
    <w:p w:rsidR="00AB4E5B" w:rsidRDefault="006A7E04" w:rsidP="000A59D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="000A59DC">
        <w:rPr>
          <w:rFonts w:ascii="Cambria" w:hAnsi="Cambria"/>
          <w:sz w:val="24"/>
          <w:szCs w:val="24"/>
        </w:rPr>
        <w:t>he average Source Lines of Code (</w:t>
      </w:r>
      <w:r w:rsidR="000A59DC" w:rsidRPr="00447373">
        <w:rPr>
          <w:rFonts w:ascii="Cambria" w:hAnsi="Cambria"/>
          <w:b/>
          <w:sz w:val="24"/>
          <w:szCs w:val="24"/>
        </w:rPr>
        <w:t>SLOC</w:t>
      </w:r>
      <w:r w:rsidR="000A59DC">
        <w:rPr>
          <w:rFonts w:ascii="Cambria" w:hAnsi="Cambria"/>
          <w:sz w:val="24"/>
          <w:szCs w:val="24"/>
        </w:rPr>
        <w:t xml:space="preserve">) </w:t>
      </w:r>
      <w:proofErr w:type="gramStart"/>
      <w:r w:rsidR="0078438A">
        <w:rPr>
          <w:rFonts w:ascii="Cambria" w:hAnsi="Cambria"/>
          <w:sz w:val="24"/>
          <w:szCs w:val="24"/>
        </w:rPr>
        <w:t>are calculated</w:t>
      </w:r>
      <w:proofErr w:type="gramEnd"/>
      <w:r w:rsidR="0078438A">
        <w:rPr>
          <w:rFonts w:ascii="Cambria" w:hAnsi="Cambria"/>
          <w:sz w:val="24"/>
          <w:szCs w:val="24"/>
        </w:rPr>
        <w:t xml:space="preserve"> using a conversion factor of 46, as described in the table at </w:t>
      </w:r>
      <w:hyperlink r:id="rId4" w:history="1">
        <w:r w:rsidR="0078438A" w:rsidRPr="00DC5A4C">
          <w:rPr>
            <w:rStyle w:val="Collegamentoipertestuale"/>
            <w:rFonts w:ascii="Cambria" w:hAnsi="Cambria"/>
            <w:sz w:val="24"/>
            <w:szCs w:val="24"/>
          </w:rPr>
          <w:t>http://www.qsm.com/resources/function-point-languages-table</w:t>
        </w:r>
      </w:hyperlink>
      <w:r w:rsidR="0078438A">
        <w:rPr>
          <w:rFonts w:ascii="Cambria" w:hAnsi="Cambria"/>
          <w:sz w:val="24"/>
          <w:szCs w:val="24"/>
        </w:rPr>
        <w:t xml:space="preserve">. </w:t>
      </w:r>
    </w:p>
    <w:p w:rsidR="00603CB6" w:rsidRPr="003B1422" w:rsidRDefault="003B1422" w:rsidP="000A59DC">
      <w:pPr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120 FP*46=5520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lines of code</m:t>
          </m:r>
        </m:oMath>
      </m:oMathPara>
    </w:p>
    <w:p w:rsidR="00932447" w:rsidRDefault="00932447" w:rsidP="00932447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To calculate the project’s </w:t>
      </w:r>
      <w:r w:rsidRPr="00932447">
        <w:rPr>
          <w:rFonts w:ascii="Cambria" w:eastAsiaTheme="minorEastAsia" w:hAnsi="Cambria"/>
          <w:b/>
          <w:sz w:val="24"/>
          <w:szCs w:val="24"/>
        </w:rPr>
        <w:t>Effort</w:t>
      </w:r>
      <w:r>
        <w:rPr>
          <w:rFonts w:ascii="Cambria" w:eastAsiaTheme="minorEastAsia" w:hAnsi="Cambria"/>
          <w:sz w:val="24"/>
          <w:szCs w:val="24"/>
        </w:rPr>
        <w:t xml:space="preserve">, we </w:t>
      </w:r>
      <w:r w:rsidR="00F57E0C">
        <w:rPr>
          <w:rFonts w:ascii="Cambria" w:eastAsiaTheme="minorEastAsia" w:hAnsi="Cambria"/>
          <w:sz w:val="24"/>
          <w:szCs w:val="24"/>
        </w:rPr>
        <w:t xml:space="preserve">first </w:t>
      </w:r>
      <w:r>
        <w:rPr>
          <w:rFonts w:ascii="Cambria" w:eastAsiaTheme="minorEastAsia" w:hAnsi="Cambria"/>
          <w:sz w:val="24"/>
          <w:szCs w:val="24"/>
        </w:rPr>
        <w:t xml:space="preserve">evaluate the </w:t>
      </w:r>
      <w:r>
        <w:rPr>
          <w:rFonts w:ascii="Cambria" w:eastAsiaTheme="minorEastAsia" w:hAnsi="Cambria"/>
          <w:b/>
          <w:sz w:val="24"/>
          <w:szCs w:val="24"/>
        </w:rPr>
        <w:t>Scale Driver</w:t>
      </w:r>
      <w:r w:rsidR="00F57E0C">
        <w:rPr>
          <w:rFonts w:ascii="Cambria" w:eastAsiaTheme="minorEastAsia" w:hAnsi="Cambria"/>
          <w:b/>
          <w:sz w:val="24"/>
          <w:szCs w:val="24"/>
        </w:rPr>
        <w:t>s</w:t>
      </w:r>
      <w:r>
        <w:rPr>
          <w:rFonts w:ascii="Cambria" w:eastAsiaTheme="minorEastAsia" w:hAnsi="Cambria"/>
          <w:sz w:val="24"/>
          <w:szCs w:val="24"/>
        </w:rPr>
        <w:t xml:space="preserve"> according to the COCOMO manual (see the section 1.4 for references). The following parameters </w:t>
      </w:r>
      <w:proofErr w:type="gramStart"/>
      <w:r>
        <w:rPr>
          <w:rFonts w:ascii="Cambria" w:eastAsiaTheme="minorEastAsia" w:hAnsi="Cambria"/>
          <w:sz w:val="24"/>
          <w:szCs w:val="24"/>
        </w:rPr>
        <w:t>were estimated</w:t>
      </w:r>
      <w:proofErr w:type="gramEnd"/>
      <w:r>
        <w:rPr>
          <w:rFonts w:ascii="Cambria" w:eastAsiaTheme="minorEastAsia" w:hAnsi="Cambria"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2251"/>
        <w:gridCol w:w="3321"/>
      </w:tblGrid>
      <w:tr w:rsidR="00932447" w:rsidTr="00002B4C">
        <w:tc>
          <w:tcPr>
            <w:tcW w:w="4390" w:type="dxa"/>
          </w:tcPr>
          <w:p w:rsidR="00932447" w:rsidRPr="00932447" w:rsidRDefault="00932447" w:rsidP="00603CB6">
            <w:pPr>
              <w:jc w:val="both"/>
              <w:rPr>
                <w:rFonts w:ascii="Cambria" w:hAnsi="Cambria"/>
                <w:b/>
                <w:sz w:val="26"/>
                <w:szCs w:val="26"/>
              </w:rPr>
            </w:pPr>
            <w:r w:rsidRPr="00932447">
              <w:rPr>
                <w:rFonts w:ascii="Cambria" w:hAnsi="Cambria"/>
                <w:b/>
                <w:sz w:val="26"/>
                <w:szCs w:val="26"/>
              </w:rPr>
              <w:t>Scale Driver</w:t>
            </w:r>
          </w:p>
        </w:tc>
        <w:tc>
          <w:tcPr>
            <w:tcW w:w="2251" w:type="dxa"/>
          </w:tcPr>
          <w:p w:rsidR="00932447" w:rsidRPr="00932447" w:rsidRDefault="00932447" w:rsidP="00932447">
            <w:pPr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932447">
              <w:rPr>
                <w:rFonts w:ascii="Cambria" w:hAnsi="Cambria"/>
                <w:b/>
                <w:sz w:val="26"/>
                <w:szCs w:val="26"/>
              </w:rPr>
              <w:t>Factor</w:t>
            </w:r>
          </w:p>
        </w:tc>
        <w:tc>
          <w:tcPr>
            <w:tcW w:w="3321" w:type="dxa"/>
          </w:tcPr>
          <w:p w:rsidR="00932447" w:rsidRDefault="00002B4C" w:rsidP="00002B4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Value</w:t>
            </w:r>
          </w:p>
        </w:tc>
      </w:tr>
      <w:tr w:rsidR="00932447" w:rsidTr="00002B4C">
        <w:tc>
          <w:tcPr>
            <w:tcW w:w="4390" w:type="dxa"/>
          </w:tcPr>
          <w:p w:rsidR="00932447" w:rsidRPr="00932447" w:rsidRDefault="00932447" w:rsidP="00603CB6">
            <w:pPr>
              <w:jc w:val="both"/>
              <w:rPr>
                <w:rFonts w:ascii="Cambria" w:hAnsi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eastAsia="TimesNewRomanPSMT" w:hAnsi="Cambria" w:cs="TimesNewRomanPSMT"/>
                <w:sz w:val="26"/>
                <w:szCs w:val="26"/>
              </w:rPr>
              <w:t>Precedente</w:t>
            </w:r>
            <w:r w:rsidRPr="00932447">
              <w:rPr>
                <w:rFonts w:ascii="Cambria" w:eastAsia="TimesNewRomanPSMT" w:hAnsi="Cambria" w:cs="TimesNewRomanPSMT"/>
                <w:sz w:val="26"/>
                <w:szCs w:val="26"/>
              </w:rPr>
              <w:t>dness</w:t>
            </w:r>
            <w:proofErr w:type="spellEnd"/>
          </w:p>
        </w:tc>
        <w:tc>
          <w:tcPr>
            <w:tcW w:w="2251" w:type="dxa"/>
          </w:tcPr>
          <w:p w:rsidR="00932447" w:rsidRPr="00932447" w:rsidRDefault="00932447" w:rsidP="00932447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932447">
              <w:rPr>
                <w:rFonts w:ascii="Cambria" w:hAnsi="Cambria"/>
                <w:sz w:val="24"/>
                <w:szCs w:val="24"/>
              </w:rPr>
              <w:t>Low</w:t>
            </w:r>
          </w:p>
        </w:tc>
        <w:tc>
          <w:tcPr>
            <w:tcW w:w="3321" w:type="dxa"/>
          </w:tcPr>
          <w:p w:rsidR="00932447" w:rsidRPr="00932447" w:rsidRDefault="00932447" w:rsidP="0093244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4.96</w:t>
            </w:r>
          </w:p>
        </w:tc>
      </w:tr>
      <w:tr w:rsidR="00932447" w:rsidTr="00002B4C">
        <w:tc>
          <w:tcPr>
            <w:tcW w:w="4390" w:type="dxa"/>
          </w:tcPr>
          <w:p w:rsidR="00932447" w:rsidRPr="00932447" w:rsidRDefault="00932447" w:rsidP="00603CB6">
            <w:pPr>
              <w:jc w:val="both"/>
              <w:rPr>
                <w:rFonts w:ascii="Cambria" w:hAnsi="Cambria"/>
                <w:b/>
                <w:sz w:val="26"/>
                <w:szCs w:val="26"/>
              </w:rPr>
            </w:pPr>
            <w:r w:rsidRPr="00932447">
              <w:rPr>
                <w:rFonts w:ascii="Cambria" w:eastAsia="TimesNewRomanPSMT" w:hAnsi="Cambria" w:cs="TimesNewRomanPSMT"/>
                <w:sz w:val="26"/>
                <w:szCs w:val="26"/>
              </w:rPr>
              <w:t>Development Flexibility</w:t>
            </w:r>
          </w:p>
        </w:tc>
        <w:tc>
          <w:tcPr>
            <w:tcW w:w="2251" w:type="dxa"/>
          </w:tcPr>
          <w:p w:rsidR="00932447" w:rsidRPr="00932447" w:rsidRDefault="00932447" w:rsidP="0093244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</w:t>
            </w:r>
          </w:p>
        </w:tc>
        <w:tc>
          <w:tcPr>
            <w:tcW w:w="3321" w:type="dxa"/>
          </w:tcPr>
          <w:p w:rsidR="00932447" w:rsidRPr="00932447" w:rsidRDefault="00932447" w:rsidP="0093244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2.03</w:t>
            </w:r>
          </w:p>
        </w:tc>
      </w:tr>
      <w:tr w:rsidR="00932447" w:rsidTr="00002B4C">
        <w:tc>
          <w:tcPr>
            <w:tcW w:w="4390" w:type="dxa"/>
          </w:tcPr>
          <w:p w:rsidR="00932447" w:rsidRPr="00932447" w:rsidRDefault="00932447" w:rsidP="00603CB6">
            <w:pPr>
              <w:jc w:val="both"/>
              <w:rPr>
                <w:rFonts w:ascii="Cambria" w:hAnsi="Cambria"/>
                <w:b/>
                <w:sz w:val="26"/>
                <w:szCs w:val="26"/>
              </w:rPr>
            </w:pPr>
            <w:r w:rsidRPr="00932447">
              <w:rPr>
                <w:rFonts w:ascii="Cambria" w:eastAsia="TimesNewRomanPSMT" w:hAnsi="Cambria" w:cs="TimesNewRomanPSMT"/>
                <w:sz w:val="26"/>
                <w:szCs w:val="26"/>
              </w:rPr>
              <w:t>Risk Resolution</w:t>
            </w:r>
          </w:p>
        </w:tc>
        <w:tc>
          <w:tcPr>
            <w:tcW w:w="2251" w:type="dxa"/>
          </w:tcPr>
          <w:p w:rsidR="00932447" w:rsidRPr="00932447" w:rsidRDefault="00932447" w:rsidP="0093244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</w:t>
            </w:r>
          </w:p>
        </w:tc>
        <w:tc>
          <w:tcPr>
            <w:tcW w:w="3321" w:type="dxa"/>
          </w:tcPr>
          <w:p w:rsidR="00932447" w:rsidRPr="00932447" w:rsidRDefault="00932447" w:rsidP="0093244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2.83</w:t>
            </w:r>
          </w:p>
        </w:tc>
      </w:tr>
      <w:tr w:rsidR="00932447" w:rsidTr="00002B4C">
        <w:tc>
          <w:tcPr>
            <w:tcW w:w="4390" w:type="dxa"/>
          </w:tcPr>
          <w:p w:rsidR="00932447" w:rsidRPr="00932447" w:rsidRDefault="00932447" w:rsidP="00603CB6">
            <w:pPr>
              <w:jc w:val="both"/>
              <w:rPr>
                <w:rFonts w:ascii="Cambria" w:hAnsi="Cambria"/>
                <w:b/>
                <w:sz w:val="26"/>
                <w:szCs w:val="26"/>
              </w:rPr>
            </w:pPr>
            <w:r w:rsidRPr="00932447">
              <w:rPr>
                <w:rFonts w:ascii="Cambria" w:eastAsia="TimesNewRomanPSMT" w:hAnsi="Cambria" w:cs="TimesNewRomanPSMT"/>
                <w:sz w:val="26"/>
                <w:szCs w:val="26"/>
              </w:rPr>
              <w:t>Team Cohesion</w:t>
            </w:r>
          </w:p>
        </w:tc>
        <w:tc>
          <w:tcPr>
            <w:tcW w:w="2251" w:type="dxa"/>
          </w:tcPr>
          <w:p w:rsidR="00932447" w:rsidRPr="00932447" w:rsidRDefault="00932447" w:rsidP="0093244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Very High</w:t>
            </w:r>
          </w:p>
        </w:tc>
        <w:tc>
          <w:tcPr>
            <w:tcW w:w="3321" w:type="dxa"/>
          </w:tcPr>
          <w:p w:rsidR="00932447" w:rsidRPr="00932447" w:rsidRDefault="00932447" w:rsidP="0093244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1.10</w:t>
            </w:r>
          </w:p>
        </w:tc>
      </w:tr>
      <w:tr w:rsidR="00932447" w:rsidTr="00002B4C">
        <w:tc>
          <w:tcPr>
            <w:tcW w:w="4390" w:type="dxa"/>
          </w:tcPr>
          <w:p w:rsidR="00932447" w:rsidRPr="00932447" w:rsidRDefault="00932447" w:rsidP="00603CB6">
            <w:pPr>
              <w:jc w:val="both"/>
              <w:rPr>
                <w:rFonts w:ascii="Cambria" w:hAnsi="Cambria"/>
                <w:b/>
                <w:sz w:val="26"/>
                <w:szCs w:val="26"/>
              </w:rPr>
            </w:pPr>
            <w:r w:rsidRPr="00932447">
              <w:rPr>
                <w:rFonts w:ascii="Cambria" w:eastAsia="TimesNewRomanPSMT" w:hAnsi="Cambria" w:cs="TimesNewRomanPSMT"/>
                <w:sz w:val="26"/>
                <w:szCs w:val="26"/>
              </w:rPr>
              <w:t>Process Maturity</w:t>
            </w:r>
          </w:p>
        </w:tc>
        <w:tc>
          <w:tcPr>
            <w:tcW w:w="2251" w:type="dxa"/>
          </w:tcPr>
          <w:p w:rsidR="00932447" w:rsidRPr="00932447" w:rsidRDefault="00932447" w:rsidP="0093244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Normal</w:t>
            </w:r>
          </w:p>
        </w:tc>
        <w:tc>
          <w:tcPr>
            <w:tcW w:w="3321" w:type="dxa"/>
          </w:tcPr>
          <w:p w:rsidR="00932447" w:rsidRPr="00932447" w:rsidRDefault="00932447" w:rsidP="0093244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4.68</w:t>
            </w:r>
          </w:p>
        </w:tc>
      </w:tr>
      <w:tr w:rsidR="00F57E0C" w:rsidTr="00002B4C">
        <w:tc>
          <w:tcPr>
            <w:tcW w:w="4390" w:type="dxa"/>
          </w:tcPr>
          <w:p w:rsidR="00F57E0C" w:rsidRPr="00F57E0C" w:rsidRDefault="00F57E0C" w:rsidP="00603CB6">
            <w:pPr>
              <w:jc w:val="both"/>
              <w:rPr>
                <w:rFonts w:ascii="Cambria" w:eastAsia="TimesNewRomanPSMT" w:hAnsi="Cambria" w:cs="TimesNewRomanPSMT"/>
                <w:b/>
                <w:sz w:val="26"/>
                <w:szCs w:val="26"/>
              </w:rPr>
            </w:pPr>
            <w:r w:rsidRPr="00F57E0C">
              <w:rPr>
                <w:rFonts w:ascii="Cambria" w:eastAsia="TimesNewRomanPSMT" w:hAnsi="Cambria" w:cs="TimesNewRomanPSMT"/>
                <w:b/>
                <w:sz w:val="26"/>
                <w:szCs w:val="26"/>
              </w:rPr>
              <w:t>Total</w:t>
            </w:r>
          </w:p>
        </w:tc>
        <w:tc>
          <w:tcPr>
            <w:tcW w:w="2251" w:type="dxa"/>
          </w:tcPr>
          <w:p w:rsidR="00F57E0C" w:rsidRDefault="00F57E0C" w:rsidP="00932447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1" w:type="dxa"/>
          </w:tcPr>
          <w:p w:rsidR="00F57E0C" w:rsidRDefault="00F57E0C" w:rsidP="00932447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15.6</w:t>
            </w:r>
          </w:p>
        </w:tc>
      </w:tr>
    </w:tbl>
    <w:p w:rsidR="00603CB6" w:rsidRDefault="00603CB6" w:rsidP="00603CB6">
      <w:pPr>
        <w:jc w:val="both"/>
        <w:rPr>
          <w:rFonts w:ascii="Cambria" w:hAnsi="Cambria"/>
          <w:b/>
          <w:sz w:val="24"/>
          <w:szCs w:val="24"/>
        </w:rPr>
      </w:pPr>
    </w:p>
    <w:p w:rsidR="00F57E0C" w:rsidRDefault="00F57E0C" w:rsidP="00603CB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 the following </w:t>
      </w:r>
      <w:proofErr w:type="gramStart"/>
      <w:r>
        <w:rPr>
          <w:rFonts w:ascii="Cambria" w:hAnsi="Cambria"/>
          <w:sz w:val="24"/>
          <w:szCs w:val="24"/>
        </w:rPr>
        <w:t>table</w:t>
      </w:r>
      <w:proofErr w:type="gramEnd"/>
      <w:r>
        <w:rPr>
          <w:rFonts w:ascii="Cambria" w:hAnsi="Cambria"/>
          <w:sz w:val="24"/>
          <w:szCs w:val="24"/>
        </w:rPr>
        <w:t xml:space="preserve"> we have estimated the </w:t>
      </w:r>
      <w:r>
        <w:rPr>
          <w:rFonts w:ascii="Cambria" w:hAnsi="Cambria"/>
          <w:b/>
          <w:sz w:val="24"/>
          <w:szCs w:val="24"/>
        </w:rPr>
        <w:t>Cost Drivers</w:t>
      </w:r>
      <w:r>
        <w:rPr>
          <w:rFonts w:ascii="Cambria" w:hAnsi="Cambria"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2251"/>
        <w:gridCol w:w="3321"/>
      </w:tblGrid>
      <w:tr w:rsidR="00002B4C" w:rsidRP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002B4C">
              <w:rPr>
                <w:rFonts w:ascii="Cambria" w:hAnsi="Cambria"/>
                <w:b/>
                <w:sz w:val="24"/>
                <w:szCs w:val="24"/>
              </w:rPr>
              <w:t>Cost Driver</w:t>
            </w:r>
          </w:p>
        </w:tc>
        <w:tc>
          <w:tcPr>
            <w:tcW w:w="2251" w:type="dxa"/>
          </w:tcPr>
          <w:p w:rsidR="00002B4C" w:rsidRPr="00002B4C" w:rsidRDefault="00002B4C" w:rsidP="00002B4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Factor</w:t>
            </w:r>
          </w:p>
        </w:tc>
        <w:tc>
          <w:tcPr>
            <w:tcW w:w="3321" w:type="dxa"/>
          </w:tcPr>
          <w:p w:rsidR="00002B4C" w:rsidRPr="00002B4C" w:rsidRDefault="00002B4C" w:rsidP="00002B4C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Value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Required Software Reliability</w:t>
            </w:r>
          </w:p>
        </w:tc>
        <w:tc>
          <w:tcPr>
            <w:tcW w:w="2251" w:type="dxa"/>
          </w:tcPr>
          <w:p w:rsidR="00002B4C" w:rsidRDefault="004A64D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Low</w:t>
            </w:r>
          </w:p>
        </w:tc>
        <w:tc>
          <w:tcPr>
            <w:tcW w:w="3321" w:type="dxa"/>
          </w:tcPr>
          <w:p w:rsidR="00002B4C" w:rsidRDefault="004A64D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0.92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Data Base Size</w:t>
            </w:r>
          </w:p>
        </w:tc>
        <w:tc>
          <w:tcPr>
            <w:tcW w:w="2251" w:type="dxa"/>
          </w:tcPr>
          <w:p w:rsidR="00002B4C" w:rsidRDefault="004A64D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Nominal</w:t>
            </w:r>
          </w:p>
        </w:tc>
        <w:tc>
          <w:tcPr>
            <w:tcW w:w="3321" w:type="dxa"/>
          </w:tcPr>
          <w:p w:rsidR="00002B4C" w:rsidRDefault="004A64D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1.00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Product Complexity</w:t>
            </w:r>
          </w:p>
        </w:tc>
        <w:tc>
          <w:tcPr>
            <w:tcW w:w="225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Nominal</w:t>
            </w:r>
          </w:p>
        </w:tc>
        <w:tc>
          <w:tcPr>
            <w:tcW w:w="332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1.00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Required Reusability</w:t>
            </w:r>
          </w:p>
        </w:tc>
        <w:tc>
          <w:tcPr>
            <w:tcW w:w="225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High</w:t>
            </w:r>
          </w:p>
        </w:tc>
        <w:tc>
          <w:tcPr>
            <w:tcW w:w="332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1.07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002B4C">
            <w:pPr>
              <w:autoSpaceDE w:val="0"/>
              <w:autoSpaceDN w:val="0"/>
              <w:adjustRightInd w:val="0"/>
              <w:rPr>
                <w:rFonts w:ascii="Cambria" w:eastAsia="TimesNewRomanPSMT" w:hAnsi="Cambria" w:cs="TimesNewRomanPSMT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Documentation match to life-cycle</w:t>
            </w:r>
          </w:p>
          <w:p w:rsidR="00002B4C" w:rsidRPr="00002B4C" w:rsidRDefault="00002B4C" w:rsidP="00002B4C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needs</w:t>
            </w:r>
          </w:p>
        </w:tc>
        <w:tc>
          <w:tcPr>
            <w:tcW w:w="225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Nominal</w:t>
            </w:r>
          </w:p>
        </w:tc>
        <w:tc>
          <w:tcPr>
            <w:tcW w:w="332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1.00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Execution Time Constraint</w:t>
            </w:r>
          </w:p>
        </w:tc>
        <w:tc>
          <w:tcPr>
            <w:tcW w:w="225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Low</w:t>
            </w:r>
          </w:p>
        </w:tc>
        <w:tc>
          <w:tcPr>
            <w:tcW w:w="332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Main Storage Constraint</w:t>
            </w:r>
          </w:p>
        </w:tc>
        <w:tc>
          <w:tcPr>
            <w:tcW w:w="225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Low</w:t>
            </w:r>
          </w:p>
        </w:tc>
        <w:tc>
          <w:tcPr>
            <w:tcW w:w="332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Platform Volatility</w:t>
            </w:r>
          </w:p>
        </w:tc>
        <w:tc>
          <w:tcPr>
            <w:tcW w:w="225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Nominal</w:t>
            </w:r>
          </w:p>
        </w:tc>
        <w:tc>
          <w:tcPr>
            <w:tcW w:w="332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1.00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Analyst Capability</w:t>
            </w:r>
          </w:p>
        </w:tc>
        <w:tc>
          <w:tcPr>
            <w:tcW w:w="225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Very High</w:t>
            </w:r>
          </w:p>
        </w:tc>
        <w:tc>
          <w:tcPr>
            <w:tcW w:w="332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0.71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Programmer Capability</w:t>
            </w:r>
          </w:p>
        </w:tc>
        <w:tc>
          <w:tcPr>
            <w:tcW w:w="225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Nominal</w:t>
            </w:r>
          </w:p>
        </w:tc>
        <w:tc>
          <w:tcPr>
            <w:tcW w:w="3321" w:type="dxa"/>
          </w:tcPr>
          <w:p w:rsidR="00002B4C" w:rsidRDefault="00857882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1.00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Application Experience</w:t>
            </w:r>
          </w:p>
        </w:tc>
        <w:tc>
          <w:tcPr>
            <w:tcW w:w="225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Low</w:t>
            </w:r>
          </w:p>
        </w:tc>
        <w:tc>
          <w:tcPr>
            <w:tcW w:w="332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1.10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Platform Experience</w:t>
            </w:r>
          </w:p>
        </w:tc>
        <w:tc>
          <w:tcPr>
            <w:tcW w:w="225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Nominal</w:t>
            </w:r>
          </w:p>
        </w:tc>
        <w:tc>
          <w:tcPr>
            <w:tcW w:w="332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1.00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eastAsia="TimesNewRomanPSMT" w:hAnsi="Cambria" w:cs="TimesNewRomanPSMT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Language and Tool Experience</w:t>
            </w:r>
          </w:p>
        </w:tc>
        <w:tc>
          <w:tcPr>
            <w:tcW w:w="225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Low</w:t>
            </w:r>
          </w:p>
        </w:tc>
        <w:tc>
          <w:tcPr>
            <w:tcW w:w="3321" w:type="dxa"/>
          </w:tcPr>
          <w:p w:rsidR="00002B4C" w:rsidRDefault="006A3D2A" w:rsidP="006A3D2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1.09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eastAsia="TimesNewRomanPSMT" w:hAnsi="Cambria" w:cs="TimesNewRomanPSMT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Personnel continuity</w:t>
            </w:r>
          </w:p>
        </w:tc>
        <w:tc>
          <w:tcPr>
            <w:tcW w:w="225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Low</w:t>
            </w:r>
          </w:p>
        </w:tc>
        <w:tc>
          <w:tcPr>
            <w:tcW w:w="332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1.12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eastAsia="TimesNewRomanPSMT" w:hAnsi="Cambria" w:cs="TimesNewRomanPSMT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Usage of Software Tools</w:t>
            </w:r>
          </w:p>
        </w:tc>
        <w:tc>
          <w:tcPr>
            <w:tcW w:w="225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Nominal</w:t>
            </w:r>
          </w:p>
        </w:tc>
        <w:tc>
          <w:tcPr>
            <w:tcW w:w="332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1.00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eastAsia="TimesNewRomanPSMT" w:hAnsi="Cambria" w:cs="TimesNewRomanPSMT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Multisite development</w:t>
            </w:r>
          </w:p>
        </w:tc>
        <w:tc>
          <w:tcPr>
            <w:tcW w:w="225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Nominal</w:t>
            </w:r>
          </w:p>
        </w:tc>
        <w:tc>
          <w:tcPr>
            <w:tcW w:w="332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1.00</w:t>
            </w:r>
          </w:p>
        </w:tc>
      </w:tr>
      <w:tr w:rsidR="00002B4C" w:rsidTr="00002B4C">
        <w:tc>
          <w:tcPr>
            <w:tcW w:w="4390" w:type="dxa"/>
          </w:tcPr>
          <w:p w:rsidR="00002B4C" w:rsidRPr="00002B4C" w:rsidRDefault="00002B4C" w:rsidP="00603CB6">
            <w:pPr>
              <w:jc w:val="both"/>
              <w:rPr>
                <w:rFonts w:ascii="Cambria" w:eastAsia="TimesNewRomanPSMT" w:hAnsi="Cambria" w:cs="TimesNewRomanPSMT"/>
                <w:sz w:val="26"/>
                <w:szCs w:val="26"/>
              </w:rPr>
            </w:pPr>
            <w:r w:rsidRPr="00002B4C">
              <w:rPr>
                <w:rFonts w:ascii="Cambria" w:eastAsia="TimesNewRomanPSMT" w:hAnsi="Cambria" w:cs="TimesNewRomanPSMT"/>
                <w:sz w:val="26"/>
                <w:szCs w:val="26"/>
              </w:rPr>
              <w:t>Required development schedule</w:t>
            </w:r>
          </w:p>
        </w:tc>
        <w:tc>
          <w:tcPr>
            <w:tcW w:w="225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Nominal</w:t>
            </w:r>
          </w:p>
        </w:tc>
        <w:tc>
          <w:tcPr>
            <w:tcW w:w="3321" w:type="dxa"/>
          </w:tcPr>
          <w:p w:rsidR="00002B4C" w:rsidRDefault="006A3D2A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1.00</w:t>
            </w:r>
          </w:p>
        </w:tc>
      </w:tr>
      <w:tr w:rsidR="00081145" w:rsidTr="00002B4C">
        <w:tc>
          <w:tcPr>
            <w:tcW w:w="4390" w:type="dxa"/>
          </w:tcPr>
          <w:p w:rsidR="00081145" w:rsidRPr="00ED4EAD" w:rsidRDefault="00ED4EAD" w:rsidP="00603CB6">
            <w:pPr>
              <w:jc w:val="both"/>
              <w:rPr>
                <w:rFonts w:ascii="Cambria" w:eastAsia="TimesNewRomanPSMT" w:hAnsi="Cambria" w:cs="TimesNewRomanPSMT"/>
                <w:b/>
                <w:sz w:val="26"/>
                <w:szCs w:val="26"/>
              </w:rPr>
            </w:pPr>
            <w:r>
              <w:rPr>
                <w:rFonts w:ascii="Cambria" w:eastAsia="TimesNewRomanPSMT" w:hAnsi="Cambria" w:cs="TimesNewRomanPSMT"/>
                <w:b/>
                <w:sz w:val="26"/>
                <w:szCs w:val="26"/>
              </w:rPr>
              <w:lastRenderedPageBreak/>
              <w:t>Product</w:t>
            </w:r>
          </w:p>
        </w:tc>
        <w:tc>
          <w:tcPr>
            <w:tcW w:w="2251" w:type="dxa"/>
          </w:tcPr>
          <w:p w:rsidR="00081145" w:rsidRDefault="00081145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321" w:type="dxa"/>
          </w:tcPr>
          <w:p w:rsidR="00081145" w:rsidRDefault="009469D9" w:rsidP="00002B4C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0.93</w:t>
            </w:r>
          </w:p>
        </w:tc>
      </w:tr>
    </w:tbl>
    <w:p w:rsidR="009469D9" w:rsidRDefault="009469D9" w:rsidP="00603CB6">
      <w:pPr>
        <w:jc w:val="both"/>
        <w:rPr>
          <w:rFonts w:ascii="Cambria" w:hAnsi="Cambria"/>
          <w:sz w:val="24"/>
          <w:szCs w:val="24"/>
        </w:rPr>
      </w:pPr>
    </w:p>
    <w:p w:rsidR="00846958" w:rsidRDefault="00846958" w:rsidP="00603CB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From the Cost Drivers we can obtain the </w:t>
      </w:r>
      <w:r w:rsidRPr="00846958">
        <w:rPr>
          <w:rFonts w:ascii="Cambria" w:hAnsi="Cambria"/>
          <w:b/>
          <w:sz w:val="24"/>
          <w:szCs w:val="24"/>
        </w:rPr>
        <w:t>exponent</w:t>
      </w:r>
      <w:r>
        <w:rPr>
          <w:rFonts w:ascii="Cambria" w:hAnsi="Cambria"/>
          <w:sz w:val="24"/>
          <w:szCs w:val="24"/>
        </w:rPr>
        <w:t xml:space="preserve"> </w:t>
      </w:r>
      <w:r w:rsidRPr="00846958">
        <w:rPr>
          <w:rFonts w:ascii="Cambria" w:hAnsi="Cambria"/>
          <w:b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 xml:space="preserve">, which </w:t>
      </w:r>
      <w:proofErr w:type="gramStart"/>
      <w:r>
        <w:rPr>
          <w:rFonts w:ascii="Cambria" w:hAnsi="Cambria"/>
          <w:sz w:val="24"/>
          <w:szCs w:val="24"/>
        </w:rPr>
        <w:t>will be used</w:t>
      </w:r>
      <w:proofErr w:type="gramEnd"/>
      <w:r>
        <w:rPr>
          <w:rFonts w:ascii="Cambria" w:hAnsi="Cambria"/>
          <w:sz w:val="24"/>
          <w:szCs w:val="24"/>
        </w:rPr>
        <w:t xml:space="preserve"> in the Effort equation.</w:t>
      </w:r>
    </w:p>
    <w:p w:rsidR="00FD21E9" w:rsidRPr="00FD21E9" w:rsidRDefault="00FD21E9" w:rsidP="00603CB6">
      <w:pPr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E=B+0.01*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ScaleDrivers Factor</m:t>
              </m:r>
            </m:e>
          </m:nary>
        </m:oMath>
      </m:oMathPara>
    </w:p>
    <w:p w:rsidR="00FD21E9" w:rsidRDefault="00FD21E9" w:rsidP="00FD21E9">
      <w:pPr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With B = 0.91 (for COCOMO II.20</w:t>
      </w:r>
      <w:r w:rsidR="001876A1">
        <w:rPr>
          <w:rFonts w:ascii="Cambria" w:eastAsiaTheme="minorEastAsia" w:hAnsi="Cambria"/>
          <w:sz w:val="24"/>
          <w:szCs w:val="24"/>
        </w:rPr>
        <w:t>00) we obtain:</w:t>
      </w:r>
    </w:p>
    <w:p w:rsidR="00846958" w:rsidRDefault="00846958" w:rsidP="00603CB6">
      <w:pPr>
        <w:jc w:val="both"/>
        <w:rPr>
          <w:rFonts w:ascii="Cambr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E=0.91+0.01*15.6=1.066</m:t>
          </m:r>
        </m:oMath>
      </m:oMathPara>
    </w:p>
    <w:p w:rsidR="00081145" w:rsidRDefault="009469D9" w:rsidP="009469D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It is now possible to calculate the </w:t>
      </w:r>
      <w:r>
        <w:rPr>
          <w:rFonts w:ascii="Cambria" w:hAnsi="Cambria"/>
          <w:b/>
          <w:sz w:val="24"/>
          <w:szCs w:val="24"/>
        </w:rPr>
        <w:t>Effort</w:t>
      </w:r>
      <w:r>
        <w:rPr>
          <w:rFonts w:ascii="Cambria" w:hAnsi="Cambria"/>
          <w:sz w:val="24"/>
          <w:szCs w:val="24"/>
        </w:rPr>
        <w:t>:</w:t>
      </w:r>
    </w:p>
    <w:p w:rsidR="001876A1" w:rsidRPr="001876A1" w:rsidRDefault="001876A1" w:rsidP="009469D9">
      <w:pPr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Effort=A*EAF*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KSLOC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p>
          </m:sSup>
        </m:oMath>
      </m:oMathPara>
    </w:p>
    <w:p w:rsidR="001876A1" w:rsidRPr="001876A1" w:rsidRDefault="001876A1" w:rsidP="009469D9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With A=2.94 </w:t>
      </w:r>
      <w:r>
        <w:rPr>
          <w:rFonts w:ascii="Cambria" w:eastAsiaTheme="minorEastAsia" w:hAnsi="Cambria"/>
          <w:sz w:val="24"/>
          <w:szCs w:val="24"/>
        </w:rPr>
        <w:t>(for COCOMO II.20</w:t>
      </w:r>
      <w:r>
        <w:rPr>
          <w:rFonts w:ascii="Cambria" w:eastAsiaTheme="minorEastAsia" w:hAnsi="Cambria"/>
          <w:sz w:val="24"/>
          <w:szCs w:val="24"/>
        </w:rPr>
        <w:t>00) we obtain:</w:t>
      </w:r>
    </w:p>
    <w:p w:rsidR="00846958" w:rsidRPr="00932447" w:rsidRDefault="00846958" w:rsidP="00846958">
      <w:pPr>
        <w:jc w:val="center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Effort=2.94*</m:t>
          </m:r>
          <m:r>
            <w:rPr>
              <w:rFonts w:ascii="Cambria Math" w:hAnsi="Cambria Math"/>
              <w:sz w:val="24"/>
              <w:szCs w:val="24"/>
            </w:rPr>
            <m:t>0.93</m:t>
          </m:r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5.520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1.066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16,89</m:t>
          </m:r>
          <m:r>
            <w:rPr>
              <w:rFonts w:ascii="Cambria Math" w:hAnsi="Cambria Math"/>
              <w:sz w:val="24"/>
              <w:szCs w:val="24"/>
            </w:rPr>
            <m:t xml:space="preserve"> Person/Month</m:t>
          </m:r>
        </m:oMath>
      </m:oMathPara>
    </w:p>
    <w:p w:rsidR="00081145" w:rsidRDefault="00FD21E9" w:rsidP="00603CB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 interesting value is also the </w:t>
      </w:r>
      <w:r>
        <w:rPr>
          <w:rFonts w:ascii="Cambria" w:hAnsi="Cambria"/>
          <w:b/>
          <w:sz w:val="24"/>
          <w:szCs w:val="24"/>
        </w:rPr>
        <w:t>duration</w:t>
      </w:r>
      <w:r>
        <w:rPr>
          <w:rFonts w:ascii="Cambria" w:hAnsi="Cambria"/>
          <w:sz w:val="24"/>
          <w:szCs w:val="24"/>
        </w:rPr>
        <w:t xml:space="preserve"> of the project:</w:t>
      </w:r>
    </w:p>
    <w:p w:rsidR="00FD21E9" w:rsidRPr="00CB4366" w:rsidRDefault="00FD21E9" w:rsidP="00603CB6">
      <w:pPr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Duration=3.67*</m:t>
          </m:r>
          <m:r>
            <w:rPr>
              <w:rFonts w:ascii="Cambria Math" w:hAnsi="Cambria Math"/>
              <w:sz w:val="24"/>
              <w:szCs w:val="24"/>
            </w:rPr>
            <m:t>Effor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=8.840=8 Months</m:t>
          </m:r>
        </m:oMath>
      </m:oMathPara>
    </w:p>
    <w:p w:rsidR="00CB4366" w:rsidRDefault="00CB4366" w:rsidP="00603CB6">
      <w:pPr>
        <w:jc w:val="both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 xml:space="preserve">Where  </w:t>
      </w:r>
      <m:oMath>
        <m:r>
          <w:rPr>
            <w:rFonts w:ascii="Cambria Math" w:eastAsiaTheme="minorEastAsia" w:hAnsi="Cambria Math"/>
            <w:sz w:val="24"/>
            <w:szCs w:val="24"/>
          </w:rPr>
          <m:t>F=0.28+0.2*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E-B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=0.311</m:t>
        </m:r>
      </m:oMath>
    </w:p>
    <w:p w:rsidR="00CB4366" w:rsidRDefault="00CB4366" w:rsidP="00603CB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</w:t>
      </w:r>
      <w:r>
        <w:rPr>
          <w:rFonts w:ascii="Cambria" w:hAnsi="Cambria"/>
          <w:b/>
          <w:sz w:val="24"/>
          <w:szCs w:val="24"/>
        </w:rPr>
        <w:t>Number of people</w:t>
      </w:r>
      <w:r>
        <w:rPr>
          <w:rFonts w:ascii="Cambria" w:hAnsi="Cambria"/>
          <w:sz w:val="24"/>
          <w:szCs w:val="24"/>
        </w:rPr>
        <w:t xml:space="preserve"> required is:</w:t>
      </w:r>
    </w:p>
    <w:p w:rsidR="00CB4366" w:rsidRPr="001E21E7" w:rsidRDefault="00BA50CA" w:rsidP="00603CB6">
      <w:pPr>
        <w:jc w:val="both"/>
        <w:rPr>
          <w:rFonts w:ascii="Cambria" w:eastAsiaTheme="minorEastAsia" w:hAnsi="Cambr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people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effort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duration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=2.11=2 people</m:t>
          </m:r>
        </m:oMath>
      </m:oMathPara>
    </w:p>
    <w:p w:rsidR="001E21E7" w:rsidRPr="00CB4366" w:rsidRDefault="001E21E7" w:rsidP="00603CB6">
      <w:pPr>
        <w:jc w:val="both"/>
        <w:rPr>
          <w:rFonts w:ascii="Cambria" w:hAnsi="Cambria"/>
          <w:sz w:val="24"/>
          <w:szCs w:val="24"/>
        </w:rPr>
      </w:pPr>
    </w:p>
    <w:p w:rsidR="00081145" w:rsidRDefault="00E91065" w:rsidP="00603CB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An overview of the parameters seems to suggest a quite correct estimation. A group of two people should be able to develop </w:t>
      </w:r>
      <w:r w:rsidR="000063EC">
        <w:rPr>
          <w:rFonts w:ascii="Cambria" w:hAnsi="Cambria"/>
          <w:sz w:val="24"/>
          <w:szCs w:val="24"/>
        </w:rPr>
        <w:t xml:space="preserve">properly </w:t>
      </w:r>
      <w:r>
        <w:rPr>
          <w:rFonts w:ascii="Cambria" w:hAnsi="Cambria"/>
          <w:sz w:val="24"/>
          <w:szCs w:val="24"/>
        </w:rPr>
        <w:t xml:space="preserve">the MTS application </w:t>
      </w:r>
      <w:r w:rsidR="000063EC">
        <w:rPr>
          <w:rFonts w:ascii="Cambria" w:hAnsi="Cambria"/>
          <w:sz w:val="24"/>
          <w:szCs w:val="24"/>
        </w:rPr>
        <w:t>in a timespan of eight months</w:t>
      </w:r>
      <w:r w:rsidR="000332B0">
        <w:rPr>
          <w:rFonts w:ascii="Cambria" w:hAnsi="Cambria"/>
          <w:sz w:val="24"/>
          <w:szCs w:val="24"/>
        </w:rPr>
        <w:t>. However, i</w:t>
      </w:r>
      <w:r w:rsidR="000332B0">
        <w:rPr>
          <w:rFonts w:ascii="Cambria" w:eastAsiaTheme="minorEastAsia" w:hAnsi="Cambria"/>
          <w:sz w:val="24"/>
          <w:szCs w:val="24"/>
        </w:rPr>
        <w:t>n our opinion, the final number of lines of code will probabl</w:t>
      </w:r>
      <w:r w:rsidR="000332B0">
        <w:rPr>
          <w:rFonts w:ascii="Cambria" w:eastAsiaTheme="minorEastAsia" w:hAnsi="Cambria"/>
          <w:sz w:val="24"/>
          <w:szCs w:val="24"/>
        </w:rPr>
        <w:t xml:space="preserve">y be greater than the estimated. </w:t>
      </w:r>
    </w:p>
    <w:p w:rsidR="00081145" w:rsidRPr="00F57E0C" w:rsidRDefault="00081145" w:rsidP="00603CB6">
      <w:pPr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081145" w:rsidRPr="00F57E0C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27"/>
    <w:rsid w:val="00002B4C"/>
    <w:rsid w:val="000063EC"/>
    <w:rsid w:val="000332B0"/>
    <w:rsid w:val="00081145"/>
    <w:rsid w:val="000A59DC"/>
    <w:rsid w:val="001048AE"/>
    <w:rsid w:val="001876A1"/>
    <w:rsid w:val="001E21E7"/>
    <w:rsid w:val="002E0327"/>
    <w:rsid w:val="003B1422"/>
    <w:rsid w:val="003F6ED6"/>
    <w:rsid w:val="00447373"/>
    <w:rsid w:val="004A64DA"/>
    <w:rsid w:val="00603CB6"/>
    <w:rsid w:val="006A3D2A"/>
    <w:rsid w:val="006A7E04"/>
    <w:rsid w:val="00774D83"/>
    <w:rsid w:val="0078438A"/>
    <w:rsid w:val="00846958"/>
    <w:rsid w:val="00857882"/>
    <w:rsid w:val="00932447"/>
    <w:rsid w:val="009469D9"/>
    <w:rsid w:val="00B56E6D"/>
    <w:rsid w:val="00BA50CA"/>
    <w:rsid w:val="00CB4366"/>
    <w:rsid w:val="00D864CE"/>
    <w:rsid w:val="00E91065"/>
    <w:rsid w:val="00ED0EA4"/>
    <w:rsid w:val="00ED4EAD"/>
    <w:rsid w:val="00F50A2F"/>
    <w:rsid w:val="00F57E0C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C3301-4191-4215-AD2E-72F123C6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469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8438A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78438A"/>
    <w:rPr>
      <w:color w:val="808080"/>
    </w:rPr>
  </w:style>
  <w:style w:type="table" w:styleId="Grigliatabella">
    <w:name w:val="Table Grid"/>
    <w:basedOn w:val="Tabellanormale"/>
    <w:uiPriority w:val="39"/>
    <w:rsid w:val="0093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sm.com/resources/function-point-languages-tabl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28</cp:revision>
  <dcterms:created xsi:type="dcterms:W3CDTF">2016-01-22T15:42:00Z</dcterms:created>
  <dcterms:modified xsi:type="dcterms:W3CDTF">2016-01-22T17:44:00Z</dcterms:modified>
</cp:coreProperties>
</file>