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6F" w:rsidRDefault="0067656F" w:rsidP="0067656F">
      <w:pPr>
        <w:pStyle w:val="NormaleWeb"/>
        <w:jc w:val="center"/>
        <w:rPr>
          <w:rStyle w:val="Enfasigrassetto"/>
          <w:sz w:val="40"/>
          <w:szCs w:val="40"/>
        </w:rPr>
      </w:pPr>
      <w:r>
        <w:rPr>
          <w:rStyle w:val="Enfasigrassetto"/>
          <w:sz w:val="40"/>
          <w:szCs w:val="40"/>
        </w:rPr>
        <w:t>CANAVESE DOC BARBERA</w:t>
      </w:r>
    </w:p>
    <w:p w:rsidR="00491150" w:rsidRPr="00364875" w:rsidRDefault="00491150" w:rsidP="0067656F">
      <w:pPr>
        <w:pStyle w:val="NormaleWeb"/>
        <w:jc w:val="center"/>
        <w:rPr>
          <w:rStyle w:val="Enfasigrassetto"/>
          <w:sz w:val="40"/>
          <w:szCs w:val="40"/>
        </w:rPr>
      </w:pPr>
      <w:proofErr w:type="spellStart"/>
      <w:r>
        <w:rPr>
          <w:rStyle w:val="Enfasigrassetto"/>
          <w:i/>
          <w:color w:val="FF0000"/>
          <w:sz w:val="40"/>
          <w:szCs w:val="40"/>
        </w:rPr>
        <w:t>Coming</w:t>
      </w:r>
      <w:proofErr w:type="spellEnd"/>
      <w:r>
        <w:rPr>
          <w:rStyle w:val="Enfasigrassetto"/>
          <w:i/>
          <w:color w:val="FF0000"/>
          <w:sz w:val="40"/>
          <w:szCs w:val="40"/>
        </w:rPr>
        <w:t xml:space="preserve"> in Novembre 2017</w:t>
      </w:r>
    </w:p>
    <w:p w:rsidR="0067656F" w:rsidRPr="0067656F" w:rsidRDefault="00970C0E" w:rsidP="0067656F">
      <w:pPr>
        <w:pStyle w:val="NormaleWeb"/>
        <w:jc w:val="center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Dall’</w:t>
      </w:r>
      <w:r w:rsidR="0067656F" w:rsidRPr="0067656F">
        <w:rPr>
          <w:rStyle w:val="Enfasigrassetto"/>
          <w:b w:val="0"/>
          <w:i/>
        </w:rPr>
        <w:t xml:space="preserve">uva simbolo della tradizione </w:t>
      </w:r>
      <w:r w:rsidR="0067656F">
        <w:rPr>
          <w:rStyle w:val="Enfasigrassetto"/>
          <w:b w:val="0"/>
          <w:i/>
        </w:rPr>
        <w:t>Piemo</w:t>
      </w:r>
      <w:r w:rsidR="0067656F" w:rsidRPr="0067656F">
        <w:rPr>
          <w:rStyle w:val="Enfasigrassetto"/>
          <w:b w:val="0"/>
          <w:i/>
        </w:rPr>
        <w:t>nt</w:t>
      </w:r>
      <w:r>
        <w:rPr>
          <w:rStyle w:val="Enfasigrassetto"/>
          <w:b w:val="0"/>
          <w:i/>
        </w:rPr>
        <w:t>ese, largamente coltivata nell’</w:t>
      </w:r>
      <w:r w:rsidR="0067656F" w:rsidRPr="0067656F">
        <w:rPr>
          <w:rStyle w:val="Enfasigrassetto"/>
          <w:b w:val="0"/>
          <w:i/>
        </w:rPr>
        <w:t xml:space="preserve">areale </w:t>
      </w:r>
      <w:proofErr w:type="spellStart"/>
      <w:r w:rsidR="0067656F" w:rsidRPr="0067656F">
        <w:rPr>
          <w:rStyle w:val="Enfasigrassetto"/>
          <w:b w:val="0"/>
          <w:i/>
        </w:rPr>
        <w:t>Canavesano</w:t>
      </w:r>
      <w:proofErr w:type="spellEnd"/>
      <w:r w:rsidR="0067656F" w:rsidRPr="0067656F">
        <w:rPr>
          <w:rStyle w:val="Enfasigrassetto"/>
          <w:b w:val="0"/>
          <w:i/>
        </w:rPr>
        <w:t>, produciamo questo rosso slanciato e</w:t>
      </w:r>
      <w:r w:rsidR="0067656F">
        <w:rPr>
          <w:rStyle w:val="Enfasigrassetto"/>
          <w:b w:val="0"/>
          <w:i/>
        </w:rPr>
        <w:t>d</w:t>
      </w:r>
      <w:r w:rsidR="0067656F" w:rsidRPr="0067656F">
        <w:rPr>
          <w:rStyle w:val="Enfasigrassetto"/>
          <w:b w:val="0"/>
          <w:i/>
        </w:rPr>
        <w:t xml:space="preserve"> aromatico, che con l ‘</w:t>
      </w:r>
      <w:r w:rsidR="00ED61E8">
        <w:rPr>
          <w:rStyle w:val="Enfasigrassetto"/>
          <w:b w:val="0"/>
          <w:i/>
        </w:rPr>
        <w:t>affinamento in t</w:t>
      </w:r>
      <w:r>
        <w:rPr>
          <w:rStyle w:val="Enfasigrassetto"/>
          <w:b w:val="0"/>
          <w:i/>
        </w:rPr>
        <w:t>onneau</w:t>
      </w:r>
      <w:r w:rsidR="0067656F" w:rsidRPr="0067656F">
        <w:rPr>
          <w:rStyle w:val="Enfasigrassetto"/>
          <w:b w:val="0"/>
          <w:i/>
        </w:rPr>
        <w:t xml:space="preserve"> di rovere </w:t>
      </w:r>
      <w:r>
        <w:rPr>
          <w:rStyle w:val="Enfasigrassetto"/>
          <w:b w:val="0"/>
          <w:i/>
        </w:rPr>
        <w:t>di Slavonia</w:t>
      </w:r>
      <w:r w:rsidR="0067656F" w:rsidRPr="0067656F">
        <w:rPr>
          <w:rStyle w:val="Enfasigrassetto"/>
          <w:b w:val="0"/>
          <w:i/>
        </w:rPr>
        <w:t>, si arricchisce di trame ricche e complesse.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Qualifica vino:</w:t>
      </w:r>
      <w:r>
        <w:rPr>
          <w:color w:val="CC6633"/>
        </w:rPr>
        <w:t> </w:t>
      </w:r>
      <w:r>
        <w:t>Canavese DOC Barbera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Provenienza uve:</w:t>
      </w:r>
      <w:r>
        <w:rPr>
          <w:rStyle w:val="Enfasigrassetto"/>
          <w:color w:val="800000"/>
        </w:rPr>
        <w:t> </w:t>
      </w:r>
      <w:r w:rsidR="003562DC">
        <w:t xml:space="preserve">Comune di </w:t>
      </w:r>
      <w:proofErr w:type="spellStart"/>
      <w:r w:rsidR="003562DC">
        <w:t>Agliè</w:t>
      </w:r>
      <w:proofErr w:type="spellEnd"/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Vitigni: </w:t>
      </w:r>
      <w:r>
        <w:t>Barbera 100%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Altimetria vigneti:</w:t>
      </w:r>
      <w:r>
        <w:t xml:space="preserve"> 350 Mt. </w:t>
      </w:r>
      <w:proofErr w:type="spellStart"/>
      <w:r>
        <w:t>s.l.m</w:t>
      </w:r>
      <w:proofErr w:type="spellEnd"/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Sistema di allevamento:</w:t>
      </w:r>
      <w:r w:rsidR="00970C0E">
        <w:t> </w:t>
      </w:r>
      <w:r>
        <w:t>Spalliera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Terreni:</w:t>
      </w:r>
      <w:r>
        <w:rPr>
          <w:rStyle w:val="Enfasigrassetto"/>
        </w:rPr>
        <w:t> </w:t>
      </w:r>
      <w:r>
        <w:t>Morenici, di origine glaciale</w:t>
      </w:r>
    </w:p>
    <w:p w:rsidR="003562DC" w:rsidRDefault="0067656F" w:rsidP="0067656F">
      <w:pPr>
        <w:pStyle w:val="NormaleWeb"/>
      </w:pPr>
      <w:r>
        <w:rPr>
          <w:rStyle w:val="Enfasigrassetto"/>
          <w:color w:val="CC6633"/>
        </w:rPr>
        <w:t>Esposizione terreni:</w:t>
      </w:r>
      <w:r>
        <w:rPr>
          <w:rStyle w:val="Enfasigrassetto"/>
          <w:color w:val="800000"/>
        </w:rPr>
        <w:t> </w:t>
      </w:r>
      <w:r>
        <w:t>Sud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Epoca di vendemmia: </w:t>
      </w:r>
      <w:r>
        <w:rPr>
          <w:rStyle w:val="Enfasigrassetto"/>
          <w:b w:val="0"/>
        </w:rPr>
        <w:t>Metà</w:t>
      </w:r>
      <w:r w:rsidR="00ED61E8">
        <w:rPr>
          <w:rStyle w:val="Enfasigrassetto"/>
          <w:b w:val="0"/>
        </w:rPr>
        <w:t xml:space="preserve"> Ottobre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Resa per ettaro:</w:t>
      </w:r>
      <w:r>
        <w:rPr>
          <w:color w:val="CC6633"/>
        </w:rPr>
        <w:t> </w:t>
      </w:r>
      <w:r w:rsidR="00ED61E8">
        <w:t>6</w:t>
      </w:r>
      <w:r w:rsidR="008B61B7">
        <w:t>0 q</w:t>
      </w:r>
      <w:r>
        <w:t>l/Ha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Vinificazione:</w:t>
      </w:r>
      <w:r>
        <w:rPr>
          <w:rStyle w:val="Enfasigrassetto"/>
        </w:rPr>
        <w:t xml:space="preserve"> </w:t>
      </w:r>
      <w:proofErr w:type="spellStart"/>
      <w:r w:rsidR="00ED61E8" w:rsidRPr="00ED61E8">
        <w:rPr>
          <w:rStyle w:val="Enfasigrassetto"/>
          <w:b w:val="0"/>
        </w:rPr>
        <w:t>Pigiadiraspatura</w:t>
      </w:r>
      <w:proofErr w:type="spellEnd"/>
      <w:r w:rsidR="00ED61E8" w:rsidRPr="00ED61E8">
        <w:rPr>
          <w:rStyle w:val="Enfasigrassetto"/>
          <w:b w:val="0"/>
        </w:rPr>
        <w:t>,</w:t>
      </w:r>
      <w:r w:rsidR="00ED61E8">
        <w:rPr>
          <w:rStyle w:val="Enfasigrassetto"/>
        </w:rPr>
        <w:t xml:space="preserve"> </w:t>
      </w:r>
      <w:r w:rsidR="00970C0E">
        <w:rPr>
          <w:rStyle w:val="Enfasigrassetto"/>
          <w:b w:val="0"/>
        </w:rPr>
        <w:t>m</w:t>
      </w:r>
      <w:r w:rsidRPr="000A6B89">
        <w:rPr>
          <w:rStyle w:val="Enfasigrassetto"/>
          <w:b w:val="0"/>
        </w:rPr>
        <w:t xml:space="preserve">acerazione </w:t>
      </w:r>
      <w:r w:rsidR="00ED61E8">
        <w:rPr>
          <w:rStyle w:val="Enfasigrassetto"/>
          <w:b w:val="0"/>
        </w:rPr>
        <w:t xml:space="preserve">in serbatoi di </w:t>
      </w:r>
      <w:proofErr w:type="spellStart"/>
      <w:r w:rsidR="00ED61E8">
        <w:rPr>
          <w:rStyle w:val="Enfasigrassetto"/>
          <w:b w:val="0"/>
        </w:rPr>
        <w:t>acciao</w:t>
      </w:r>
      <w:proofErr w:type="spellEnd"/>
      <w:r w:rsidR="00ED61E8">
        <w:rPr>
          <w:rStyle w:val="Enfasigrassetto"/>
          <w:b w:val="0"/>
        </w:rPr>
        <w:t xml:space="preserve"> per circa </w:t>
      </w:r>
      <w:r w:rsidR="00970C0E">
        <w:rPr>
          <w:rStyle w:val="Enfasigrassetto"/>
          <w:b w:val="0"/>
        </w:rPr>
        <w:t>10</w:t>
      </w:r>
      <w:r w:rsidR="00ED61E8">
        <w:rPr>
          <w:rStyle w:val="Enfasigrassetto"/>
          <w:b w:val="0"/>
        </w:rPr>
        <w:t xml:space="preserve"> giorni, con brevi e delicati </w:t>
      </w:r>
      <w:proofErr w:type="spellStart"/>
      <w:r w:rsidR="00ED61E8">
        <w:rPr>
          <w:rStyle w:val="Enfasigrassetto"/>
          <w:b w:val="0"/>
        </w:rPr>
        <w:t>rimontaggi</w:t>
      </w:r>
      <w:proofErr w:type="spellEnd"/>
      <w:r w:rsidR="00ED61E8">
        <w:rPr>
          <w:rStyle w:val="Enfasigrassetto"/>
          <w:b w:val="0"/>
        </w:rPr>
        <w:t>;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Affinamento:</w:t>
      </w:r>
      <w:r>
        <w:rPr>
          <w:rStyle w:val="Enfasigrassetto"/>
        </w:rPr>
        <w:t> </w:t>
      </w:r>
      <w:r w:rsidR="00970C0E">
        <w:t>12 mesi in tonneau</w:t>
      </w:r>
      <w:r w:rsidR="00ED61E8">
        <w:t xml:space="preserve"> di rovere </w:t>
      </w:r>
      <w:r w:rsidR="00970C0E">
        <w:t xml:space="preserve">di Slavonia </w:t>
      </w:r>
      <w:r w:rsidR="00ED61E8">
        <w:t>usate</w:t>
      </w:r>
      <w:r>
        <w:t>, 2 mesi minimo in bottiglia</w:t>
      </w:r>
    </w:p>
    <w:p w:rsidR="0067656F" w:rsidRDefault="0067656F" w:rsidP="0067656F">
      <w:pPr>
        <w:pStyle w:val="NormaleWeb"/>
      </w:pPr>
      <w:proofErr w:type="spellStart"/>
      <w:r>
        <w:rPr>
          <w:rStyle w:val="Enfasigrassetto"/>
          <w:color w:val="CC6633"/>
        </w:rPr>
        <w:t>N°</w:t>
      </w:r>
      <w:proofErr w:type="spellEnd"/>
      <w:r>
        <w:rPr>
          <w:rStyle w:val="Enfasigrassetto"/>
          <w:color w:val="CC6633"/>
        </w:rPr>
        <w:t xml:space="preserve"> bottiglie prodotte per anno:</w:t>
      </w:r>
      <w:r>
        <w:rPr>
          <w:rStyle w:val="Enfasigrassetto"/>
        </w:rPr>
        <w:t> </w:t>
      </w:r>
      <w:r w:rsidR="00ED61E8">
        <w:t>2</w:t>
      </w:r>
      <w:r w:rsidR="00970C0E">
        <w:t>.5</w:t>
      </w:r>
      <w:r w:rsidR="00ED61E8">
        <w:t>00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Gradazione alcolica:</w:t>
      </w:r>
      <w:r>
        <w:t> 13,5% vol.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Colore:</w:t>
      </w:r>
      <w:r>
        <w:t> </w:t>
      </w:r>
      <w:r w:rsidR="00035F59">
        <w:t>Rosso r</w:t>
      </w:r>
      <w:r w:rsidR="00ED61E8">
        <w:t>ubino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Profumo:</w:t>
      </w:r>
      <w:r>
        <w:rPr>
          <w:rStyle w:val="Enfasigrassetto"/>
        </w:rPr>
        <w:t> </w:t>
      </w:r>
      <w:r>
        <w:t xml:space="preserve">Floreale e fruttato con </w:t>
      </w:r>
      <w:r w:rsidR="00ED61E8">
        <w:t>intensi sentori di marasca, lampone e mora, delicato accenno di torrefazione sullo sfondo</w:t>
      </w:r>
    </w:p>
    <w:p w:rsidR="0067656F" w:rsidRDefault="0067656F" w:rsidP="0067656F">
      <w:pPr>
        <w:pStyle w:val="NormaleWeb"/>
      </w:pPr>
      <w:r>
        <w:rPr>
          <w:rStyle w:val="Enfasigrassetto"/>
          <w:color w:val="CC6633"/>
        </w:rPr>
        <w:t>Sapore:</w:t>
      </w:r>
      <w:r>
        <w:rPr>
          <w:rStyle w:val="Enfasigrassetto"/>
        </w:rPr>
        <w:t> </w:t>
      </w:r>
      <w:r>
        <w:t>Secco, fresco e sapido, con sensazioni fruttate intense e gradevoli</w:t>
      </w:r>
    </w:p>
    <w:p w:rsidR="00035F59" w:rsidRDefault="00035F59" w:rsidP="00035F59">
      <w:pPr>
        <w:pStyle w:val="NormaleWeb"/>
      </w:pPr>
      <w:r>
        <w:rPr>
          <w:rStyle w:val="Enfasigrassetto"/>
          <w:color w:val="CC6633"/>
        </w:rPr>
        <w:t>Temperatura di servizio:</w:t>
      </w:r>
      <w:r>
        <w:t>16/18° C.</w:t>
      </w:r>
    </w:p>
    <w:p w:rsidR="00035F59" w:rsidRDefault="00035F59" w:rsidP="00035F59">
      <w:pPr>
        <w:pStyle w:val="NormaleWeb"/>
      </w:pPr>
      <w:r>
        <w:rPr>
          <w:rStyle w:val="Enfasigrassetto"/>
          <w:color w:val="CC6633"/>
        </w:rPr>
        <w:t>Capacità di Invecchiamento:</w:t>
      </w:r>
      <w:r>
        <w:t xml:space="preserve"> Esuberante in gioventù, col</w:t>
      </w:r>
      <w:r w:rsidR="00970C0E">
        <w:t xml:space="preserve"> tempo si doma raggiungendo un’</w:t>
      </w:r>
      <w:r>
        <w:t xml:space="preserve">eccellente armonia e un delicato </w:t>
      </w:r>
      <w:r w:rsidRPr="003562DC">
        <w:t>e</w:t>
      </w:r>
      <w:r>
        <w:t>quilibrio.</w:t>
      </w:r>
    </w:p>
    <w:p w:rsidR="00A30624" w:rsidRPr="00970C0E" w:rsidRDefault="0067656F" w:rsidP="00970C0E">
      <w:pPr>
        <w:pStyle w:val="NormaleWeb"/>
        <w:rPr>
          <w:b/>
        </w:rPr>
      </w:pPr>
      <w:r>
        <w:rPr>
          <w:rStyle w:val="Enfasigrassetto"/>
          <w:color w:val="CC6633"/>
        </w:rPr>
        <w:t>Abbinamenti gastronomici</w:t>
      </w:r>
      <w:r w:rsidRPr="00364875">
        <w:rPr>
          <w:rStyle w:val="Enfasigrassetto"/>
          <w:b w:val="0"/>
          <w:color w:val="CC6633"/>
        </w:rPr>
        <w:t>:</w:t>
      </w:r>
      <w:r w:rsidRPr="00364875">
        <w:rPr>
          <w:rStyle w:val="Enfasigrassetto"/>
          <w:b w:val="0"/>
        </w:rPr>
        <w:t xml:space="preserve"> </w:t>
      </w:r>
      <w:r w:rsidR="00035F59">
        <w:rPr>
          <w:rStyle w:val="Enfasigrassetto"/>
          <w:b w:val="0"/>
        </w:rPr>
        <w:t>Eccellente con salumi e formaggi di media stagionatura, antipasti della tradizione, pasta ripiena,  secondi di carne.</w:t>
      </w:r>
    </w:p>
    <w:sectPr w:rsidR="00A30624" w:rsidRPr="00970C0E" w:rsidSect="00BA2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7656F"/>
    <w:rsid w:val="00035F59"/>
    <w:rsid w:val="00132724"/>
    <w:rsid w:val="003562DC"/>
    <w:rsid w:val="00491150"/>
    <w:rsid w:val="005D37DF"/>
    <w:rsid w:val="0067656F"/>
    <w:rsid w:val="008B61B7"/>
    <w:rsid w:val="00970C0E"/>
    <w:rsid w:val="00A30624"/>
    <w:rsid w:val="00ED61E8"/>
    <w:rsid w:val="00F7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06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7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765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7</cp:revision>
  <dcterms:created xsi:type="dcterms:W3CDTF">2017-01-17T09:49:00Z</dcterms:created>
  <dcterms:modified xsi:type="dcterms:W3CDTF">2017-01-17T16:39:00Z</dcterms:modified>
</cp:coreProperties>
</file>