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9F" w:rsidRDefault="00C957C5" w:rsidP="00321D9F">
      <w:pPr>
        <w:pStyle w:val="NormaleWeb"/>
        <w:jc w:val="center"/>
        <w:rPr>
          <w:rStyle w:val="Enfasigrassetto"/>
          <w:i/>
          <w:sz w:val="40"/>
          <w:szCs w:val="40"/>
        </w:rPr>
      </w:pPr>
      <w:r>
        <w:rPr>
          <w:rStyle w:val="Enfasigrassetto"/>
          <w:sz w:val="40"/>
          <w:szCs w:val="40"/>
        </w:rPr>
        <w:t xml:space="preserve">ERBALUCE </w:t>
      </w:r>
      <w:proofErr w:type="spellStart"/>
      <w:r>
        <w:rPr>
          <w:rStyle w:val="Enfasigrassetto"/>
          <w:sz w:val="40"/>
          <w:szCs w:val="40"/>
        </w:rPr>
        <w:t>DI</w:t>
      </w:r>
      <w:proofErr w:type="spellEnd"/>
      <w:r>
        <w:rPr>
          <w:rStyle w:val="Enfasigrassetto"/>
          <w:sz w:val="40"/>
          <w:szCs w:val="40"/>
        </w:rPr>
        <w:t xml:space="preserve"> CALUSO DOCG </w:t>
      </w:r>
      <w:r>
        <w:rPr>
          <w:rStyle w:val="Enfasigrassetto"/>
          <w:i/>
          <w:sz w:val="40"/>
          <w:szCs w:val="40"/>
        </w:rPr>
        <w:t>“</w:t>
      </w:r>
      <w:proofErr w:type="spellStart"/>
      <w:r w:rsidR="004261B4">
        <w:rPr>
          <w:rStyle w:val="Enfasigrassetto"/>
          <w:i/>
          <w:sz w:val="40"/>
          <w:szCs w:val="40"/>
        </w:rPr>
        <w:t>Bric</w:t>
      </w:r>
      <w:proofErr w:type="spellEnd"/>
      <w:r w:rsidR="004261B4">
        <w:rPr>
          <w:rStyle w:val="Enfasigrassetto"/>
          <w:i/>
          <w:sz w:val="40"/>
          <w:szCs w:val="40"/>
        </w:rPr>
        <w:t xml:space="preserve"> d’la </w:t>
      </w:r>
      <w:proofErr w:type="spellStart"/>
      <w:r w:rsidR="004261B4">
        <w:rPr>
          <w:rStyle w:val="Enfasigrassetto"/>
          <w:i/>
          <w:sz w:val="40"/>
          <w:szCs w:val="40"/>
        </w:rPr>
        <w:t>Gesia</w:t>
      </w:r>
      <w:proofErr w:type="spellEnd"/>
      <w:r>
        <w:rPr>
          <w:rStyle w:val="Enfasigrassetto"/>
          <w:i/>
          <w:sz w:val="40"/>
          <w:szCs w:val="40"/>
        </w:rPr>
        <w:t>”</w:t>
      </w:r>
    </w:p>
    <w:p w:rsidR="00321D9F" w:rsidRPr="00321D9F" w:rsidRDefault="00321D9F" w:rsidP="00321D9F">
      <w:pPr>
        <w:pStyle w:val="NormaleWeb"/>
        <w:jc w:val="center"/>
        <w:rPr>
          <w:rStyle w:val="Enfasigrassetto"/>
          <w:i/>
          <w:color w:val="FF0000"/>
          <w:sz w:val="40"/>
          <w:szCs w:val="40"/>
        </w:rPr>
      </w:pPr>
      <w:proofErr w:type="spellStart"/>
      <w:r w:rsidRPr="00321D9F">
        <w:rPr>
          <w:rStyle w:val="Enfasigrassetto"/>
          <w:i/>
          <w:color w:val="FF0000"/>
          <w:sz w:val="40"/>
          <w:szCs w:val="40"/>
        </w:rPr>
        <w:t>Coming</w:t>
      </w:r>
      <w:proofErr w:type="spellEnd"/>
      <w:r w:rsidRPr="00321D9F">
        <w:rPr>
          <w:rStyle w:val="Enfasigrassetto"/>
          <w:i/>
          <w:color w:val="FF0000"/>
          <w:sz w:val="40"/>
          <w:szCs w:val="40"/>
        </w:rPr>
        <w:t xml:space="preserve"> in Novembre 2017</w:t>
      </w:r>
    </w:p>
    <w:p w:rsidR="00C957C5" w:rsidRDefault="00C957C5" w:rsidP="00C957C5">
      <w:pPr>
        <w:pStyle w:val="NormaleWeb"/>
        <w:jc w:val="center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 xml:space="preserve">Una grande vigna per un grande obbiettivo: esaltare al massimo le potenzialità evolutive del vitigno </w:t>
      </w:r>
      <w:proofErr w:type="spellStart"/>
      <w:r>
        <w:rPr>
          <w:rStyle w:val="Enfasigrassetto"/>
          <w:b w:val="0"/>
          <w:i/>
        </w:rPr>
        <w:t>Erbaluce</w:t>
      </w:r>
      <w:proofErr w:type="spellEnd"/>
      <w:r>
        <w:rPr>
          <w:rStyle w:val="Enfasigrassetto"/>
          <w:b w:val="0"/>
          <w:i/>
        </w:rPr>
        <w:t>.</w:t>
      </w:r>
    </w:p>
    <w:p w:rsidR="00C957C5" w:rsidRDefault="00C957C5" w:rsidP="00C957C5">
      <w:pPr>
        <w:pStyle w:val="NormaleWeb"/>
        <w:jc w:val="center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 xml:space="preserve">Da circa un ettaro vitato posto in uno dei migliori siti della collina di Cuceglio, unicamente allevato a </w:t>
      </w:r>
      <w:proofErr w:type="spellStart"/>
      <w:r>
        <w:rPr>
          <w:rStyle w:val="Enfasigrassetto"/>
          <w:b w:val="0"/>
          <w:i/>
        </w:rPr>
        <w:t>guyot</w:t>
      </w:r>
      <w:proofErr w:type="spellEnd"/>
      <w:r>
        <w:rPr>
          <w:rStyle w:val="Enfasigrassetto"/>
          <w:b w:val="0"/>
          <w:i/>
        </w:rPr>
        <w:t xml:space="preserve"> doppio, selezionando esclusivamente i grappoli più sani e maturi, nasce il “</w:t>
      </w:r>
      <w:proofErr w:type="spellStart"/>
      <w:r>
        <w:rPr>
          <w:rStyle w:val="Enfasigrassetto"/>
          <w:b w:val="0"/>
          <w:i/>
        </w:rPr>
        <w:t>Bric</w:t>
      </w:r>
      <w:proofErr w:type="spellEnd"/>
      <w:r>
        <w:rPr>
          <w:rStyle w:val="Enfasigrassetto"/>
          <w:b w:val="0"/>
          <w:i/>
        </w:rPr>
        <w:t xml:space="preserve"> d’la </w:t>
      </w:r>
      <w:proofErr w:type="spellStart"/>
      <w:r>
        <w:rPr>
          <w:rStyle w:val="Enfasigrassetto"/>
          <w:b w:val="0"/>
          <w:i/>
        </w:rPr>
        <w:t>Gesia</w:t>
      </w:r>
      <w:proofErr w:type="spellEnd"/>
      <w:r>
        <w:rPr>
          <w:rStyle w:val="Enfasigrassetto"/>
          <w:b w:val="0"/>
          <w:i/>
        </w:rPr>
        <w:t>”</w:t>
      </w:r>
    </w:p>
    <w:p w:rsidR="00C957C5" w:rsidRDefault="00C957C5" w:rsidP="00C957C5">
      <w:pPr>
        <w:pStyle w:val="NormaleWeb"/>
        <w:jc w:val="center"/>
        <w:rPr>
          <w:rStyle w:val="Enfasigrassetto"/>
          <w:color w:val="CC6633"/>
        </w:rPr>
      </w:pPr>
      <w:r>
        <w:rPr>
          <w:rStyle w:val="Enfasigrassetto"/>
          <w:b w:val="0"/>
          <w:i/>
        </w:rPr>
        <w:t>In cantina, una pigiatura soffice, temperature rigo</w:t>
      </w:r>
      <w:r w:rsidR="00D47663">
        <w:rPr>
          <w:rStyle w:val="Enfasigrassetto"/>
          <w:b w:val="0"/>
          <w:i/>
        </w:rPr>
        <w:t xml:space="preserve">rosamente controllate </w:t>
      </w:r>
      <w:r>
        <w:rPr>
          <w:rStyle w:val="Enfasigrassetto"/>
          <w:b w:val="0"/>
          <w:i/>
        </w:rPr>
        <w:t>e l’ af</w:t>
      </w:r>
      <w:r w:rsidR="00D47663">
        <w:rPr>
          <w:rStyle w:val="Enfasigrassetto"/>
          <w:b w:val="0"/>
          <w:i/>
        </w:rPr>
        <w:t>finamento di 12 mesi in tonneau</w:t>
      </w:r>
      <w:r>
        <w:rPr>
          <w:rStyle w:val="Enfasigrassetto"/>
          <w:b w:val="0"/>
          <w:i/>
        </w:rPr>
        <w:t xml:space="preserve"> precedentemente utilizzate per il Caluso Passito, donano a questa selezione finezza, complessità, personalità unica, grande capacità di invecchiamento.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Qualifica vino:</w:t>
      </w:r>
      <w:r>
        <w:rPr>
          <w:color w:val="CC6633"/>
        </w:rPr>
        <w:t> </w:t>
      </w:r>
      <w:proofErr w:type="spellStart"/>
      <w:r>
        <w:t>Erbaluce</w:t>
      </w:r>
      <w:proofErr w:type="spellEnd"/>
      <w:r>
        <w:t xml:space="preserve"> di Caluso DOCG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Provenienza uve:</w:t>
      </w:r>
      <w:proofErr w:type="spellStart"/>
      <w:r>
        <w:t>Bric</w:t>
      </w:r>
      <w:proofErr w:type="spellEnd"/>
      <w:r>
        <w:t xml:space="preserve"> d’la </w:t>
      </w:r>
      <w:proofErr w:type="spellStart"/>
      <w:r>
        <w:t>Gesia</w:t>
      </w:r>
      <w:proofErr w:type="spellEnd"/>
      <w:r>
        <w:t xml:space="preserve"> </w:t>
      </w:r>
      <w:r w:rsidR="00D47663">
        <w:t>in</w:t>
      </w:r>
      <w:r>
        <w:t xml:space="preserve"> Cuceglio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Vitigni: </w:t>
      </w:r>
      <w:proofErr w:type="spellStart"/>
      <w:r>
        <w:t>Erbaluce</w:t>
      </w:r>
      <w:proofErr w:type="spellEnd"/>
      <w:r>
        <w:t xml:space="preserve"> 100%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Altimetria vigneti:</w:t>
      </w:r>
      <w:r>
        <w:t xml:space="preserve"> 350 Mt. </w:t>
      </w:r>
      <w:proofErr w:type="spellStart"/>
      <w:r>
        <w:t>s.l.m</w:t>
      </w:r>
      <w:proofErr w:type="spellEnd"/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Sistema di allevamento:</w:t>
      </w:r>
      <w:r>
        <w:t xml:space="preserve"> Spalliera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Terreni:</w:t>
      </w:r>
      <w:r>
        <w:rPr>
          <w:rStyle w:val="Enfasigrassetto"/>
        </w:rPr>
        <w:t> </w:t>
      </w:r>
      <w:r>
        <w:t>Morenici, di origine glaciale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Esposizione terreni:</w:t>
      </w:r>
      <w:r>
        <w:rPr>
          <w:rStyle w:val="Enfasigrassetto"/>
          <w:color w:val="800000"/>
        </w:rPr>
        <w:t> </w:t>
      </w:r>
      <w:r>
        <w:t>Sud, Sud-Ovest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Epoca di vendemmia:</w:t>
      </w:r>
      <w:r>
        <w:rPr>
          <w:rStyle w:val="Enfasigrassetto"/>
          <w:b w:val="0"/>
        </w:rPr>
        <w:t xml:space="preserve">Fine </w:t>
      </w:r>
      <w:r>
        <w:t>Settembre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Resa per ettaro:</w:t>
      </w:r>
      <w:r>
        <w:rPr>
          <w:color w:val="CC6633"/>
        </w:rPr>
        <w:t> </w:t>
      </w:r>
      <w:r>
        <w:t xml:space="preserve">50 </w:t>
      </w:r>
      <w:proofErr w:type="spellStart"/>
      <w:r>
        <w:t>ql</w:t>
      </w:r>
      <w:proofErr w:type="spellEnd"/>
      <w:r>
        <w:t>/Ha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Vinificazione:</w:t>
      </w:r>
      <w:r>
        <w:rPr>
          <w:rStyle w:val="Enfasigrassetto"/>
        </w:rPr>
        <w:t xml:space="preserve"> </w:t>
      </w:r>
      <w:r>
        <w:rPr>
          <w:rStyle w:val="Enfasigrassetto"/>
          <w:b w:val="0"/>
        </w:rPr>
        <w:t xml:space="preserve">Macerazione a freddo per 8 ore a grappolo non diraspato – Fermentazione a </w:t>
      </w:r>
      <w:r>
        <w:t>temperatura controllata (14°C) per 15 giorni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Affinamento:</w:t>
      </w:r>
      <w:r>
        <w:rPr>
          <w:rStyle w:val="Enfasigrassetto"/>
        </w:rPr>
        <w:t> </w:t>
      </w:r>
      <w:r w:rsidR="00D47663">
        <w:t>12 mesi in tonneau</w:t>
      </w:r>
      <w:r>
        <w:t xml:space="preserve"> usate, malolattica, 2 mesi minimo in bottiglia</w:t>
      </w:r>
    </w:p>
    <w:p w:rsidR="00C957C5" w:rsidRDefault="00C957C5" w:rsidP="00C957C5">
      <w:pPr>
        <w:pStyle w:val="NormaleWeb"/>
      </w:pPr>
      <w:proofErr w:type="spellStart"/>
      <w:r>
        <w:rPr>
          <w:rStyle w:val="Enfasigrassetto"/>
          <w:color w:val="CC6633"/>
        </w:rPr>
        <w:t>N°</w:t>
      </w:r>
      <w:proofErr w:type="spellEnd"/>
      <w:r>
        <w:rPr>
          <w:rStyle w:val="Enfasigrassetto"/>
          <w:color w:val="CC6633"/>
        </w:rPr>
        <w:t xml:space="preserve"> bottiglie prodotte per anno:</w:t>
      </w:r>
      <w:r>
        <w:rPr>
          <w:rStyle w:val="Enfasigrassetto"/>
        </w:rPr>
        <w:t> </w:t>
      </w:r>
      <w:r>
        <w:t>2</w:t>
      </w:r>
      <w:r w:rsidR="00D47663">
        <w:t>.680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Gradazione alcolica:</w:t>
      </w:r>
      <w:r>
        <w:t> 13,5% vol.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Colore:</w:t>
      </w:r>
      <w:r w:rsidR="00321D9F">
        <w:t> Giallo paglierino con riflessi dorati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Profumo:</w:t>
      </w:r>
      <w:r w:rsidR="00321D9F">
        <w:t xml:space="preserve"> Fresco ed inteso: fiori bianchi e frutti, agrumi, mela e polpa di pesca, seguito da note più mature di mela cotogna, susine gialle, </w:t>
      </w:r>
      <w:r w:rsidR="004261B4">
        <w:t>nespole</w:t>
      </w:r>
      <w:r w:rsidR="00321D9F">
        <w:t xml:space="preserve"> e sfumature speziate</w:t>
      </w:r>
    </w:p>
    <w:p w:rsidR="00321D9F" w:rsidRDefault="00C957C5" w:rsidP="00C957C5">
      <w:pPr>
        <w:pStyle w:val="NormaleWeb"/>
      </w:pPr>
      <w:r>
        <w:rPr>
          <w:rStyle w:val="Enfasigrassetto"/>
          <w:color w:val="CC6633"/>
        </w:rPr>
        <w:t>Sapore:</w:t>
      </w:r>
      <w:r>
        <w:rPr>
          <w:rStyle w:val="Enfasigrassetto"/>
        </w:rPr>
        <w:t> </w:t>
      </w:r>
      <w:r>
        <w:t xml:space="preserve">Secco, fresco e sapido, </w:t>
      </w:r>
      <w:r w:rsidR="00321D9F">
        <w:t>in bocca evidenzia la sua avvolgente struttura e si riscontrano le note fruttate dell'olfatto in un finale persistente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lastRenderedPageBreak/>
        <w:t>Temperatura di servizio:</w:t>
      </w:r>
      <w:r w:rsidR="00321D9F">
        <w:t>12/14</w:t>
      </w:r>
      <w:r>
        <w:t>° C.</w:t>
      </w:r>
    </w:p>
    <w:p w:rsidR="00C957C5" w:rsidRDefault="00C957C5" w:rsidP="00C957C5">
      <w:pPr>
        <w:pStyle w:val="NormaleWeb"/>
      </w:pPr>
      <w:r>
        <w:rPr>
          <w:rStyle w:val="Enfasigrassetto"/>
          <w:color w:val="CC6633"/>
        </w:rPr>
        <w:t>Capacità di Invecchiamento:</w:t>
      </w:r>
      <w:r>
        <w:t xml:space="preserve"> </w:t>
      </w:r>
      <w:r w:rsidR="004261B4">
        <w:t>Da apprezzare subito o dimenticare in cantina, non teme gli anni arricchendosi di sfumature minerali ed eteree</w:t>
      </w:r>
    </w:p>
    <w:p w:rsidR="00C957C5" w:rsidRDefault="00C957C5" w:rsidP="00C957C5">
      <w:pPr>
        <w:pStyle w:val="NormaleWeb"/>
        <w:rPr>
          <w:b/>
        </w:rPr>
      </w:pPr>
      <w:r>
        <w:rPr>
          <w:rStyle w:val="Enfasigrassetto"/>
          <w:color w:val="CC6633"/>
        </w:rPr>
        <w:t>Abbinamenti gastronomici</w:t>
      </w:r>
      <w:r>
        <w:rPr>
          <w:rStyle w:val="Enfasigrassetto"/>
          <w:b w:val="0"/>
          <w:color w:val="CC6633"/>
        </w:rPr>
        <w:t>:</w:t>
      </w:r>
      <w:r>
        <w:rPr>
          <w:rStyle w:val="Enfasigrassetto"/>
          <w:b w:val="0"/>
        </w:rPr>
        <w:t xml:space="preserve"> P</w:t>
      </w:r>
      <w:r w:rsidR="004261B4">
        <w:rPr>
          <w:rStyle w:val="Enfasigrassetto"/>
          <w:b w:val="0"/>
        </w:rPr>
        <w:t>er il suo gusto fresco e sapido</w:t>
      </w:r>
      <w:r>
        <w:rPr>
          <w:rStyle w:val="Enfasigrassetto"/>
          <w:b w:val="0"/>
        </w:rPr>
        <w:t xml:space="preserve"> </w:t>
      </w:r>
      <w:r w:rsidR="004261B4">
        <w:rPr>
          <w:rStyle w:val="Enfasigrassetto"/>
          <w:b w:val="0"/>
        </w:rPr>
        <w:t>e per il suo importante corpo, si sposa bene con ricche preparazioni a base di pesce, primi di struttura, carni bianche</w:t>
      </w:r>
    </w:p>
    <w:p w:rsidR="007D00DF" w:rsidRDefault="007D00DF"/>
    <w:sectPr w:rsidR="007D00DF" w:rsidSect="007D00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957C5"/>
    <w:rsid w:val="00321D9F"/>
    <w:rsid w:val="004261B4"/>
    <w:rsid w:val="006D63EC"/>
    <w:rsid w:val="007D00DF"/>
    <w:rsid w:val="00C957C5"/>
    <w:rsid w:val="00D4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0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9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957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2017-01-17T10:58:00Z</dcterms:created>
  <dcterms:modified xsi:type="dcterms:W3CDTF">2017-01-17T16:29:00Z</dcterms:modified>
</cp:coreProperties>
</file>