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DEMO TXT FILE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2024-05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wlan0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873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8.25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82.26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45.79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49.37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11.64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26.54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56.78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lan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