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AAAAAA"/>
          <w:sz w:val="36"/>
          <w:szCs w:val="36"/>
        </w:rPr>
        <w:t xml:space="preserve">ARCHITECTURE DECISION RECORD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ADR-001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Arquitetura de Microsserviços com BFF Gateway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2980B9"/>
          <w:sz w:val="26"/>
          <w:szCs w:val="26"/>
        </w:rPr>
        <w:t xml:space="preserve">para o Sistema Quíron Equine SaaS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Microsserviços com BFF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Junho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Quíron Equine SaaS — ERS v1.1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Marco Túlio S. Oliveira · João L. Paiva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Rossano Andrigo Falconi · Laís G. Araújo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Cláusula 1ª + RNF-MAN-002 — obrigação contratual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SWEBOK ref.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 Arquitetura de Software v4.0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Contexto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Quíron Equine é uma plataforma SaaS de gestão veterinária equina desenvolvida por uma equipe de 2 desenvolvedores, com prazo contratual de entrega até 28 de fevereiro de 2027 (Marco M5). O sistema atende inicialmente veterinários independentes com planos de expansão para outras especialidades veterinárias.</w:t>
      </w:r>
    </w:p>
    <w:p>
      <w:pPr>
        <w:spacing w:after="0" w:before="80"/>
      </w:pP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Os seguintes fatores técnicos e de negócio influenciaram a decisão arquitetural: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 ano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Projeção conservadora: ~1.000 usuários. Meta otimista: ~4.000 (2% dos 200k vets brasileiros).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desenvolvedores full-stack · prazo de 20 meses · sem DevOps dedicado.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Obrigação contratual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RNF-MAN-002 (Anexo II assinado) especifica "microserviços" — decisão já contratualmente vinculante.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Isolamento de falha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Requisito explícito dos stakeholders (Q5): todo módulo deve poder cair sem afetar os demais.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Expansão futura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Novas especialidades veterinárias serão adicionadas como microsserviços independentes com personalizações pagas.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de infraestrutura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Stakeholders aprovaram investimento em cloud. Custo estimado ano 1: R$ 400–800/mês.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de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Voice Service (M4) tem dependências externas distintas (STT + LLM) e SLA independente — candidato natural a serviço isolado.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Decisão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Adotamos a arquitetura de microsserviços por domínio DDD (Domain-Driven Design), com um BFF Gateway (Backend for Frontend) como ponto único de entrada para o cliente PWA. A decisão foi formalmente tomada em reunião com os stakeholders e é vinculante ao contrato assinado.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6"/>
              <w:left w:val="single" w:color="117A65" w:sz="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Decisão formal: Microsserviços por domínio + BFF Gateway + PWA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backend é composto por 7 microsserviços independentes, cada um com seu próprio banco PostgreSQL (database-per-service).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BFF Gateway Node.js/Express orquestra todas as chamadas, gerencia autenticação JWT, rate limiting e CORS.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frontend é uma PWA (Progressive Web App) em Next.js/React — único cliente, instalável em Android, iOS e desktop via browser.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assíncrona entre serviços via Message Broker (RabbitMQ ou Redis Pub/Sub).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decisão é ACEITA e VINCULANTE — qualquer alteração exige Termo Aditivo contratual.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Microsserviços Definidos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Os 7 microsserviços foram definidos por fronteiras de domínio DDD, alinhados aos marcos contratuais: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14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&amp;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Cadastros, Auth JWT, Multitenancy RLS, Planos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Produtos, Movimentações, Alertas vencimento/baixo estoque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Atendimentos, Ficha clínica, Exames, Vacinas,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Eventos, Geofence, Lembretes, Integração Maps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FCM/VAPID, WhatsApp Business API,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caixa, Pendências, Dashboard, Configurações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/ Voz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Whisper, LLM GPT/Gemini, Prompts versionados, Fila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Jan/2027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Stack Tecnológica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 stack foi escolhida para maximizar o reuso de conhecimento entre backend e frontend com 2 desenvolvedores, minimizando a curva de aprendizado: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alvo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(PWA)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React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PWA nativo, Service Worker, compartilha tipos com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(BFF)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runtime do frontend — um único ecossistema para 2 devs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Microsserviços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Consistência de stack — facilita rotação de devs entre serviços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migrations automáticas, middleware para RLS multitenancy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para ficha clínica, GENERATED columns, Row-Level Security nativo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(ou Redis Pub/Sub)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 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assíncrona; Redis se quisermos cache + broker unificado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Paridade dev/prod; cada microsserviço = um container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 para repo privado até certo limite; integração nativa com 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(ou Railway/Render)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Fargate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Fargate elimina gestão de servidor; Railway/Render para MVP rápido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(ou Cloudflare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PDFs, fotos de animais, laudos; R2 sem custo de egress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Grafana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para erros; Grafana para métricas; ambos free tier suficiente ano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externo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Próprio (JWT + bcrypt)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total sobre multitenancy; evita custo de Auth0/Supabase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(STT)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qualidade PT-BR; store=false para LGPD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(LLM)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(padrão) / Gemini 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mode nativo; baixo custo; Gemini como fallback configurável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Princípios Arquiteturais Adotados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Database-per-Service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Cada microsserviço possui seu próprio banco PostgreSQL isolado. Nenhuma consulta SQL cruza a fronteira entre bancos. Comunicação cross-service ocorre exclusivamente via eventos assíncronos no Message Broker.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Evita acoplamento de schema entre domínios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Permite escalonamento independente de banco por serviço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Falha no banco de um serviço não propaga para os demais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Row-Level Security (RLS) para Multitenancy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tenant_id está presente em todas as tabelas. O isolamento é garantido por políticas RLS do PostgreSQL, ativadas via Prisma middleware que define app.current_tenant no início de cada request: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Implementação RLS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 Política criada uma vez por tabela: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POLICY tenant_isolation ON appointments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USING (tenant_id = current_setting('app.current_tenant')::UUID);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 Prisma middleware injeta no início de cada request: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 prisma.$executeRaw`SELECT set_config('app.current_tenant', ${tenantId}, true)`;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 Comunicação Assíncrona via Eventos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Fluxos que cruzam domínios usam eventos assíncronos, nunca chamadas HTTP síncronas entre microsserviços: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Publicado por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Consumido por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appointment.done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automática de estoque (RN-003)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appointment.done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registro financeiro pendente (RN-002)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alert.triggered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notificação de vencimento/baixo estoque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payment.registered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proprietário sobre recebimento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schedule.reminder_due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lembrete de evento da agenda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geofence.triggered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veterinário sobre propriedade próxima (RN-008)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5.4 Idempotência em Operações Críticas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Operações que não podem ser duplicadas usam chave de idempotência: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stock_movements.idempotency_key (UNIQUE) — evita dupla baixa em redelivery do broker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Appointment finalization — status check antes de processar evento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AI Voice offline queue — job processado apenas uma vez mesmo com retry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5.5 Soft Delete para LGPD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Nenhum registro de dados pessoais é apagado fisicamente. Todas as tabelas com dados de pessoas têm deleted_at TIMESTAMPTZ. A exclusão definitiva ocorre apenas mediante solicitação formal do titular (art. 18 LGPD), precedida de exportação dos dados.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5.6 Valores Monetários em Centavos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os valores financeiros são armazenados como INTEGER em centavos (ex.: R$ 10,50 = 1050). Nunca FLOAT ou DECIMAL para dinheiro — evita erros de arredondamento IEEE 754.</w:t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Consequências da Decisão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Consequências Positivas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Alta coesão e baixo acoplamento: cada microsserviço pode ser desenvolvido, testado e implantado independentemente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Tolerância a falhas: queda do AI Voice Service não afeta atendimentos clínicos (RN-013)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Escalabilidade horizontal: serviços com maior carga (Clinical, Identity) podem ter mais instâncias sem escalar os demais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Expansão modular: novas especialidades veterinárias = novos microsserviços, sem alteração dos existentes (RNF-MAN-001)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Deploy por marco contratual: cada microsserviço entregue = marco homologado = parcela recebida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PWA elimina custo e burocracia de App Store/Play Store no primeiro ciclo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Consequências Negativas e Mitigações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/ Custo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operacional com 2 devs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local; GitHub Actions CI/CD simples; Railway/Render no início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Distribuição de transações (sem ACID cross-service)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Outbox para eventos críticos; idempotency_key nas operações sensíveis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 de rede entre BFF e microsserviços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Serviços na mesma VPC/região; rede interna &lt; 1ms; não perceptível ao usuário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 distribuída (logs espalhados)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trace_id propagado em todos os headers; Sentry + Grafana centralizados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de infraestrutura maior que monolito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R$ 400–800/mês estimado; aprovado pelos stakeholders; Railway free tier no início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Alternativas Consideradas e Rejeitadas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Monolito Modular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Um único processo Node.js com módulos internos bem separados (packages independentes). Tecnicamente viável e mais simples para 2 devs.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foi rejeitado: </w:t>
      </w:r>
      <w:r>
        <w:rPr>
          <w:rFonts w:ascii="Arial" w:cs="Arial" w:eastAsia="Arial" w:hAnsi="Arial"/>
          <w:sz w:val="22"/>
          <w:szCs w:val="22"/>
        </w:rPr>
        <w:t xml:space="preserve">O RNF-MAN-002 do Anexo II do contrato assinado especifica explicitamente "microserviços". Adotar monolito implicaria inadimplência contratual, exigindo Termo Aditivo e nova aprovação dos stakeholders. Além disso, o requisito de isolamento de falha por módulo (resposta Q5 dos stakeholders) é melhor atendido por microsserviços.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Monolito Modular + Microsserviço de IA Isolado (Híbrido)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Backend principal como monolito modular, com apenas o AI Voice Service como microsserviço isolado.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foi rejeitado: </w:t>
      </w:r>
      <w:r>
        <w:rPr>
          <w:rFonts w:ascii="Arial" w:cs="Arial" w:eastAsia="Arial" w:hAnsi="Arial"/>
          <w:sz w:val="22"/>
          <w:szCs w:val="22"/>
        </w:rPr>
        <w:t xml:space="preserve">Mesma restrição contratual do RNF-MAN-002. O contrato não permite interpretação parcial do requisito de microsserviços.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7.3 React Native (App Nativo)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Aplicativo nativo para Android e iOS com React Native, em vez de PWA.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foi rejeitado: </w:t>
      </w:r>
      <w:r>
        <w:rPr>
          <w:rFonts w:ascii="Arial" w:cs="Arial" w:eastAsia="Arial" w:hAnsi="Arial"/>
          <w:sz w:val="22"/>
          <w:szCs w:val="22"/>
        </w:rPr>
        <w:t xml:space="preserve">Exigiria manutenção de duas codebases distintas (mobile + web) com 2 devs. Aumentaria o risco de atraso nos marcos M1–M5. A PWA com Bubblewrap/PWABuilder pode entrar nas lojas futuramente sem reescrita.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7.4 Kubernetes desde o Início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Orquestração de containers com Kubernetes para os microsserviços.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foi rejeitado: </w:t>
      </w:r>
      <w:r>
        <w:rPr>
          <w:rFonts w:ascii="Arial" w:cs="Arial" w:eastAsia="Arial" w:hAnsi="Arial"/>
          <w:sz w:val="22"/>
          <w:szCs w:val="22"/>
        </w:rPr>
        <w:t xml:space="preserve">Complexidade desnecessária para ~1.000 usuários no ano 1. Adotamos Docker + ECS Fargate (serverless containers) ou Railway/Render. Kubernetes pode ser considerado quando a base de usuários justificar (estimativa: &gt; 10.000 usuários simultâneos).</w:t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Convenções de Desenvolvimento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8.1 Estrutura de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Monorepo — estrutura de pastas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quironequine/                      ← raiz do monorepo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apps/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pwa/                    ← Next.js PWA (frontend)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bff/                    ← BFF Gateway (Node.js)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ms-identity/            ← Microsserviço 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ms-inventory/           ← Microsserviço 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ms-clinical/            ← Microsserviço 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ms-scheduling/          ← Microsserviço 4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ms-notification/        ← Microsserviço 5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ms-reporting/           ← Microsserviço 6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ms-aivoice/             ← Microsserviço 7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packages/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shared-types/           ← Tipos TypeScript compartilhados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shared-utils/           ← Utilitários comuns (validação, formatação)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shared-errors/          ← Códigos de erro padronizados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infra/                      ← Docker Compose, Terraform, IaC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.github/workflows/          ← GitHub Actions CI/CD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 docs/                       ← ADRs, OpenAPI, diagramas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8.2 Padrão de Cada Microsserviço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1"/>
                <w:szCs w:val="21"/>
              </w:rPr>
              <w:t xml:space="preserve">Estrutura interna padrão (Clean Architecture leve)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ms-{nome}/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src/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controllers/     ← Express routers — recebem HTTP, delegam ao service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services/        ← Lógica de negócio — orquestra repositories e adapters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repositories/    ← Prisma ORM — acesso ao banco (nunca SQL raw exceto RLS)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adapters/        ← Integrações externas (Maps, WhatsApp, STT, LLM)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events/          ← Publishers e consumers do Message Broker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middlewares/     ← Auth, tenant, logger, error handler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schemas/         ← Zod — validação de entrada e saída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prisma/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schema.prisma    ← Schema do banco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migrations/      ← Migrações versionadas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tests/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unit/            ← Jest — services e repositories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integration/     ← Supertest — endpoints com banco em memória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Dockerfile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 package.json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8.3 Convenções de Código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TypeScript strict mode obrigatório em todos os projetos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ESLint + Prettier com config compartilhada em /packages/shared-config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Conventional Commits: feat:, fix:, chore:, docs:, test:, refactor: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Branch strategy: main (produção) → staging → develop → feature/MS1-001-description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Pull Request obrigatório para merge em develop — revisão do outro dev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Cobertura mínima de testes: 70% nos serviços de negócio críticos (RNF-MAN-003)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Proibido: console.log em produção — usar logger Winston/Pino com nível configurável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Proibido: any implícito no TypeScript — usar tipos explícitos ou unknown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8.4 Variáveis de Ambiente e Secrets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Nunca commitar .env — usar .env.example como template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Desenvolvimento: .env local com valores fictícios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Staging e produção: secrets via GitHub Actions Secrets → injetados como env vars no container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Chaves de API de IA (OpenAI, Gemini): armazenadas criptografadas no backend — nunca expostas no cliente (RNF-SEG-006)</w:t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Pipeline CI/CD — DevSecOps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Cada microsserviço tem seu próprio workflow no GitHub Actions, disparado por push em sua pasta: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34AB7" w:sz="6"/>
              <w:left w:val="single" w:color="534AB7" w:sz="6"/>
              <w:bottom w:val="single" w:color="CCCCCC" w:sz="1"/>
              <w:right w:val="single" w:color="CCCCCC" w:sz="1"/>
            </w:tcBorders>
            <w:shd w:fill="F9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Pipeline por microsserviço (.github/workflows/ms-{nome}.yml)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Trigger: push/PR em apps/ms-{nome}/**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em sequência: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lint        → ESLint + TypeScript check (falha rápida)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test        → Jest unit + integration (cobertura ≥ 70%)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build       → tsc + docker build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sast        → npm audit + Snyk (bloqueia se CVE crítica)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push        → docker push para registry (apenas em main/staging)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6. deploy      → ECS Fargate / Railway deploy (apenas em main)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7. smoke-test  → curl /health após deploy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automático: se smoke-test falhar → reverte para imagem anterior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Requisitos de Segurança Derivados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obrigatório em todos os endpoints; HTTP redireciona para HTTPS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seguro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15min + refresh token 7 dias; rotação a cada 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Multitenancy 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Row-Level Security + Prisma middleware; teste de isolamento em 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— áudio efêmero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store=false em todas as chamadas à API Whisper; sem retenção de áudio (RN-015)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Secrets → env vars em runtime; nunca em código ou .env commitado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Gateway: 100 req/min por IP; 500 req/min por tenant; customizável por plano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 em todas as tabelas com dados pessoais; exportação antes de deleção física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 no 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 + Snyk em cada PR; CVEs críticas bloqueiam 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de incidente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alerta em &lt; 15 min; comunicação às Contratantes em &lt; 48h (Cláusula 10ª §3)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Histórico de Revisões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3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do ADR-001. Decisão tomada em reunião com stakeholders. Status: ACEITO.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Túlio / João Paiva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6"/>
              <w:left w:val="single" w:color="B7770D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1"/>
                <w:szCs w:val="21"/>
              </w:rPr>
              <w:t xml:space="preserve">Nota sobre este documento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ADR é um documento INTERNO da equipe de desenvolvimento. Não deve ser compartilhado com os stakeholders contratantes.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decisão de usar microsserviços está contratualmente firmada no RNF-MAN-002 do Anexo II. Este documento registra os detalhes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técnicos, convenções e justificativas para referência futura da equipe durante o desenvolvimento e manutenção do sistema.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 ADR: ADR-002 — Decisão sobre Message Broker (RabbitMQ vs. Redis Pub/Sub)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AAAAAA"/>
        <w:sz w:val="16"/>
        <w:szCs w:val="16"/>
      </w:rPr>
      <w:t xml:space="preserve">Confidencial — Uso Interno — Não compartilhar com stakeholders</w:t>
    </w:r>
    <w:r>
      <w:rPr>
        <w:rFonts w:ascii="Arial" w:cs="Arial" w:eastAsia="Arial" w:hAnsi="Arial"/>
        <w:color w:val="AAAAAA"/>
        <w:sz w:val="16"/>
        <w:szCs w:val="16"/>
      </w:rPr>
      <w:t xml:space="preserve">	Página </w:t>
    </w:r>
    <w:r>
      <w:rPr>
        <w:rFonts w:ascii="Arial" w:cs="Arial" w:eastAsia="Arial" w:hAnsi="Arial"/>
        <w:color w:val="185F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85FA5"/>
        <w:sz w:val="16"/>
        <w:szCs w:val="16"/>
      </w:rPr>
      <w:t xml:space="preserve">ADR-001 — Quíron Equine SaaS</w:t>
    </w:r>
    <w:r>
      <w:rPr>
        <w:rFonts w:ascii="Arial" w:cs="Arial" w:eastAsia="Arial" w:hAnsi="Arial"/>
        <w:color w:val="AAAAAA"/>
        <w:sz w:val="16"/>
        <w:szCs w:val="16"/>
      </w:rPr>
      <w:t xml:space="preserve">	Documento Interno — Equipe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2026-07-08T11:51:12.851Z</dcterms:created>
  <dcterms:modified xsi:type="dcterms:W3CDTF">2026-07-08T11:51:12.863Z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