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864"/>
          <w:sz w:val="40"/>
          <w:szCs w:val="40"/>
        </w:rPr>
        <w:t xml:space="preserve">DOCUMENTO DE ARQUITETURA DE SOFTWARE</w:t>
      </w:r>
    </w:p>
    <w:p>
      <w:pPr>
        <w:spacing w:after="600"/>
        <w:jc w:val="center"/>
      </w:pPr>
      <w:r>
        <w:rPr>
          <w:color w:val="1F3864"/>
          <w:sz w:val="28"/>
          <w:szCs w:val="28"/>
        </w:rPr>
        <w:t xml:space="preserve">Sistema de Apoio à Recepção — SAR</w:t>
      </w:r>
    </w:p>
    <w:p>
      <w:pPr>
        <w:spacing w:after="200"/>
        <w:jc w:val="center"/>
      </w:pPr>
      <w:r>
        <w:rPr>
          <w:color w:val="404040"/>
          <w:sz w:val="22"/>
          <w:szCs w:val="22"/>
        </w:rPr>
        <w:t xml:space="preserve">DAS_recepcao · Versão 1.1</w:t>
      </w:r>
    </w:p>
    <w:p>
      <w:pPr>
        <w:spacing w:after="200"/>
        <w:jc w:val="center"/>
      </w:pPr>
      <w:r>
        <w:rPr>
          <w:i/>
          <w:iCs/>
          <w:color w:val="404040"/>
          <w:sz w:val="22"/>
          <w:szCs w:val="22"/>
        </w:rPr>
        <w:t xml:space="preserve">Elaborado com base no SWEBOK 4.0 e na ISO/IEC/IEEE 42010</w:t>
      </w:r>
    </w:p>
    <w:p>
      <w:pPr>
        <w:spacing w:after="200"/>
        <w:jc w:val="center"/>
      </w:pPr>
      <w:r>
        <w:rPr>
          <w:color w:val="404040"/>
          <w:sz w:val="22"/>
          <w:szCs w:val="22"/>
        </w:rPr>
        <w:t xml:space="preserve">Data: 2026-10-06 · Classificação: Confidencial — uso interno</w:t>
      </w:r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Controle de revisões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3"/>
        <w:gridCol w:w="973"/>
        <w:gridCol w:w="1538"/>
        <w:gridCol w:w="6154"/>
      </w:tblGrid>
      <w:tr>
        <w:trPr>
          <w:tblHeader/>
        </w:trPr>
        <w:tc>
          <w:tcPr>
            <w:tcW w:type="dxa" w:w="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6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2026-09-28</w:t>
            </w: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Equipe de desenvolvimento</w:t>
            </w:r>
          </w:p>
        </w:tc>
        <w:tc>
          <w:tcPr>
            <w:tcW w:type="dxa" w:w="6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Versão inicial aprovada. Drivers arquiteturais, estilo, decisões AD-01 a AD-27, módulos, sequências, modelo de dados, implantação, riscos e avaliação da arquitetura. Baseado na ERS-002 v1.0.</w:t>
            </w:r>
          </w:p>
        </w:tc>
      </w:tr>
      <w:tr>
        <w:tc>
          <w:tcPr>
            <w:tcW w:type="dxa" w:w="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2026-10-06</w:t>
            </w: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Equipe de desenvolvimento</w:t>
            </w:r>
          </w:p>
        </w:tc>
        <w:tc>
          <w:tcPr>
            <w:tcW w:type="dxa" w:w="6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Incorpora o design detalhado da Macroentrega III (DDS_recepcao, §2.2): núcleo compartilhado e raiz de composição; novo MOD-11; grafo de dependências verificado por máquina; sessão de turno derivada do relógio; emissão por modelos .docx; agente de captura validado no equipamento real (R-34 mitigado); modelo de dados substituído pelo esquema implementado; usuários de banco por processo; agenda de jobs e retenção do backup; retirada do estabelecimento referenciador (DEC-73).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1. Introdução</w:t>
      </w:r>
    </w:p>
    <w:p>
      <w:pPr>
        <w:pStyle w:val="Heading2"/>
      </w:pPr>
      <w:r>
        <w:t xml:space="preserve">1.1 Propósito</w:t>
      </w:r>
    </w:p>
    <w:p>
      <w:pPr>
        <w:spacing w:after="140"/>
      </w:pPr>
      <w:r>
        <w:t xml:space="preserve">Este documento descreve a arquitetura de software do Sistema de Apoio à Recepção (SAR). Serve como
referência técnica durante a construção, estabelecendo decisões arquiteturais, estrutura de módulos,
modelo de dados e visão de implantação, e registrando o motivo de cada escolha.</w:t>
      </w:r>
    </w:p>
    <w:p>
      <w:pPr>
        <w:pStyle w:val="Heading2"/>
      </w:pPr>
      <w:r>
        <w:t xml:space="preserve">1.2 Escopo</w:t>
      </w:r>
    </w:p>
    <w:p>
      <w:pPr>
        <w:spacing w:after="140"/>
      </w:pPr>
      <w:r>
        <w:t xml:space="preserve">O DAS cobre a arquitetura interna do SAR e a sua convivência com o Sistema de Controle de Estoque
(SCE) no mesmo servidor dedicado. Não cobre a arquitetura interna do SCE, exceto onde ela condiciona
decisões deste sistema — instância de banco, endereçamento e backup.</w:t>
      </w:r>
    </w:p>
    <w:p>
      <w:pPr>
        <w:pStyle w:val="Heading2"/>
      </w:pPr>
      <w:r>
        <w:t xml:space="preserve">1.3 Referências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ERS-002 v1.0 — Especificação de Requisitos de Software do SAR, com as decisões DEC-57 a DEC-73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DDS_recepcao — Documento de Design de Software do SAR (decisões DD-01 a DD-80, esquema físico, contratos)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PT_recepcao — Plano de Testes do SAR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DAS-001 v1.5 — Documento de Arquitetura de Software do SCE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Análise de viabilidade e fechamento da Fase 2, §2 — especificação do servidor dedicado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Modelagem de ameaças e de privacidade (STRIDE e LINDDUN)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SWEBOK v4.0 — Guide to the Software Engineering Body of Knowledge, IEEE, 2024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ISO/IEC/IEEE 42010:2022 — Architecture description</w:t>
      </w:r>
    </w:p>
    <w:p>
      <w:pPr>
        <w:pStyle w:val="Heading2"/>
      </w:pPr>
      <w:r>
        <w:t xml:space="preserve">1.4 Drivers arquiteturais</w:t>
      </w:r>
    </w:p>
    <w:p>
      <w:pPr>
        <w:spacing w:after="140"/>
      </w:pPr>
      <w:r>
        <w:t xml:space="preserve">Nem todo requisito condiciona a arquitetura. Estes condicionam, e cada decisão da §3 responde a pelo
menos um deles.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1944"/>
        <w:gridCol w:w="4973"/>
      </w:tblGrid>
      <w:tr>
        <w:trPr>
          <w:tblHeader/>
        </w:trP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Driver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Origem na ERS</w:t>
            </w:r>
          </w:p>
        </w:tc>
        <w:tc>
          <w:tcPr>
            <w:tcW w:type="dxa" w:w="4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Implicação arquitetural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Nenhuma credencial de banco nas estações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RNF-614, QAS-12</w:t>
            </w:r>
          </w:p>
        </w:tc>
        <w:tc>
          <w:tcPr>
            <w:tcW w:type="dxa" w:w="4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banco só é acessado pelo servidor. Estações não podem executar cliente com acesso direto ao MySQL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Estações com Windows 10 sem suporte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DEC-51, §4.6.1</w:t>
            </w:r>
          </w:p>
        </w:tc>
        <w:tc>
          <w:tcPr>
            <w:tcW w:type="dxa" w:w="4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Dados e software fora das estações. Nada instalado além do navegador, exceto onde inevitável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Nenhuma cópia de documento na estação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RNF-616, SEG-19, SEG-28</w:t>
            </w:r>
          </w:p>
        </w:tc>
        <w:tc>
          <w:tcPr>
            <w:tcW w:type="dxa" w:w="4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Documentos exibidos no navegador sem download implícito e sem cache; captura sem arquivo intermediário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Câmera só funciona em conexão segura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RF-711, RNF-618</w:t>
            </w:r>
          </w:p>
        </w:tc>
        <w:tc>
          <w:tcPr>
            <w:tcW w:type="dxa" w:w="4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TLS obrigatório na rede local, com certificado confiável nas estações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Tarefas que não dependem de usuário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RNF-615, RNF-628, RF-920</w:t>
            </w:r>
          </w:p>
        </w:tc>
        <w:tc>
          <w:tcPr>
            <w:tcW w:type="dxa" w:w="4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Agendamento no servidor, em execução permanente — não no processo de interface. A sessão de turno (DEC-54) é derivada do relógio e não depende de job (DD-23)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Pipeline de ingestão de arquivos não confiáveis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SEG-01 a SEG-31</w:t>
            </w:r>
          </w:p>
        </w:tc>
        <w:tc>
          <w:tcPr>
            <w:tcW w:type="dxa" w:w="4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Processamento isolado, com limites de recurso, fora do processo que atende o usuário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Guarda de vinte anos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RN-06, RNF-610, RNF-622</w:t>
            </w:r>
          </w:p>
        </w:tc>
        <w:tc>
          <w:tcPr>
            <w:tcW w:type="dxa" w:w="4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Formato de arquivamento, integridade verificável e custódia de chaves que sobrevivam a trocas de tecnologia e de pessoa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Uma pessoa desenvolve e mantém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R-25, RNF-706</w:t>
            </w:r>
          </w:p>
        </w:tc>
        <w:tc>
          <w:tcPr>
            <w:tcW w:type="dxa" w:w="4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Mesma base tecnológica do SCE; pilha legível por qualquer desenvolvedor; implantação reproduzível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Frequência lançada em poucos cliques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RNF-204, RNF-402, QAS-02</w:t>
            </w:r>
          </w:p>
        </w:tc>
        <w:tc>
          <w:tcPr>
            <w:tcW w:type="dxa" w:w="4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Atualização parcial de tela, sem recarregar a lista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Servidor compartilhado com o SCE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RE-05, RNF-302, RNF-620</w:t>
            </w:r>
          </w:p>
        </w:tc>
        <w:tc>
          <w:tcPr>
            <w:tcW w:type="dxa" w:w="4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Instâncias de banco separadas; isolamento de processos e de arquivos; o SCE não pode ficar mais lento</w:t>
            </w:r>
          </w:p>
        </w:tc>
      </w:tr>
      <w:tr>
        <w:tc>
          <w:tcPr>
            <w:tcW w:type="dxa" w:w="2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Extração automática incerta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RNF-702, QAS-08</w:t>
            </w:r>
          </w:p>
        </w:tc>
        <w:tc>
          <w:tcPr>
            <w:tcW w:type="dxa" w:w="4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Componente isolado e desligável sem alteração de código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Visão geral da arquitetura</w:t>
      </w:r>
    </w:p>
    <w:p>
      <w:pPr>
        <w:pStyle w:val="Heading2"/>
      </w:pPr>
      <w:r>
        <w:t xml:space="preserve">2.1 Estilo arquitetural</w:t>
      </w:r>
    </w:p>
    <w:p>
      <w:pPr>
        <w:spacing w:after="140"/>
      </w:pPr>
      <w:r>
        <w:t xml:space="preserve">O SAR adota o mesmo estilo do SCE: </w:t>
      </w:r>
      <w:r>
        <w:rPr>
          <w:b/>
          <w:bCs/>
        </w:rPr>
        <w:t xml:space="preserve">monólito modular</w:t>
      </w:r>
      <w:r>
        <w:t xml:space="preserve">. Um único código-fonte em Python, organizado
em módulos com responsabilidades e interfaces delimitadas, que correspondem aos cinco contextos do
modelo de domínio. A justificativa é a mesma do DAS-001: volume pequeno, poucos usuários simultâneos,
rede local e manutenção por uma pessoa.</w:t>
      </w:r>
    </w:p>
    <w:p>
      <w:pPr>
        <w:spacing w:after="140"/>
      </w:pPr>
      <w:r>
        <w:t xml:space="preserve">A diferença em relação ao SCE está na </w:t>
      </w:r>
      <w:r>
        <w:rPr>
          <w:b/>
          <w:bCs/>
        </w:rPr>
        <w:t xml:space="preserve">superfície de apresentação</w:t>
      </w:r>
      <w:r>
        <w:t xml:space="preserve">. O SCE é uma aplicação desktop
instalada em cada estação, conectada diretamente ao banco. O SAR é uma aplicação web servida pelo
servidor dedicado, e as estações usam apenas o navegador. Os drivers da §1.4 tornam o modelo desktop
inviável aqui: credencial de banco na estação, agendamento dependente de um aplicativo aberto e
software instalado em estações sem suporte são exatamente o que a ERS proíbe ou procura reduzir.</w:t>
      </w:r>
    </w:p>
    <w:p>
      <w:pPr>
        <w:spacing w:after="140"/>
      </w:pPr>
      <w:r>
        <w:t xml:space="preserve">Não se trata de uma tecnologia nova para a casa. O SCE já possui uma superfície web em Flask e
Waitress, o serviço de coleta do MOD-07. No SAR, essa superfície deixa de ser exceção e passa a ser a
principal.</w:t>
      </w:r>
    </w:p>
    <w:p>
      <w:pPr>
        <w:spacing w:after="140"/>
      </w:pPr>
      <w:r>
        <w:t xml:space="preserve">O código roda em </w:t>
      </w:r>
      <w:r>
        <w:rPr>
          <w:b/>
          <w:bCs/>
        </w:rPr>
        <w:t xml:space="preserve">dois processos</w:t>
      </w:r>
      <w:r>
        <w:t xml:space="preserve">, a partir da mesma base: o processo web, que atende as estações,
e o processo worker, que executa agendamentos e o pipeline de ingestão. Não são microsserviços: os dois
compartilham código, serviços de negócio e banco. A separação existe porque as tarefas do worker não
podem depender de uma requisição de usuário, e porque o processamento de arquivos não confiáveis não
deve disputar recursos com a interface.</w:t>
      </w:r>
    </w:p>
    <w:p>
      <w:pPr>
        <w:pStyle w:val="Heading2"/>
      </w:pPr>
      <w:r>
        <w:t xml:space="preserve">2.2 Camadas da arquitetura</w:t>
      </w:r>
    </w:p>
    <w:p>
      <w:pPr>
        <w:spacing w:after="140"/>
      </w:pPr>
      <w:r>
        <w:t xml:space="preserve">Quatro camadas, com dependência unidirecional, como no SCE: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Apresentação:</w:t>
      </w:r>
      <w:r>
        <w:t xml:space="preserve"> rotas Flask, modelos Jinja2, fragmentos htmx e o módulo JavaScript de captura da
webcam. Recebem a requisição, chamam serviços de aplicação e devolvem HTML. Nunca acessam
repositórios.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Aplicação:</w:t>
      </w:r>
      <w:r>
        <w:t xml:space="preserve"> serviços que implementam os casos de uso e aplicam as regras de negócio, as
invariantes e a verificação de autorização por operação e por recurso (RNF-623).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Infraestrutura:</w:t>
      </w:r>
      <w:r>
        <w:t xml:space="preserve"> repositórios SQLAlchemy, cliente de antimalware, reconstrução de imagem,
extração de texto, geração de PDF e XLSX, cliente de CEP, cifragem e agendador.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Dados:</w:t>
      </w:r>
      <w:r>
        <w:t xml:space="preserve"> instância MySQL própria e repositório de documentos cifrado no sistema de arquivos do
servidor.</w:t>
      </w:r>
    </w:p>
    <w:p>
      <w:pPr>
        <w:spacing w:after="140"/>
      </w:pPr>
      <w:r>
        <w:t xml:space="preserve">A regra de camadas vale para os dois processos: um job do worker chama serviços de aplicação, nunca
repositórios diretamente.</w:t>
      </w:r>
    </w:p>
    <w:p>
      <w:pPr>
        <w:pStyle w:val="Heading2"/>
      </w:pPr>
      <w:r>
        <w:t xml:space="preserve">2.3 Superfícies de interação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3276"/>
        <w:gridCol w:w="4524"/>
      </w:tblGrid>
      <w:tr>
        <w:trPr>
          <w:tblHeader/>
        </w:trPr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Superfície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Executada em</w:t>
            </w:r>
          </w:p>
        </w:tc>
        <w:tc>
          <w:tcPr>
            <w:tcW w:type="dxa" w:w="4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Capacidades</w:t>
            </w:r>
          </w:p>
        </w:tc>
      </w:tr>
      <w:tr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Aplicação web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Navegador das estações, servida pelo servidor dedicado</w:t>
            </w:r>
          </w:p>
        </w:tc>
        <w:tc>
          <w:tcPr>
            <w:tcW w:type="dxa" w:w="4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Todas as funcionalidades, conforme o perfil</w:t>
            </w:r>
          </w:p>
        </w:tc>
      </w:tr>
      <w:tr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Agente de captura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Estação da recepção</w:t>
            </w:r>
          </w:p>
        </w:tc>
        <w:tc>
          <w:tcPr>
            <w:tcW w:type="dxa" w:w="4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Somente acionar o scanner e enviar a imagem ao servidor. Nenhum dado de paciente armazenado nem exibido</w:t>
            </w:r>
          </w:p>
        </w:tc>
      </w:tr>
      <w:tr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Worker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Servidor dedicado, sem interface</w:t>
            </w:r>
          </w:p>
        </w:tc>
        <w:tc>
          <w:tcPr>
            <w:tcW w:type="dxa" w:w="4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Agendamentos, pipeline de ingestão, verificação da cadeia de auditoria, expurgos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Decisões arquiteturais</w:t>
      </w:r>
    </w:p>
    <w:p>
      <w:pPr>
        <w:spacing w:after="140"/>
      </w:pPr>
      <w:r>
        <w:t xml:space="preserve">Todas as decisões abaixo estão aprovadas.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9"/>
        <w:gridCol w:w="3715"/>
        <w:gridCol w:w="3914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Escolha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AD-01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Estilo arquitetural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Monólito modular, com módulos pelos cinco contextos do modelo de domínio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Mesmo estilo do SCE. Volume pequeno, rede local, manutenção por uma pessoa (R-25)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AD-02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Linguagem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Python 3.14, na última correção disponível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Mesma linguagem do SCE, versão estável mais recente. Recebe correções de segurança até outubro de 2030; a 3.12 do SCE, até outubro de 2028.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AD-03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Apresentação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Web, com páginas geradas no servidor: Flask 3 e Jinja2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Estações só com navegador (RNF-614, DEC-51). Flask já é usado no SCE (AD-14 do DAS-001). Autorização e sessão ficam no servidor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AD-04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Interatividade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htmx 4 para atualização parcial de tela; Alpine.js 3, na versão compatível com política de segurança de conteúdo; sem aplicação de página única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Resposta imediata na frequência (RNF-204) sem segunda linguagem de aplicação e sem build de JavaScript. O htmx 4 deixou de guardar o histórico de páginas no armazenamento local do navegador, o que atende diretamente o RNF-616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AD-05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Estilo visual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Tailwind CSS, gerado pelo executável standalone; guia curto de componentes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Aparência moderna e responsiva sem Node. Conjunto fixo de componentes garante consistência entre telas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AD-06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Ativos de interface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Servidos pelo próprio servidor, com versões fixadas; nenhum CDN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Interface independente de internet; nenhum acesso revelado a terceiros; compatível com RNF-611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AD-07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Servidor de aplicação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Waitress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Mesmo servidor WSGI do SCE. Puro Python, adequado ao volume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AD-08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TLS na rede local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Proxy reverso Caddy com autoridade certificadora interna; certificado emitido para o IP fixo do servidor; certificado raiz instalado uma vez em cada estação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Condição para a câmera funcionar (RF-711) e para cifrar o tráfego (RNF-618). A rede não tem DNS interno (AD-21 do DAS-001), por isso o certificado é para o IP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AD-09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MySQL 9.7 LTS, em instância própria, sem porta publicada na rede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Série LTS mais recente, lançada em abril de 2026, com cinco anos de suporte principal e três de estendido. A 8.0 está sem suporte desde 30/04/2026. Instância própria atende RNF-301 e RNF-614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AD-10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ORM e evolução do schema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SQLAlchemy 2.0 e Alembic; models.py como fonte da verdade; nenhuma alteração manual em produção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Mesmo ORM do SCE. Adota desde o início a política que o SCE só alcançou com o AD-20, após divergência entre banco e código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AD-11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Processos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Dois processos da mesma base: web e worker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agendamento no processo de interface é a origem do R-01 do SCE. O pipeline de ingestão não deve disputar recursos com a interface (SEG-30)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AD-12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Agendamento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APScheduler 3.11 no worker; jobs idempotentes, com trava exclusiva no banco; toda execução registrada; rotinas pesadas de madrugada, a partir das 02:00 (DD-61, DD-64)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Verificação da cadeia, expurgos, varreduras e descartes precisam rodar sem depender de estação ligada. A sessão de turno deixou de depender de job: é derivada do calendário e do relógio (DD-23). A série 4.0 continua em pré-lançamento, com aviso expresso contra uso em produção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AD-13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Armazenamento de documentos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Sistema de arquivos do servidor, fora da raiz web, com nomes aleatórios e cifragem pela aplicação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Mantém SEG-13. O SCE guarda anexos como BLOB (AD-22 do DAS-001) para unificar o backup; num acervo de vinte anos, os riscos R-14 e R-15 do próprio SCE pesam mais. O custo — backup de duas fontes — é tratado no AD-25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AD-14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Integridade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Hash SHA-256 de cada documento; trilha de auditoria encadeada por hash; último elo exportado periodicamente para fora do servidor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Torna alterações diretas detectáveis (RNF-615, R-27). A prova de cada documento acompanha o documento por vinte anos, independente do expurgo da trilha (RNF-628)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AD-15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Pipeline de ingestão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worker: validação por assinatura binária, varredura com ClamAV, reconstrução por rasterização e geração de PDF/A </w:t>
            </w:r>
            <w:r>
              <w:rPr>
                <w:b/>
                <w:bCs/>
                <w:sz w:val="19"/>
                <w:szCs w:val="19"/>
              </w:rPr>
              <w:t xml:space="preserve">sem camada de texto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Atende SEG-01 a SEG-31. Ferramentas que geram PDF/A pesquisável embutem o texto lido no arquivo, o que violaria SEG-31. Conformidade PDF/A verificada com validador durante a construção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AD-16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Extração de dados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Tesseract com modelo de português, local, isolado e desligável por configuração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RNF-627 impede serviço externo. RNF-702 exige que o sistema funcione sem ele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AD-17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Captura do scanner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Agente local em Python na estação da recepção, acionando o scanner por WIA, convertendo a página para PNG em memória e enviando página por página por HTTPS, sem gravar arquivo. Servidor, origem permitida e nome do scanner fixos na configuração (DD-39, DD-77 a DD-80)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Única opção que atende SEG-28 sem depender de recurso do scanner. </w:t>
            </w:r>
            <w:r>
              <w:rPr>
                <w:b/>
                <w:bCs/>
                <w:sz w:val="19"/>
                <w:szCs w:val="19"/>
              </w:rPr>
              <w:t xml:space="preserve">Validado no equipamento real</w:t>
            </w:r>
            <w:r>
              <w:rPr>
                <w:sz w:val="19"/>
                <w:szCs w:val="19"/>
              </w:rPr>
              <w:t xml:space="preserve"> (Brother DCP-1610NW, vidro e alimentador automático; teste do R-34, 06/10/2026). O driver entrega BMP sem compressão, daí a conversão no agente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AD-18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Captura da foto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API de câmera do navegador, em módulo JavaScript próprio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Nenhum software instalado. Exige TLS (AD-08)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AD-19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Sessão no servidor; cookie Secure, HttpOnly e SameSite Strict; senhas com bcrypt; bloqueio progressivo por tentativas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Mesmo algoritmo do SCE (AD-09 do DAS-001). Atende RNF-601, RNF-602 e RNF-613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AD-20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Autorização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Verificação no servidor em toda operação, por perfil e por recurso; matriz de permissões única no código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RNF-623: identificador aleatório não substitui controle de acesso. Uma matriz única evita regra de acesso espalhada pelas telas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AD-21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Emissão de documentos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Modelos .docx enviados pela administração, com variáveis de lista fechada, preenchidos com docxtpl em ambiente Jinja2 isolado e convertidos em PDF por LibreOffice em contêiner próprio, sem rede. Relatórios em HTML, convertidos em PDF por WeasyPrint (DD-42, DD-46)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Alterar texto </w:t>
            </w:r>
            <w:r>
              <w:rPr>
                <w:b/>
                <w:bCs/>
                <w:sz w:val="19"/>
                <w:szCs w:val="19"/>
              </w:rPr>
              <w:t xml:space="preserve">e</w:t>
            </w:r>
            <w:r>
              <w:rPr>
                <w:sz w:val="19"/>
                <w:szCs w:val="19"/>
              </w:rPr>
              <w:t xml:space="preserve"> leiaute no Word, sem programador (RNF-703). A validação no envio e o isolamento impedem que um modelo execute código ou busque recurso externo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AD-22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Planilhas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XlsxWriter para gerar os relatórios XLSX. O extrator da carga inicial mantém o OpenPyXL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sistema só escreve planilhas, nunca lê (RF-912). O XlsxWriter é dedicado à escrita, maduro e com manutenção ativa; o OpenPyXL não tem versão nova desde 2024. O extrator da migração já foi validado com OpenPyXL e roda uma única vez, sobre arquivos da própria clínica — trocá-lo exigiria refazer a validação sem ganho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AD-23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Consulta de CEP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Cliente com provedor substituível; ViaCEP como principal e fonte alternativa; tempo limite curto; envia somente o CEP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RNF-507, RNF-612, RNF-704. Consulta individual, nunca em massa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AD-24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Sistema operacional e implantação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Ubuntu Server 26.04 LTS e Docker Engine com Compose. Contêineres: proxy, web, worker, conversor de documentos, MySQL do SAR, MySQL do SCE e ClamAV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Suporte até abril de 2031. ClamAV, Tesseract, WeasyPrint e LibreOffice são nativos no Linux. Contêineres isolam as duas instâncias de banco e o conversor, que roda sem rede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AD-25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Backup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restic, com snapshots cifrados do dump consistente do banco e do repositório de documentos, no disco local e no pen drive; senha em custódia dupla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Uma ferramenta cobre as duas fontes de dados do AD-13, cifra por padrão (RNF-617) e restaura por data. A senha com TI e administração atende RNF-622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AD-26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Endereçamento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 fixo reservado. O servidor dedicado assume o IP atual do servidor do SCE, e o serviço de coleta do SCE mantém a mesma porta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IP e a porta do serviço de coleta estão gravados nos QR Codes de patrimônio já impressos (AD-15, AD-21 e R-08 do DAS-001). Trocar qualquer um dos dois inutilizaria todas as etiquetas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AD-27</w:t>
            </w:r>
          </w:p>
        </w:tc>
        <w:tc>
          <w:tcPr>
            <w:tcW w:type="dxa" w:w="1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Servidor provisório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Notebook reservado, com Ubuntu Server LTS e a mesma pilha do AD-24, até a chegada do servidor dedicado. IP fixo próprio, diferente do IP do SCE. Backup local em disco USB dedicado. O SCE permanece onde está e migra uma única vez, direto para o servidor definitivo</w:t>
            </w:r>
          </w:p>
        </w:tc>
        <w:tc>
          <w:tcPr>
            <w:tcW w:type="dxa" w:w="3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compra do servidor dedicado pode demorar mais que o desenvolvimento. Uma máquina provisória, também dedicada, mantém a premissa da ERS e a arquitetura intacta. A migração para o definitivo é feita restaurando o backup, o que serve como o teste de restauração exigido antes do go-live (RNF-505, QAS-14)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Decisões que divergem do SCE</w:t>
      </w:r>
    </w:p>
    <w:p>
      <w:pPr>
        <w:spacing w:after="140"/>
      </w:pPr>
      <w:r>
        <w:t xml:space="preserve">Para quem mantém os dois sistemas, as divergências precisam ser poucas e explicadas: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8"/>
        <w:gridCol w:w="2066"/>
        <w:gridCol w:w="2743"/>
        <w:gridCol w:w="3531"/>
      </w:tblGrid>
      <w:tr>
        <w:trPr>
          <w:tblHeader/>
        </w:trP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Tema</w:t>
            </w:r>
          </w:p>
        </w:tc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SCE</w:t>
            </w:r>
          </w:p>
        </w:tc>
        <w:tc>
          <w:tcPr>
            <w:tcW w:type="dxa" w:w="2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SAR</w:t>
            </w:r>
          </w:p>
        </w:tc>
        <w:tc>
          <w:tcPr>
            <w:tcW w:type="dxa" w:w="3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Interface</w:t>
            </w:r>
          </w:p>
        </w:tc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Desktop CustomTkinter</w:t>
            </w:r>
          </w:p>
        </w:tc>
        <w:tc>
          <w:tcPr>
            <w:tcW w:type="dxa" w:w="2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Web Flask</w:t>
            </w:r>
          </w:p>
        </w:tc>
        <w:tc>
          <w:tcPr>
            <w:tcW w:type="dxa" w:w="3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Credencial de banco, estações sem suporte, TLS para a câmera</w:t>
            </w:r>
          </w:p>
        </w:tc>
      </w:tr>
      <w:t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Acesso ao banco</w:t>
            </w:r>
          </w:p>
        </w:tc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Estações conectam direto na porta 3306</w:t>
            </w:r>
          </w:p>
        </w:tc>
        <w:tc>
          <w:tcPr>
            <w:tcW w:type="dxa" w:w="2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Só o servidor acessa</w:t>
            </w:r>
          </w:p>
        </w:tc>
        <w:tc>
          <w:tcPr>
            <w:tcW w:type="dxa" w:w="3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RNF-614</w:t>
            </w:r>
          </w:p>
        </w:tc>
      </w:tr>
      <w:t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Agendamento</w:t>
            </w:r>
          </w:p>
        </w:tc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Dentro do aplicativo desktop</w:t>
            </w:r>
          </w:p>
        </w:tc>
        <w:tc>
          <w:tcPr>
            <w:tcW w:type="dxa" w:w="2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Worker permanente no servidor</w:t>
            </w:r>
          </w:p>
        </w:tc>
        <w:tc>
          <w:tcPr>
            <w:tcW w:type="dxa" w:w="3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Tarefas que não podem depender de aplicativo aberto</w:t>
            </w:r>
          </w:p>
        </w:tc>
      </w:tr>
      <w:t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Documentos</w:t>
            </w:r>
          </w:p>
        </w:tc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BLOB no banco</w:t>
            </w:r>
          </w:p>
        </w:tc>
        <w:tc>
          <w:tcPr>
            <w:tcW w:type="dxa" w:w="2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Sistema de arquivos cifrado</w:t>
            </w:r>
          </w:p>
        </w:tc>
        <w:tc>
          <w:tcPr>
            <w:tcW w:type="dxa" w:w="3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Acervo de vinte anos, pipeline de segurança, módulo segregado</w:t>
            </w:r>
          </w:p>
        </w:tc>
      </w:tr>
      <w:t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reportlab</w:t>
            </w:r>
          </w:p>
        </w:tc>
        <w:tc>
          <w:tcPr>
            <w:tcW w:type="dxa" w:w="2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Modelos .docx com LibreOffice (documentos); WeasyPrint (relatórios)</w:t>
            </w:r>
          </w:p>
        </w:tc>
        <w:tc>
          <w:tcPr>
            <w:tcW w:type="dxa" w:w="3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Texto e leiaute editáveis pela clínica</w:t>
            </w:r>
          </w:p>
        </w:tc>
      </w:tr>
      <w:t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MySQL</w:t>
            </w:r>
          </w:p>
        </w:tc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8.x</w:t>
            </w:r>
          </w:p>
        </w:tc>
        <w:tc>
          <w:tcPr>
            <w:tcW w:type="dxa" w:w="2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9.7 LTS</w:t>
            </w:r>
          </w:p>
        </w:tc>
        <w:tc>
          <w:tcPr>
            <w:tcW w:type="dxa" w:w="3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Suporte vigente por mais tempo</w:t>
            </w:r>
          </w:p>
        </w:tc>
      </w:tr>
      <w:t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Python</w:t>
            </w:r>
          </w:p>
        </w:tc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3.12</w:t>
            </w:r>
          </w:p>
        </w:tc>
        <w:tc>
          <w:tcPr>
            <w:tcW w:type="dxa" w:w="2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3.14</w:t>
            </w:r>
          </w:p>
        </w:tc>
        <w:tc>
          <w:tcPr>
            <w:tcW w:type="dxa" w:w="3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Suporte vigente por mais tempo; cada sistema tem o próprio interpretador, no seu contêiner ou no seu instalador</w:t>
            </w:r>
          </w:p>
        </w:tc>
      </w:tr>
      <w:t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Planilhas</w:t>
            </w:r>
          </w:p>
        </w:tc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OpenPyXL</w:t>
            </w:r>
          </w:p>
        </w:tc>
        <w:tc>
          <w:tcPr>
            <w:tcW w:type="dxa" w:w="2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XlsxWriter</w:t>
            </w:r>
          </w:p>
        </w:tc>
        <w:tc>
          <w:tcPr>
            <w:tcW w:type="dxa" w:w="35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Só escrita, com manutenção ativa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Recomendação ao SCE.</w:t>
      </w:r>
      <w:r>
        <w:t xml:space="preserve"> A série 8.0 do MySQL está sem suporte desde 30/04/2026. A migração do banco do
SCE para o servidor dedicado é a oportunidade natural de levá-lo à 9.7 LTS. Como a mudança de servidor
já exige copiar os dados, o caminho mais simples é exportar o banco atual e importá-lo na instância
nova, testando a aplicação do SCE contra a 9.7 antes da troca. O mesmo vale para o Python: a 3.12 do
SCE sai de suporte em outubro de 2028, e a atualização deve entrar no planejamento do SCE antes disso.</w:t>
      </w:r>
    </w:p>
    <w:p>
      <w:pPr>
        <w:pStyle w:val="Heading2"/>
      </w:pPr>
      <w:r>
        <w:t xml:space="preserve">3.2 Critério de versões</w:t>
      </w:r>
    </w:p>
    <w:p>
      <w:pPr>
        <w:spacing w:after="140"/>
      </w:pPr>
      <w:r>
        <w:t xml:space="preserve">Cada tecnologia é adotada na versão estável mais recente — nunca alfa, beta ou candidata — e, onde o
projeto mantém linhas de suporte longo, na linha LTS mais recente. As versões exatas são fixadas no
arquivo de dependências e nas imagens de contêiner no momento da aprovação. Mudanças posteriores geram
nova versão deste documento.</w:t>
      </w:r>
    </w:p>
    <w:p>
      <w:pPr>
        <w:pStyle w:val="Heading1"/>
        <w:pageBreakBefore/>
      </w:pPr>
      <w:r>
        <w:t xml:space="preserve">4. Módulos do sistema</w:t>
      </w:r>
    </w:p>
    <w:p>
      <w:pPr>
        <w:pStyle w:val="Heading2"/>
      </w:pPr>
      <w:r>
        <w:t xml:space="preserve">4.1 Visão geral dos módulos</w:t>
      </w:r>
    </w:p>
    <w:p>
      <w:pPr>
        <w:spacing w:after="140"/>
      </w:pPr>
      <w:r>
        <w:t xml:space="preserve">Os seis primeiros módulos correspondem aos contextos do modelo de domínio; os demais são de
infraestrutura, de operação e de atendimento ao titular. Todos dependem do núcleo compartilhado
(</w:t>
      </w:r>
      <w:r>
        <w:rPr>
          <w:rFonts w:ascii="Consolas" w:cs="Consolas" w:eastAsia="Consolas" w:hAnsi="Consolas"/>
          <w:sz w:val="20"/>
          <w:szCs w:val="20"/>
        </w:rPr>
        <w:t xml:space="preserve">sar/nucleo/</w:t>
      </w:r>
      <w:r>
        <w:t xml:space="preserve">), que define o contexto da requisição, os erros, os eventos de domínio, a unidade de
trabalho, os parâmetros e as portas entre módulos (DDS §3).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58"/>
        <w:gridCol w:w="3262"/>
        <w:gridCol w:w="2600"/>
        <w:gridCol w:w="181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3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Componentes</w:t>
            </w:r>
          </w:p>
        </w:tc>
        <w:tc>
          <w:tcPr>
            <w:tcW w:type="dxa" w:w="1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MOD-01</w:t>
            </w:r>
          </w:p>
        </w:tc>
        <w:tc>
          <w:tcPr>
            <w:tcW w:type="dxa" w:w="1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Acesso e auditoria</w:t>
            </w:r>
          </w:p>
        </w:tc>
        <w:tc>
          <w:tcPr>
            <w:tcW w:type="dxa" w:w="3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Login, sessão, perfis, usuários, autorização por operação e por recurso, trilha de auditoria encadeada, fila de autorização da administração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AuthService, SessionManager, PermissionGuard, AuditService, AutorizacaoService, UsuarioService</w:t>
            </w:r>
          </w:p>
        </w:tc>
        <w:tc>
          <w:tcPr>
            <w:tcW w:type="dxa" w:w="1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MOD-08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MOD-02</w:t>
            </w:r>
          </w:p>
        </w:tc>
        <w:tc>
          <w:tcPr>
            <w:tcW w:type="dxa" w:w="1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</w:t>
            </w:r>
          </w:p>
        </w:tc>
        <w:tc>
          <w:tcPr>
            <w:tcW w:type="dxa" w:w="3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Paciente, contatos e telefones, períodos de tratamento e cobertura, eventos, rascunho de cadastro, alerta de tríade, anulação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PacienteService, EventoService, RascunhoService, CepClient</w:t>
            </w:r>
          </w:p>
        </w:tc>
        <w:tc>
          <w:tcPr>
            <w:tcW w:type="dxa" w:w="1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MOD-01, MOD-06, MOD-08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MOD-03</w:t>
            </w:r>
          </w:p>
        </w:tc>
        <w:tc>
          <w:tcPr>
            <w:tcW w:type="dxa" w:w="1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Operação</w:t>
            </w:r>
          </w:p>
        </w:tc>
        <w:tc>
          <w:tcPr>
            <w:tcW w:type="dxa" w:w="3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Escalas fixas, alocação com vigência, trocas e extras planejadas, sessões de turno derivadas, presença, compensação, balanço, fechamento do mês derivado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EscalaService, SessaoTurnoService, FrequenciaService, CompensacaoEngine</w:t>
            </w:r>
          </w:p>
        </w:tc>
        <w:tc>
          <w:tcPr>
            <w:tcW w:type="dxa" w:w="1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MOD-01, MOD-02, MOD-08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MOD-04</w:t>
            </w:r>
          </w:p>
        </w:tc>
        <w:tc>
          <w:tcPr>
            <w:tcW w:type="dxa" w:w="1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Documentos</w:t>
            </w:r>
          </w:p>
        </w:tc>
        <w:tc>
          <w:tcPr>
            <w:tcW w:type="dxa" w:w="3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Pipeline de ingestão, repositório cifrado, versões, retenção derivada, prova de integridade, revinculação, descarte ao fim do prazo, cópia ao titular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IngestaoService, DocumentoService, ExtratorCampos, CofreDocumentos, IntegridadeService</w:t>
            </w:r>
          </w:p>
        </w:tc>
        <w:tc>
          <w:tcPr>
            <w:tcW w:type="dxa" w:w="1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MOD-01, MOD-06, MOD-08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MOD-05</w:t>
            </w:r>
          </w:p>
        </w:tc>
        <w:tc>
          <w:tcPr>
            <w:tcW w:type="dxa" w:w="1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Emissão e relatórios</w:t>
            </w:r>
          </w:p>
        </w:tc>
        <w:tc>
          <w:tcPr>
            <w:tcW w:type="dxa" w:w="3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Sete documentos e crachá por modelos .docx, relatórios em tela, exportação PDF e XLSX auditada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EmissaoService, ModeloService, RelatorioService, ConversorDocumentos, PdfBuilder, XlsxBuilder</w:t>
            </w:r>
          </w:p>
        </w:tc>
        <w:tc>
          <w:tcPr>
            <w:tcW w:type="dxa" w:w="1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MOD-01, MOD-02, MOD-03, MOD-04, MOD-06, MOD-08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MOD-06</w:t>
            </w:r>
          </w:p>
        </w:tc>
        <w:tc>
          <w:tcPr>
            <w:tcW w:type="dxa" w:w="1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3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Municípios, convênios, dados institucionais, logotipo, faixas etárias, valores dos parâmetros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ConfigService</w:t>
            </w:r>
          </w:p>
        </w:tc>
        <w:tc>
          <w:tcPr>
            <w:tcW w:type="dxa" w:w="1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MOD-01, MOD-08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MOD-07</w:t>
            </w:r>
          </w:p>
        </w:tc>
        <w:tc>
          <w:tcPr>
            <w:tcW w:type="dxa" w:w="1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Pendências</w:t>
            </w:r>
          </w:p>
        </w:tc>
        <w:tc>
          <w:tcPr>
            <w:tcW w:type="dxa" w:w="3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Agrega as pendências registradas pelos módulos e as filtra por perfil (RF-1010). Não grava nada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PendenciaService</w:t>
            </w:r>
          </w:p>
        </w:tc>
        <w:tc>
          <w:tcPr>
            <w:tcW w:type="dxa" w:w="1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MOD-01, MOD-08; fontes pela raiz de composição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MOD-08</w:t>
            </w:r>
          </w:p>
        </w:tc>
        <w:tc>
          <w:tcPr>
            <w:tcW w:type="dxa" w:w="1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Dados</w:t>
            </w:r>
          </w:p>
        </w:tc>
        <w:tc>
          <w:tcPr>
            <w:tcW w:type="dxa" w:w="3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Único ponto de acesso ao MySQL: unidade de trabalho, repositórios, migrações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UnidadeDeTrabalho, repositórios, migrações Alembic</w:t>
            </w:r>
          </w:p>
        </w:tc>
        <w:tc>
          <w:tcPr>
            <w:tcW w:type="dxa" w:w="1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Núcleo e MySQL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MOD-09</w:t>
            </w:r>
          </w:p>
        </w:tc>
        <w:tc>
          <w:tcPr>
            <w:tcW w:type="dxa" w:w="1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Agendamento</w:t>
            </w:r>
          </w:p>
        </w:tc>
        <w:tc>
          <w:tcPr>
            <w:tcW w:type="dxa" w:w="3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Jobs do worker: verificação da cadeia, varreduras, conferência de hash, expurgos, descarte de rascunhos, ocupação de disco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Scheduler, jobs</w:t>
            </w:r>
          </w:p>
        </w:tc>
        <w:tc>
          <w:tcPr>
            <w:tcW w:type="dxa" w:w="1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MOD-01, MOD-02, MOD-04, MOD-08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MOD-10</w:t>
            </w:r>
          </w:p>
        </w:tc>
        <w:tc>
          <w:tcPr>
            <w:tcW w:type="dxa" w:w="1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Carga inicial</w:t>
            </w:r>
          </w:p>
        </w:tc>
        <w:tc>
          <w:tcPr>
            <w:tcW w:type="dxa" w:w="3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Migração única das planilhas, com simulação, relatório de exceções e conferência amostral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ExtratorP1, CargaService</w:t>
            </w:r>
          </w:p>
        </w:tc>
        <w:tc>
          <w:tcPr>
            <w:tcW w:type="dxa" w:w="1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MOD-01, MOD-02, MOD-06, MOD-08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MOD-11</w:t>
            </w:r>
          </w:p>
        </w:tc>
        <w:tc>
          <w:tcPr>
            <w:tcW w:type="dxa" w:w="1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Atendimento ao titular</w:t>
            </w:r>
          </w:p>
        </w:tc>
        <w:tc>
          <w:tcPr>
            <w:tcW w:type="dxa" w:w="3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Pedidos do titular (LGPD, art. 18), com prazo derivado, cópia e declaração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TitularService</w:t>
            </w:r>
          </w:p>
        </w:tc>
        <w:tc>
          <w:tcPr>
            <w:tcW w:type="dxa" w:w="1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MOD-01, MOD-02, MOD-04, MOD-05, MOD-08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O grafo acima é verificado a cada alteração pelo </w:t>
      </w:r>
      <w:r>
        <w:rPr>
          <w:rFonts w:ascii="Consolas" w:cs="Consolas" w:eastAsia="Consolas" w:hAnsi="Consolas"/>
          <w:sz w:val="20"/>
          <w:szCs w:val="20"/>
        </w:rPr>
        <w:t xml:space="preserve">import-linter</w:t>
      </w:r>
      <w:r>
        <w:t xml:space="preserve">, com 25 contratos (DDS §3.12).</w:t>
      </w:r>
    </w:p>
    <w:p>
      <w:pPr>
        <w:pStyle w:val="Heading2"/>
      </w:pPr>
      <w:r>
        <w:t xml:space="preserve">4.2 Regras de dependência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MOD-08 é o único módulo que acessa o banco. Nenhum outro escreve 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MOD-04 é o único módulo que acessa o repositório de documentos e as chaves de cifragem de
documento. Os demais recebem apenas identificadores.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MOD-04 conhece o paciente só pelo identificador (RNF-701). Não importa entidades de MOD-02.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MOD-01 avalia toda autorização. Os demais módulos consultam o resultado e não implementam regra de
acesso própria — mesma regra do SCE.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escrita registra auditoria por MOD-01, </w:t>
      </w:r>
      <w:r>
        <w:rPr>
          <w:b/>
          <w:bCs/>
        </w:rPr>
        <w:t xml:space="preserve">na mesma transação</w:t>
      </w:r>
      <w:r>
        <w:t xml:space="preserve">. Se a auditoria falhar, a
operação falha.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Fora de cada módulo, só o seu </w:t>
      </w:r>
      <w:r>
        <w:rPr>
          <w:rFonts w:ascii="Consolas" w:cs="Consolas" w:eastAsia="Consolas" w:hAnsi="Consolas"/>
          <w:sz w:val="20"/>
          <w:szCs w:val="20"/>
        </w:rPr>
        <w:t xml:space="preserve">contrato</w:t>
      </w:r>
      <w:r>
        <w:t xml:space="preserve"> pode ser importado. Quando um módulo-base precisa de algo
de um módulo que depende dele, a dependência é invertida por uma porta definida no núcleo e ligada
na raiz de composição (</w:t>
      </w:r>
      <w:r>
        <w:rPr>
          <w:rFonts w:ascii="Consolas" w:cs="Consolas" w:eastAsia="Consolas" w:hAnsi="Consolas"/>
          <w:sz w:val="20"/>
          <w:szCs w:val="20"/>
        </w:rPr>
        <w:t xml:space="preserve">sar/composicao.py</w:t>
      </w:r>
      <w:r>
        <w:t xml:space="preserve">) — por exemplo, a execução de uma operação autorizada e as
fontes de pendência (DD-02).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MOD-07 só lê, por meio das fontes de pendência registradas pelos módulos (DD-54).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Parâmetros são declarados no núcleo e lidos pela porta </w:t>
      </w:r>
      <w:r>
        <w:rPr>
          <w:rFonts w:ascii="Consolas" w:cs="Consolas" w:eastAsia="Consolas" w:hAnsi="Consolas"/>
          <w:sz w:val="20"/>
          <w:szCs w:val="20"/>
        </w:rPr>
        <w:t xml:space="preserve">LeitorParametros</w:t>
      </w:r>
      <w:r>
        <w:t xml:space="preserve">; nenhum módulo importa o
MOD-06 para ler parâmetro (DD-73).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Jobs de MOD-09 chamam serviços, nunca repositórios.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ExtratorCampos pode ser desligado por configuração; nenhum outro componente depende dele
(RNF-702).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único código que acessa a internet é o CepClient. Só o MOD-08 importa o driver do banco.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rotas web são apresentação: chamam serviços e devolvem HTML. Nenhuma regra de negócio vive em
rota ou em modelo Jinja.</w:t>
      </w:r>
    </w:p>
    <w:p>
      <w:pPr>
        <w:pStyle w:val="Heading2"/>
      </w:pPr>
      <w:r>
        <w:t xml:space="preserve">4.3 Componentes com decisão relevante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5"/>
        <w:gridCol w:w="7433"/>
      </w:tblGrid>
      <w:tr>
        <w:trPr>
          <w:tblHeader/>
        </w:trPr>
        <w:tc>
          <w:tcPr>
            <w:tcW w:type="dxa" w:w="2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7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2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PermissionGuard</w:t>
            </w:r>
          </w:p>
        </w:tc>
        <w:tc>
          <w:tcPr>
            <w:tcW w:type="dxa" w:w="7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Verifica, em toda requisição, se aquele usuário pode executar aquela operação sobre aquele recurso. Matriz de permissões única, em código (AD-20)</w:t>
            </w:r>
          </w:p>
        </w:tc>
      </w:tr>
      <w:tr>
        <w:tc>
          <w:tcPr>
            <w:tcW w:type="dxa" w:w="2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AuditService</w:t>
            </w:r>
          </w:p>
        </w:tc>
        <w:tc>
          <w:tcPr>
            <w:tcW w:type="dxa" w:w="7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Grava o registro com hash do anterior e hash próprio (AD-14), sobre serialização canônica versionada. Serializa a escrita pela trava da cabeça da cadeia no banco, na fase de commit (DD-03, DD-71)</w:t>
            </w:r>
          </w:p>
        </w:tc>
      </w:tr>
      <w:tr>
        <w:tc>
          <w:tcPr>
            <w:tcW w:type="dxa" w:w="2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AutorizacaoService</w:t>
            </w:r>
          </w:p>
        </w:tc>
        <w:tc>
          <w:tcPr>
            <w:tcW w:type="dxa" w:w="7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Fila de solicitações da DEC-42. A operação pedida só executa quando a administração aprova, na própria sessão, pela porta do módulo dono (DD-02). Pedido da própria administração é confirmado automaticamente (DEC-60)</w:t>
            </w:r>
          </w:p>
        </w:tc>
      </w:tr>
      <w:tr>
        <w:tc>
          <w:tcPr>
            <w:tcW w:type="dxa" w:w="2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SessaoTurnoService</w:t>
            </w:r>
          </w:p>
        </w:tc>
        <w:tc>
          <w:tcPr>
            <w:tcW w:type="dxa" w:w="7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Deriva as sessões do calendário, das escalas fixas e do relógio: em preparação, aberta, confirmação liberada na última hora e vencida. A linha só é gravada na primeira marcação ou na confirmação (DD-23, DD-24, DD-32)</w:t>
            </w:r>
          </w:p>
        </w:tc>
      </w:tr>
      <w:tr>
        <w:tc>
          <w:tcPr>
            <w:tcW w:type="dxa" w:w="2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CompensacaoEngine</w:t>
            </w:r>
          </w:p>
        </w:tc>
        <w:tc>
          <w:tcPr>
            <w:tcW w:type="dxa" w:w="7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Deriva a classificação das presenças e faz o pareamento cronológico entre falta e extra dentro do mês (RF-918). Função pura sobre os dados do mês, testável isoladamente (RNF-705)</w:t>
            </w:r>
          </w:p>
        </w:tc>
      </w:tr>
      <w:tr>
        <w:tc>
          <w:tcPr>
            <w:tcW w:type="dxa" w:w="2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CofreDocumentos</w:t>
            </w:r>
          </w:p>
        </w:tc>
        <w:tc>
          <w:tcPr>
            <w:tcW w:type="dxa" w:w="7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Cifra e decifra documentos com chave própria por documento, protegida pela chave mestra (§6.3). Nenhum outro componente vê chave ou arquivo em claro no disco</w:t>
            </w:r>
          </w:p>
        </w:tc>
      </w:tr>
      <w:tr>
        <w:tc>
          <w:tcPr>
            <w:tcW w:type="dxa" w:w="2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IngestaoService</w:t>
            </w:r>
          </w:p>
        </w:tc>
        <w:tc>
          <w:tcPr>
            <w:tcW w:type="dxa" w:w="7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Conduz o pipeline da §5.3 no worker, com limites de tamanho, dimensão, páginas e tempo (SEG-30)</w:t>
            </w:r>
          </w:p>
        </w:tc>
      </w:tr>
      <w:tr>
        <w:tc>
          <w:tcPr>
            <w:tcW w:type="dxa" w:w="2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ExtratorCampos</w:t>
            </w:r>
          </w:p>
        </w:tc>
        <w:tc>
          <w:tcPr>
            <w:tcW w:type="dxa" w:w="7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Lê os campos candidatos da imagem com Tesseract. O texto integral nunca é persistido (SEG-31); só os campos confirmados vão ao cadastro, validados como digitação (SEG-26)</w:t>
            </w:r>
          </w:p>
        </w:tc>
      </w:tr>
      <w:tr>
        <w:tc>
          <w:tcPr>
            <w:tcW w:type="dxa" w:w="2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ConversorDocumentos</w:t>
            </w:r>
          </w:p>
        </w:tc>
        <w:tc>
          <w:tcPr>
            <w:tcW w:type="dxa" w:w="7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Preenche o modelo .docx ativo e o converte em PDF no contêiner do LibreOffice, sem rede (DD-42)</w:t>
            </w:r>
          </w:p>
        </w:tc>
      </w:tr>
      <w:tr>
        <w:tc>
          <w:tcPr>
            <w:tcW w:type="dxa" w:w="2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PdfBuilder</w:t>
            </w:r>
          </w:p>
        </w:tc>
        <w:tc>
          <w:tcPr>
            <w:tcW w:type="dxa" w:w="7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WeasyPrint, para relatórios, com busca de recursos restrita a dados embutidos (DD-46)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Estrutura de pacotes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sar/modulo_01_acesso/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sar/modulo_02_cadastro/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sar/modulo_03_operacao/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sar/modulo_04_documentos/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sar/modulo_05_emissao/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sar/modulo_06_configuracao/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sar/modulo_07_pendencias/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sar/modulo_08_dados/</w:t>
      </w:r>
      <w:r>
        <w:t xml:space="preserve"> — modelos, repositórios e </w:t>
      </w:r>
      <w:r>
        <w:rPr>
          <w:rFonts w:ascii="Consolas" w:cs="Consolas" w:eastAsia="Consolas" w:hAnsi="Consolas"/>
          <w:sz w:val="20"/>
          <w:szCs w:val="20"/>
        </w:rPr>
        <w:t xml:space="preserve">migracoes/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sar/modulo_09_agendamento/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sar/modulo_10_carga/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sar/modulo_11_titular/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sar/nucleo/</w:t>
      </w:r>
      <w:r>
        <w:t xml:space="preserve"> — contexto, erros, eventos, unidade de trabalho, parâmetros e portas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sar/composicao.py</w:t>
      </w:r>
      <w:r>
        <w:t xml:space="preserve"> — raiz de composição: liga portas, eventos, fontes de pendência e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sar/web/</w:t>
      </w:r>
      <w:r>
        <w:t xml:space="preserve"> — rotas, modelos Jinja, fragmentos htmx, estáticos compilados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sar/wsgi.py</w:t>
      </w:r>
      <w:r>
        <w:t xml:space="preserve"> — ponto de entrada do processo 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sar/worker.py</w:t>
      </w:r>
      <w:r>
        <w:t xml:space="preserve"> — ponto de entrada do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agente_captura/</w:t>
      </w:r>
      <w:r>
        <w:t xml:space="preserve"> — projeto separado, empacotado para Windows</w:t>
      </w:r>
    </w:p>
    <w:p>
      <w:pPr>
        <w:spacing w:after="140"/>
      </w:pPr>
      <w:r>
        <w:t xml:space="preserve">Mesma convenção de nomes do SCE, para que a navegação entre os dois códigos seja familiar.</w:t>
      </w:r>
    </w:p>
    <w:p>
      <w:pPr>
        <w:pStyle w:val="Heading2"/>
      </w:pPr>
      <w:r>
        <w:t xml:space="preserve">4.5 Agente de captura</w:t>
      </w:r>
    </w:p>
    <w:p>
      <w:pPr>
        <w:spacing w:after="140"/>
      </w:pPr>
      <w:r>
        <w:t xml:space="preserve">Programa pequeno, instalado apenas na estação da recepção e iniciado no logon, porque o WIA precisa de
sessão de usuário. Recebe do navegador o id e o token de uma ingestão já aberta no servidor; só aceita
chamada da origem configurada. Aciona o scanner configurado pelo nome, em tons de cinza a 300 dpi,
converte cada página para PNG em memória e a envia por HTTPS ao servidor, enquanto digitaliza a
seguinte. Não grava arquivo, não guarda credencial e não exibe dado de paciente. Protocolo, erros e
medidas no DDS, §8.5.</w:t>
      </w:r>
    </w:p>
    <w:p>
      <w:pPr>
        <w:pStyle w:val="Heading1"/>
        <w:pageBreakBefore/>
      </w:pPr>
      <w:r>
        <w:t xml:space="preserve">5. Diagramas de sequência</w:t>
      </w:r>
    </w:p>
    <w:p>
      <w:pPr>
        <w:pStyle w:val="Heading2"/>
      </w:pPr>
      <w:r>
        <w:t xml:space="preserve">5.1 Ciclo e confirmação da sessão de turno</w:t>
      </w:r>
    </w:p>
    <w:p>
      <w:pPr>
        <w:spacing w:after="140"/>
      </w:pPr>
      <w:r>
        <w:t xml:space="preserve">A sessão de cada data e escala existe por definição do calendário; não há job de abertura (DD-23). Uma
hora antes do início, ela entra em preparação e aparece na tela inicial, com os pacientes esperados e as
pendências de cada um (RF-922). Do início em diante, a recepcionista marca as faltas; antes da
confirmação, só as exceções são gravadas (DD-24). Na última hora do turno, a confirmação é liberada
(DD-32). Ao confirmar, o serviço trava a sessão, resolve a lista esperada, grava todas as presenças, o
autor e a auditoria na mesma transação, e a sessão seguinte assume a tela (DD-76). Terminado o turno sem
confirmação, a sessão vira pendência de urgência. O mês está fechado quando terminou e todas as suas
sessões estão confirmadas ou registradas como não realizadas (DD-26).</w:t>
      </w:r>
    </w:p>
    <w:p>
      <w:pPr>
        <w:pStyle w:val="Heading2"/>
      </w:pPr>
      <w:r>
        <w:t xml:space="preserve">5.2 Lançamento de ausência</w:t>
      </w:r>
    </w:p>
    <w:p>
      <w:pPr>
        <w:spacing w:after="140"/>
      </w:pPr>
      <w:r>
        <w:t xml:space="preserve">A recepcionista marca a ausência na linha do paciente. O htmx envia a requisição com o token de
proteção contra requisição forjada no cabeçalho; o servidor verifica permissão, grava a presença e a
auditoria, recalcula a classificação do mês daquele paciente e devolve só a linha atualizada. Nada é
guardado no navegador.</w:t>
      </w:r>
    </w:p>
    <w:p>
      <w:pPr>
        <w:pStyle w:val="Heading2"/>
      </w:pPr>
      <w:r>
        <w:t xml:space="preserve">5.3 Ingestão de documento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recepcionista escolhe o paciente e o tipo de documento. O servidor abre uma ingestão e emite um
token de captura.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páginas chegam pelo agente, já em PNG e uma a uma, ou a foto pela webcam, e vão para a
quarentena cifrada, com hash registrado (DD-34, DD-77).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worker valida a assinatura binária e os limites, varre com ClamAV e, se aprovado, rasteriza e
gera o PDF/A sem camada de texto. Cada etapa confere o hash da anterior (SEG-27).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a extração estiver ligada, os campos candidatos são lidos e guardados cifrados na própria
ingestão até a conferência, e apagados ao concluir, rejeitar ou expirar. O texto integral nunca é
gravado (SEG-31, P-18 do DDS).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conferência exibe o documento reconstruído e, em destaque, a identificação do paciente de destino
(RF-712). A recepcionista confirma.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CofreDocumentos cifra e grava o arquivo; o banco recebe os metadados e o hash; a trilha recebe o
registro com o hash do documento; a quarentena é apagada.</w:t>
      </w:r>
    </w:p>
    <w:p>
      <w:pPr>
        <w:spacing w:after="140"/>
      </w:pPr>
      <w:r>
        <w:t xml:space="preserve">Rejeição em qualquer etapa encerra a ingestão com motivo registrado, sem armazenamento definitivo.</w:t>
      </w:r>
    </w:p>
    <w:p>
      <w:pPr>
        <w:pStyle w:val="Heading2"/>
      </w:pPr>
      <w:r>
        <w:t xml:space="preserve">5.4 Consulta de documento</w:t>
      </w:r>
    </w:p>
    <w:p>
      <w:pPr>
        <w:spacing w:after="140"/>
      </w:pPr>
      <w:r>
        <w:t xml:space="preserve">O PermissionGuard verifica perfil, família do documento e paciente. A leitura é auditada antes da
entrega. O CofreDocumentos decifra em memória e o documento é servido como imagem dentro da aplicação,
com cabeçalhos que impedem cache (SEG-19). Download só por ação explícita, também auditada.</w:t>
      </w:r>
    </w:p>
    <w:p>
      <w:pPr>
        <w:pStyle w:val="Heading2"/>
      </w:pPr>
      <w:r>
        <w:t xml:space="preserve">5.5 Autorização da administração</w:t>
      </w:r>
    </w:p>
    <w:p>
      <w:pPr>
        <w:spacing w:after="140"/>
      </w:pPr>
      <w:r>
        <w:t xml:space="preserve">A recepcionista solicita, por exemplo, a correção de uma presença já confirmada, com motivo. A
solicitação entra na fila e aparece nas pendências da administração. A administração abre a
solicitação na própria sessão e aprova ou recusa. Na aprovação, a operação executa, e a auditoria grava
solicitante e autorizador em campos distintos (RF-1008, QAS-10).</w:t>
      </w:r>
    </w:p>
    <w:p>
      <w:pPr>
        <w:pStyle w:val="Heading2"/>
      </w:pPr>
      <w:r>
        <w:t xml:space="preserve">5.6 Verificação da cadeia de auditoria</w:t>
      </w:r>
    </w:p>
    <w:p>
      <w:pPr>
        <w:spacing w:after="140"/>
      </w:pPr>
      <w:r>
        <w:t xml:space="preserve">Um job recalcula a cadeia a partir da última âncora. Se tudo confere, registra a nova âncora e a
exporta para o destino fora do servidor. Se encontrar divergência, cria o aviso: o TI vê o diagnóstico
com o primeiro registro divergente; a administração vê o aviso simples, sem detalhe técnico e sem dado
de paciente, e só ela o encerra, registrando a explicação recebida (RF-1011).</w:t>
      </w:r>
    </w:p>
    <w:p>
      <w:pPr>
        <w:pStyle w:val="Heading2"/>
      </w:pPr>
      <w:r>
        <w:t xml:space="preserve">5.7 Cadastro com consulta de CEP</w:t>
      </w:r>
    </w:p>
    <w:p>
      <w:pPr>
        <w:spacing w:after="140"/>
      </w:pPr>
      <w:r>
        <w:t xml:space="preserve">Ao informar o CEP, o htmx pede ao servidor o preenchimento do endereço. O CepClient consulta o
provedor principal com tempo limite curto e, em falha, o alternativo. Sem resposta, o cadastro segue
com o CEP marcado como não verificado, que vira pendência. Ao gravar, o serviço verifica a tríade e,
havendo coincidência, exibe o alerta sem bloquear.</w:t>
      </w:r>
    </w:p>
    <w:p>
      <w:pPr>
        <w:pStyle w:val="Heading2"/>
      </w:pPr>
      <w:r>
        <w:t xml:space="preserve">5.8 Emissão de documento parametrizado</w:t>
      </w:r>
    </w:p>
    <w:p>
      <w:pPr>
        <w:spacing w:after="140"/>
      </w:pPr>
      <w:r>
        <w:t xml:space="preserve">O EmissaoService monta os dados a partir do cadastro selecionado — nunca de arquivo anterior
(RNF-903) —, preenche o modelo .docx ativo daquele documento, só com as variáveis da lista fechada, e o
ConversorDocumentos devolve o PDF, tudo em memória. A emissão é registrada com a versão do modelo, sem
texto livre (DD-43). Quando o documento exige assinatura e guarda, como a declaração de troca de turno,
a pendência de termo é criada para a recepção (RF-809). Um modelo novo só vale depois de validado no
envio, conferido em prévia com dados fictícios e ativado pela administração (DD-42).</w:t>
      </w:r>
    </w:p>
    <w:p>
      <w:pPr>
        <w:pStyle w:val="Heading1"/>
        <w:pageBreakBefore/>
      </w:pPr>
      <w:r>
        <w:t xml:space="preserve">6. Modelo de dados</w:t>
      </w:r>
    </w:p>
    <w:p>
      <w:pPr>
        <w:pStyle w:val="Heading2"/>
      </w:pPr>
      <w:r>
        <w:t xml:space="preserve">6.1 Banco de dados</w:t>
      </w:r>
    </w:p>
    <w:p>
      <w:pPr>
        <w:spacing w:after="140"/>
      </w:pPr>
      <w:r>
        <w:t xml:space="preserve">MySQL na linha LTS, instância exclusiva do SAR, InnoDB em todas as tabelas, utf8mb4. Um usuário de banco
por processo — web, worker, expurgo e migração —, com privilégio por tabela e, onde importa, por coluna
(DD-58). Instantes em UTC, em </w:t>
      </w:r>
      <w:r>
        <w:rPr>
          <w:rFonts w:ascii="Consolas" w:cs="Consolas" w:eastAsia="Consolas" w:hAnsi="Consolas"/>
          <w:sz w:val="20"/>
          <w:szCs w:val="20"/>
        </w:rPr>
        <w:t xml:space="preserve">DATETIME(6)</w:t>
      </w:r>
      <w:r>
        <w:t xml:space="preserve">; datas de calendário, como a data da sessão, em data local da
clínica.</w:t>
      </w:r>
    </w:p>
    <w:p>
      <w:pPr>
        <w:pStyle w:val="Heading2"/>
      </w:pPr>
      <w:r>
        <w:t xml:space="preserve">6.2 Esquema</w:t>
      </w:r>
    </w:p>
    <w:p>
      <w:pPr>
        <w:spacing w:after="140"/>
      </w:pPr>
      <w:r>
        <w:t xml:space="preserve">O modelo de dados desta seção na versão 1.0 foi substituído pelo esquema implementado e testado na
Macroentrega III, que é a fonte da verdade: migrações </w:t>
      </w:r>
      <w:r>
        <w:rPr>
          <w:rFonts w:ascii="Consolas" w:cs="Consolas" w:eastAsia="Consolas" w:hAnsi="Consolas"/>
          <w:sz w:val="20"/>
          <w:szCs w:val="20"/>
        </w:rPr>
        <w:t xml:space="preserve">0001_esquema_inicial</w:t>
      </w:r>
      <w:r>
        <w:t xml:space="preserve"> (40 tabelas) e
</w:t>
      </w:r>
      <w:r>
        <w:rPr>
          <w:rFonts w:ascii="Consolas" w:cs="Consolas" w:eastAsia="Consolas" w:hAnsi="Consolas"/>
          <w:sz w:val="20"/>
          <w:szCs w:val="20"/>
        </w:rPr>
        <w:t xml:space="preserve">0002_dados_fixos</w:t>
      </w:r>
      <w:r>
        <w:t xml:space="preserve">, usuários de banco em </w:t>
      </w:r>
      <w:r>
        <w:rPr>
          <w:rFonts w:ascii="Consolas" w:cs="Consolas" w:eastAsia="Consolas" w:hAnsi="Consolas"/>
          <w:sz w:val="20"/>
          <w:szCs w:val="20"/>
        </w:rPr>
        <w:t xml:space="preserve">usuarios_banco.sql</w:t>
      </w:r>
      <w:r>
        <w:t xml:space="preserve"> e verificação em </w:t>
      </w:r>
      <w:r>
        <w:rPr>
          <w:rFonts w:ascii="Consolas" w:cs="Consolas" w:eastAsia="Consolas" w:hAnsi="Consolas"/>
          <w:sz w:val="20"/>
          <w:szCs w:val="20"/>
        </w:rPr>
        <w:t xml:space="preserve">verificar_esquema.sh</w:t>
      </w:r>
      <w:r>
        <w:t xml:space="preserve">
(DDS §12.4). Tabelas por módulo dono: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2"/>
        <w:gridCol w:w="7576"/>
      </w:tblGrid>
      <w:tr>
        <w:trPr>
          <w:tblHeader/>
        </w:trPr>
        <w:tc>
          <w:tcPr>
            <w:tcW w:type="dxa" w:w="2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75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Tabelas</w:t>
            </w:r>
          </w:p>
        </w:tc>
      </w:tr>
      <w:tr>
        <w:tc>
          <w:tcPr>
            <w:tcW w:type="dxa" w:w="2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MOD-01</w:t>
            </w:r>
          </w:p>
        </w:tc>
        <w:tc>
          <w:tcPr>
            <w:tcW w:type="dxa" w:w="75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usuario, sessao_usuario, auditoria, auditoria_cabeca, auditoria_ancora, auditoria_corte, aviso_integridade, solicitacao_autorizacao</w:t>
            </w:r>
          </w:p>
        </w:tc>
      </w:tr>
      <w:tr>
        <w:tc>
          <w:tcPr>
            <w:tcW w:type="dxa" w:w="2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MOD-02</w:t>
            </w:r>
          </w:p>
        </w:tc>
        <w:tc>
          <w:tcPr>
            <w:tcW w:type="dxa" w:w="75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paciente, contato, telefone, periodo_tratamento (com o evento embutido), cobertura, duplicidade_descartada, rascunho_cadastro</w:t>
            </w:r>
          </w:p>
        </w:tc>
      </w:tr>
      <w:tr>
        <w:tc>
          <w:tcPr>
            <w:tcW w:type="dxa" w:w="2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MOD-03</w:t>
            </w:r>
          </w:p>
        </w:tc>
        <w:tc>
          <w:tcPr>
            <w:tcW w:type="dxa" w:w="75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escala, alocacao, troca_pontual, extra_planejada, termo_extra, sessao_turno, presenca, ligacao_manual, ciencia_enfermagem, mes_alterado</w:t>
            </w:r>
          </w:p>
        </w:tc>
      </w:tr>
      <w:tr>
        <w:tc>
          <w:tcPr>
            <w:tcW w:type="dxa" w:w="2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MOD-04</w:t>
            </w:r>
          </w:p>
        </w:tc>
        <w:tc>
          <w:tcPr>
            <w:tcW w:type="dxa" w:w="75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tipo_documento, documento, ingestao</w:t>
            </w:r>
          </w:p>
        </w:tc>
      </w:tr>
      <w:tr>
        <w:tc>
          <w:tcPr>
            <w:tcW w:type="dxa" w:w="2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MOD-05</w:t>
            </w:r>
          </w:p>
        </w:tc>
        <w:tc>
          <w:tcPr>
            <w:tcW w:type="dxa" w:w="75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modelo_documento, emissao_documento</w:t>
            </w:r>
          </w:p>
        </w:tc>
      </w:tr>
      <w:tr>
        <w:tc>
          <w:tcPr>
            <w:tcW w:type="dxa" w:w="2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MOD-06</w:t>
            </w:r>
          </w:p>
        </w:tc>
        <w:tc>
          <w:tcPr>
            <w:tcW w:type="dxa" w:w="75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municipio, convenio, instituicao, faixa_etaria, parametro</w:t>
            </w:r>
          </w:p>
        </w:tc>
      </w:tr>
      <w:tr>
        <w:tc>
          <w:tcPr>
            <w:tcW w:type="dxa" w:w="2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MOD-09</w:t>
            </w:r>
          </w:p>
        </w:tc>
        <w:tc>
          <w:tcPr>
            <w:tcW w:type="dxa" w:w="75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job_execucao</w:t>
            </w:r>
          </w:p>
        </w:tc>
      </w:tr>
      <w:tr>
        <w:tc>
          <w:tcPr>
            <w:tcW w:type="dxa" w:w="2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MOD-10</w:t>
            </w:r>
          </w:p>
        </w:tc>
        <w:tc>
          <w:tcPr>
            <w:tcW w:type="dxa" w:w="75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carga_lote, carga_linha, carga_conferencia</w:t>
            </w:r>
          </w:p>
        </w:tc>
      </w:tr>
      <w:tr>
        <w:tc>
          <w:tcPr>
            <w:tcW w:type="dxa" w:w="2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MOD-11</w:t>
            </w:r>
          </w:p>
        </w:tc>
        <w:tc>
          <w:tcPr>
            <w:tcW w:type="dxa" w:w="75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requisicao_titular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Decisões de design do banco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Nada derivado é armazenado.</w:t>
      </w:r>
      <w:r>
        <w:t xml:space="preserve"> Idade, situação do paciente, sessão de turno antes da primeira
marcação, classificação da presença, pareamento automático, fechamento do mês, prazo de retenção,
prazo do titular e pendências são calculados (DD-01, DD-18, DD-23, DD-25, DD-26).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banco garante as invariantes que pode garantir.</w:t>
      </w:r>
      <w:r>
        <w:t xml:space="preserve"> Unicidades, </w:t>
      </w:r>
      <w:r>
        <w:rPr>
          <w:rFonts w:ascii="Consolas" w:cs="Consolas" w:eastAsia="Consolas" w:hAnsi="Consolas"/>
          <w:sz w:val="20"/>
          <w:szCs w:val="20"/>
        </w:rPr>
        <w:t xml:space="preserve">CHECK</w:t>
      </w:r>
      <w:r>
        <w:t xml:space="preserve"> e colunas geradas com
índice único para "no máximo um ativo" — período aberto, sessão ativa, troca não cancelada, modelo
ativo (DD-72).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Cifragem em envelope.</w:t>
      </w:r>
      <w:r>
        <w:t xml:space="preserve"> Cada documento tem chave própria, gravada cifrada pela chave mestra. A
chave mestra fica fora do banco e fora do repositório, com cópias em custódia (RNF-622). Trocar a
chave mestra exige recifrar só as chaves dos documentos, não os arquivos.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Hash sobre o conteúdo em claro.</w:t>
      </w:r>
      <w:r>
        <w:t xml:space="preserve"> A prova de integridade independe da cifragem, e continua válida
se a chave mestra for trocada.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Identificadores aleatórios</w:t>
      </w:r>
      <w:r>
        <w:t xml:space="preserve"> para documento, ingestão e solicitação. Não substituem a verificação
de permissão (RNF-623). Tokens de sessão e de captura gravados só como hash (DD-05).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Exclusão física proibida antes do prazo.</w:t>
      </w:r>
      <w:r>
        <w:t xml:space="preserve"> Paciente, documento e usuário não são excluídos;
documento só é descartado depois do prazo de retenção, pela destruição da sua chave, com registro
(DD-04). O usuário de banco da aplicação não tem privilégio para alterar arquivo, hash ou chave de
documento, nem para alterar ou apagar a trilha (DD-58).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Auditoria minimizada.</w:t>
      </w:r>
      <w:r>
        <w:t xml:space="preserve"> Escrita registra só os campos alterados; leitura, só identificadores. A
trilha é, ela própria, dado sensível: acesso restrito e auditado (DD-10, RNF-625).</w:t>
      </w:r>
    </w:p>
    <w:p>
      <w:pPr>
        <w:pStyle w:val="Heading2"/>
      </w:pPr>
      <w:r>
        <w:t xml:space="preserve">6.4 Política de evolução do schema</w:t>
      </w:r>
    </w:p>
    <w:p>
      <w:pPr>
        <w:spacing w:after="140"/>
      </w:pPr>
      <w:r>
        <w:t xml:space="preserve">Toda alteração de schema é uma migração Alembic versionada no repositório, com models.py como fonte da
verdade. Nenhuma alteração manual em produção — a mesma política do AD-20 do SCE, adotada desde o
início.</w:t>
      </w:r>
    </w:p>
    <w:p>
      <w:pPr>
        <w:pStyle w:val="Heading1"/>
        <w:pageBreakBefore/>
      </w:pPr>
      <w:r>
        <w:t xml:space="preserve">7. Visão de implantação</w:t>
      </w:r>
    </w:p>
    <w:p>
      <w:pPr>
        <w:pStyle w:val="Heading2"/>
      </w:pPr>
      <w:r>
        <w:t xml:space="preserve">7.1 Topologia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Servidor dedicado:</w:t>
      </w:r>
      <w:r>
        <w:t xml:space="preserve"> Ubuntu Server LTS com Docker. Hospeda o SAR e o banco do SCE, em local fechado,
sem uso diário, ligado ao nobreak.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Estação da recepção:</w:t>
      </w:r>
      <w:r>
        <w:t xml:space="preserve"> navegador e agente de captura; scanner e webcam.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Demais estações, inclusive o terminal da enfermagem:</w:t>
      </w:r>
      <w:r>
        <w:t xml:space="preserve"> apenas navegador.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Estações com o SCE:</w:t>
      </w:r>
      <w:r>
        <w:t xml:space="preserve"> aplicação desktop do SCE, conectando ao banco do SCE no servidor novo.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Impressora:</w:t>
      </w:r>
      <w:r>
        <w:t xml:space="preserve"> emissão de documentos e crachá.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 drives de backup:</w:t>
      </w:r>
      <w:r>
        <w:t xml:space="preserve"> dois, em rodízio, sob custódia registrada.</w:t>
      </w:r>
    </w:p>
    <w:p>
      <w:pPr>
        <w:pStyle w:val="Heading2"/>
      </w:pPr>
      <w:r>
        <w:t xml:space="preserve">7.2 Contêineres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8"/>
        <w:gridCol w:w="1892"/>
        <w:gridCol w:w="2274"/>
        <w:gridCol w:w="3864"/>
      </w:tblGrid>
      <w:tr>
        <w:trPr>
          <w:tblHeader/>
        </w:trPr>
        <w:tc>
          <w:tcPr>
            <w:tcW w:type="dxa" w:w="1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Contêiner</w:t>
            </w:r>
          </w:p>
        </w:tc>
        <w:tc>
          <w:tcPr>
            <w:tcW w:type="dxa" w:w="1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Rede</w:t>
            </w:r>
          </w:p>
        </w:tc>
        <w:tc>
          <w:tcPr>
            <w:tcW w:type="dxa" w:w="22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Porta publicada</w:t>
            </w:r>
          </w:p>
        </w:tc>
        <w:tc>
          <w:tcPr>
            <w:tcW w:type="dxa" w:w="38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1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proxy (Caddy)</w:t>
            </w:r>
          </w:p>
        </w:tc>
        <w:tc>
          <w:tcPr>
            <w:tcW w:type="dxa" w:w="1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borda</w:t>
            </w:r>
          </w:p>
        </w:tc>
        <w:tc>
          <w:tcPr>
            <w:tcW w:type="dxa" w:w="22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443</w:t>
            </w:r>
          </w:p>
        </w:tc>
        <w:tc>
          <w:tcPr>
            <w:tcW w:type="dxa" w:w="38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Único ponto de entrada do SAR. Guarda a certificadora interna</w:t>
            </w:r>
          </w:p>
        </w:tc>
      </w:tr>
      <w:tr>
        <w:tc>
          <w:tcPr>
            <w:tcW w:type="dxa" w:w="1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web</w:t>
            </w:r>
          </w:p>
        </w:tc>
        <w:tc>
          <w:tcPr>
            <w:tcW w:type="dxa" w:w="1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borda, interna</w:t>
            </w:r>
          </w:p>
        </w:tc>
        <w:tc>
          <w:tcPr>
            <w:tcW w:type="dxa" w:w="22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8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Waitress com o processo web</w:t>
            </w:r>
          </w:p>
        </w:tc>
      </w:tr>
      <w:tr>
        <w:tc>
          <w:tcPr>
            <w:tcW w:type="dxa" w:w="1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worker</w:t>
            </w:r>
          </w:p>
        </w:tc>
        <w:tc>
          <w:tcPr>
            <w:tcW w:type="dxa" w:w="1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interna</w:t>
            </w:r>
          </w:p>
        </w:tc>
        <w:tc>
          <w:tcPr>
            <w:tcW w:type="dxa" w:w="22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8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Agendamento e ingestão</w:t>
            </w:r>
          </w:p>
        </w:tc>
      </w:tr>
      <w:tr>
        <w:tc>
          <w:tcPr>
            <w:tcW w:type="dxa" w:w="1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mysql-sar</w:t>
            </w:r>
          </w:p>
        </w:tc>
        <w:tc>
          <w:tcPr>
            <w:tcW w:type="dxa" w:w="1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interna</w:t>
            </w:r>
          </w:p>
        </w:tc>
        <w:tc>
          <w:tcPr>
            <w:tcW w:type="dxa" w:w="22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nenhuma</w:t>
            </w:r>
          </w:p>
        </w:tc>
        <w:tc>
          <w:tcPr>
            <w:tcW w:type="dxa" w:w="38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Inalcançável pela rede (RNF-614)</w:t>
            </w:r>
          </w:p>
        </w:tc>
      </w:tr>
      <w:tr>
        <w:tc>
          <w:tcPr>
            <w:tcW w:type="dxa" w:w="1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clamav</w:t>
            </w:r>
          </w:p>
        </w:tc>
        <w:tc>
          <w:tcPr>
            <w:tcW w:type="dxa" w:w="1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interna</w:t>
            </w:r>
          </w:p>
        </w:tc>
        <w:tc>
          <w:tcPr>
            <w:tcW w:type="dxa" w:w="22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8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Atualização automática de assinaturas</w:t>
            </w:r>
          </w:p>
        </w:tc>
      </w:tr>
      <w:tr>
        <w:tc>
          <w:tcPr>
            <w:tcW w:type="dxa" w:w="1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conversor</w:t>
            </w:r>
          </w:p>
        </w:tc>
        <w:tc>
          <w:tcPr>
            <w:tcW w:type="dxa" w:w="1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isolada, sem saída</w:t>
            </w:r>
          </w:p>
        </w:tc>
        <w:tc>
          <w:tcPr>
            <w:tcW w:type="dxa" w:w="22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8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LibreOffice para converter modelos .docx em PDF; só o web o alcança (DD-42)</w:t>
            </w:r>
          </w:p>
        </w:tc>
      </w:tr>
      <w:tr>
        <w:tc>
          <w:tcPr>
            <w:tcW w:type="dxa" w:w="1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mysql-sce</w:t>
            </w:r>
          </w:p>
        </w:tc>
        <w:tc>
          <w:tcPr>
            <w:tcW w:type="dxa" w:w="1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sce</w:t>
            </w:r>
          </w:p>
        </w:tc>
        <w:tc>
          <w:tcPr>
            <w:tcW w:type="dxa" w:w="22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3306, só para a rede local</w:t>
            </w:r>
          </w:p>
        </w:tc>
        <w:tc>
          <w:tcPr>
            <w:tcW w:type="dxa" w:w="38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Mesma porta de hoje</w:t>
            </w:r>
          </w:p>
        </w:tc>
      </w:tr>
      <w:tr>
        <w:tc>
          <w:tcPr>
            <w:tcW w:type="dxa" w:w="1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coleta-sce</w:t>
            </w:r>
          </w:p>
        </w:tc>
        <w:tc>
          <w:tcPr>
            <w:tcW w:type="dxa" w:w="1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sce</w:t>
            </w:r>
          </w:p>
        </w:tc>
        <w:tc>
          <w:tcPr>
            <w:tcW w:type="dxa" w:w="22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mesma de hoje</w:t>
            </w:r>
          </w:p>
        </w:tc>
        <w:tc>
          <w:tcPr>
            <w:tcW w:type="dxa" w:w="38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Serviço de coleta do SCE, se for migrado para contêiner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Volumes persistentes: banco do SAR, banco do SCE, repositório de documentos, quarentena, dados do
Caddy e segredos. A quarentena fica fora do backup (SEG-29); os dados do Caddy entram, porque contêm a
certificadora.</w:t>
      </w:r>
    </w:p>
    <w:p>
      <w:pPr>
        <w:pStyle w:val="Heading2"/>
      </w:pPr>
      <w:r>
        <w:t xml:space="preserve">7.3 Requisitos de infraestrutura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 fixo reservado no gateway: o mesmo IP do servidor atual do SCE (AD-26).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Firewall do host liberando para a rede local apenas a 443 do SAR e as portas do SCE.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Atenção:</w:t>
      </w:r>
      <w:r>
        <w:t xml:space="preserve"> o Docker, por padrão, publica portas por regras próprias que passam por fora do
firewall configurado no Ubuntu. As regras de acesso precisam ser aplicadas na cadeia que o Docker
respeita, e a publicação de porta deve ser feita apenas no endereço da rede local.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Saída para a internet restrita à consulta de CEP, às assinaturas do ClamAV e às atualizações do
sistema operacional e das imagens (RNF-611).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Sincronização de relógio ativa. Abertura de sessão, prazos de pendência e cadeia de auditoria
dependem da hora correta.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Nobreak com desligamento ordenado configurado e testado (RNF-508).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Certificado raiz da certificadora interna instalado em todas as estações, inclusive a da
enfermagem.</w:t>
      </w:r>
    </w:p>
    <w:p>
      <w:pPr>
        <w:pStyle w:val="Heading2"/>
      </w:pPr>
      <w:r>
        <w:t xml:space="preserve">7.4 Backup e restauração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Diariamente, às 02:20, depois do registro da âncora da cadeia, dump consistente do banco do SAR e do
banco do SCE, por agendamento do sistema operacional do servidor (DD-62).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Snapshot restic cifrado dos dumps, do repositório de documentos, dos dados do Caddy e da
configuração, no HD local separado.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Semanalmente, cópia para o pen drive da vez, que depois é desconectado.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Verificação periódica da integridade do repositório de backup.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Retenção dos snapshots: 30 diários, 12 semanais e 12 mensais. Esse é o horizonte em que um documento
descartado ao fim do prazo de retenção deixa de existir também no backup (DD-04).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Cada execução registra o resultado em </w:t>
      </w:r>
      <w:r>
        <w:rPr>
          <w:rFonts w:ascii="Consolas" w:cs="Consolas" w:eastAsia="Consolas" w:hAnsi="Consolas"/>
          <w:sz w:val="20"/>
          <w:szCs w:val="20"/>
        </w:rPr>
        <w:t xml:space="preserve">job_execucao</w:t>
      </w:r>
      <w:r>
        <w:t xml:space="preserve">; backup atrasado vira pendência do TI.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Teste de restauração completa, em máquina limpa e por outra pessoa, antes do go-live e a cada
semestre, incluindo a recuperação da chave mestra e da senha do restic (QAS-14).</w:t>
      </w:r>
    </w:p>
    <w:p>
      <w:pPr>
        <w:spacing w:after="140"/>
      </w:pPr>
      <w:r>
        <w:t xml:space="preserve">A senha do restic e a chave mestra ficam em custódia dupla, com o TI e a administração. O backup do
servidor passa a cobrir também o SCE, e a rotina própria de backup do SCE pode ser mantida em paralelo
até a confiança na nova estar estabelecida.</w:t>
      </w:r>
    </w:p>
    <w:p>
      <w:pPr>
        <w:pStyle w:val="Heading2"/>
      </w:pPr>
      <w:r>
        <w:t xml:space="preserve">7.5 Operação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Reinício automático de todos os contêineres, com verificação de saúde.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Janela de disponibilidade de 05:00 às 20:00, de segunda a sábado (DEC-68). Manutenção, backup e
rotinas pesadas fora dela: rotinas pesadas a partir das 02:00, com 10 minutos entre uma e outra, em
série e com limite às 04:30 (DD-64); semanais e mensais aos domingos.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job registra execução em job_execucao; job que passa do intervalo máximo sem sucesso vira
pendência do TI. É a resposta à falha silenciosa de tarefa agendada que o SCE já viveu (§7.3 do
DAS-001).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Logs técnicos sem dado pessoal (RNF-624).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 de ocupação de disco (RNF-621).</w:t>
      </w:r>
    </w:p>
    <w:p>
      <w:pPr>
        <w:pStyle w:val="Heading2"/>
      </w:pPr>
      <w:r>
        <w:t xml:space="preserve">7.6 Servidor provisório (AD-27)</w:t>
      </w:r>
    </w:p>
    <w:p>
      <w:pPr>
        <w:spacing w:after="140"/>
      </w:pPr>
      <w:r>
        <w:t xml:space="preserve">Até a chegada do servidor dedicado, o SAR roda num notebook reservado, com a mesma pilha. Cuidados: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Verificar a saúde do disco antes da instalação e trocá-lo se houver setores realocados ou erros.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Conexão por cabo de rede.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bateria funciona como nobreak; o desligamento ordenado em bateria crítica é configurado como no
RNF-508.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Suspensão ao fechar a tampa desativada.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Backup local diário em disco USB dedicado, que garante a perda máxima de 24 horas do QAS-04.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Local fora do balcão, ventilado, sem uso diário por ninguém.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IP fixo diferente do IP do servidor do SCE.</w:t>
      </w:r>
    </w:p>
    <w:p>
      <w:pPr>
        <w:spacing w:after="140"/>
      </w:pPr>
      <w:r>
        <w:t xml:space="preserve">Na chegada do servidor dedicado: instalar a pilha, restaurar o backup do restic — incluindo os dados
do Caddy, para que o certificado raiz das estações continue válido —, conferir a integridade dos
documentos e da cadeia de auditoria, e só então migrar o SCE (§7.7). O endereço do SAR muda uma vez,
nessa troca.</w:t>
      </w:r>
    </w:p>
    <w:p>
      <w:pPr>
        <w:pStyle w:val="Heading2"/>
      </w:pPr>
      <w:r>
        <w:t xml:space="preserve">7.7 Migração do SCE para o servidor dedicado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Medir o desempenho atual do SCE, para servir de linha de base (RNF-302).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Subir o banco do SCE em contêiner, na versão LTS, e importar o dump do banco atual.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Testar a aplicação desktop do SCE contra o banco novo </w:t>
      </w:r>
      <w:r>
        <w:rPr>
          <w:b/>
          <w:bCs/>
        </w:rPr>
        <w:t xml:space="preserve">antes</w:t>
      </w:r>
      <w:r>
        <w:t xml:space="preserve"> da troca — ver R-35.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Na janela de troca, transferir o IP do servidor atual para o dedicado e subir o serviço de coleta na
mesma porta.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Conferir uma etiqueta de patrimônio impressa lendo o QR Code com um celular.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Manter o servidor antigo desligado, mas intacto, até a confirmação.</w:t>
      </w:r>
    </w:p>
    <w:p>
      <w:pPr>
        <w:pStyle w:val="Heading1"/>
        <w:pageBreakBefore/>
      </w:pPr>
      <w:r>
        <w:t xml:space="preserve">8. Riscos arquiteturais e mitigações</w:t>
      </w:r>
    </w:p>
    <w:p>
      <w:pPr>
        <w:spacing w:after="140"/>
      </w:pPr>
      <w:r>
        <w:t xml:space="preserve">Numeração contínua com o registro de riscos do projeto.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"/>
        <w:gridCol w:w="2390"/>
        <w:gridCol w:w="2153"/>
        <w:gridCol w:w="4390"/>
      </w:tblGrid>
      <w:tr>
        <w:trPr>
          <w:tblHeader/>
        </w:trPr>
        <w:tc>
          <w:tcPr>
            <w:tcW w:type="dxa" w:w="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Risco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4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R-33</w:t>
            </w:r>
          </w:p>
        </w:tc>
        <w:tc>
          <w:tcPr>
            <w:tcW w:type="dxa" w:w="2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htmx 4 tem pouco tempo de mercado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Defeito de biblioteca atrasa a homologação</w:t>
            </w:r>
          </w:p>
        </w:tc>
        <w:tc>
          <w:tcPr>
            <w:tcW w:type="dxa" w:w="4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Uso restrito a atributos básicos; reserva na série 2 com histórico local desligado</w:t>
            </w:r>
          </w:p>
        </w:tc>
      </w:tr>
      <w:tr>
        <w:tc>
          <w:tcPr>
            <w:tcW w:type="dxa" w:w="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R-34</w:t>
            </w:r>
          </w:p>
        </w:tc>
        <w:tc>
          <w:tcPr>
            <w:tcW w:type="dxa" w:w="2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Agente de captura não conversa bem com o scanner ou com o alimentador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Captura manual por arquivo, violando SEG-28</w:t>
            </w:r>
          </w:p>
        </w:tc>
        <w:tc>
          <w:tcPr>
            <w:tcW w:type="dxa" w:w="4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Mitigado.</w:t>
            </w:r>
            <w:r>
              <w:rPr>
                <w:sz w:val="19"/>
                <w:szCs w:val="19"/>
              </w:rPr>
              <w:t xml:space="preserve"> Testado no equipamento real em 05 e 06/10/2026: vidro e alimentador pelo WIA, 3 de 3 folhas lidas, imagem só em memória. O driver entrega BMP; o agente converte para PNG (DD-77). Repetir o teste se o scanner for trocado</w:t>
            </w:r>
          </w:p>
        </w:tc>
      </w:tr>
      <w:tr>
        <w:tc>
          <w:tcPr>
            <w:tcW w:type="dxa" w:w="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R-35</w:t>
            </w:r>
          </w:p>
        </w:tc>
        <w:tc>
          <w:tcPr>
            <w:tcW w:type="dxa" w:w="2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Aplicação do SCE não conecta ao MySQL LTS novo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Estoque parado na migração</w:t>
            </w:r>
          </w:p>
        </w:tc>
        <w:tc>
          <w:tcPr>
            <w:tcW w:type="dxa" w:w="4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série 9 removeu o método de autenticação antigo do MySQL. Testar o driver do SCE antes da troca e ajustar a configuração de conexão, se necessário</w:t>
            </w:r>
          </w:p>
        </w:tc>
      </w:tr>
      <w:tr>
        <w:tc>
          <w:tcPr>
            <w:tcW w:type="dxa" w:w="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R-36</w:t>
            </w:r>
          </w:p>
        </w:tc>
        <w:tc>
          <w:tcPr>
            <w:tcW w:type="dxa" w:w="2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Portas publicadas pelo Docker contornam o firewall do host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Banco do SCE ou outra porta exposta além do previsto</w:t>
            </w:r>
          </w:p>
        </w:tc>
        <w:tc>
          <w:tcPr>
            <w:tcW w:type="dxa" w:w="4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Regras na cadeia respeitada pelo Docker; publicação só no endereço da rede local; varredura de portas a partir de uma estação na homologação</w:t>
            </w:r>
          </w:p>
        </w:tc>
      </w:tr>
      <w:tr>
        <w:tc>
          <w:tcPr>
            <w:tcW w:type="dxa" w:w="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R-37</w:t>
            </w:r>
          </w:p>
        </w:tc>
        <w:tc>
          <w:tcPr>
            <w:tcW w:type="dxa" w:w="2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Perda dos dados do Caddy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Certificado raiz novo, reinstalação em todas as estações</w:t>
            </w:r>
          </w:p>
        </w:tc>
        <w:tc>
          <w:tcPr>
            <w:tcW w:type="dxa" w:w="4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Dados do Caddy no backup</w:t>
            </w:r>
          </w:p>
        </w:tc>
      </w:tr>
      <w:tr>
        <w:tc>
          <w:tcPr>
            <w:tcW w:type="dxa" w:w="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R-38</w:t>
            </w:r>
          </w:p>
        </w:tc>
        <w:tc>
          <w:tcPr>
            <w:tcW w:type="dxa" w:w="2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Job agendado falha em silêncio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Cadeia não verificada, backup ou expurgo atrasados</w:t>
            </w:r>
          </w:p>
        </w:tc>
        <w:tc>
          <w:tcPr>
            <w:tcW w:type="dxa" w:w="4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Registro de execução, intervalo máximo por job e pendência para o TI (DD-61). Deixou de afetar a sessão de turno, que é derivada do relógio (DD-23)</w:t>
            </w:r>
          </w:p>
        </w:tc>
      </w:tr>
      <w:tr>
        <w:tc>
          <w:tcPr>
            <w:tcW w:type="dxa" w:w="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R-39</w:t>
            </w:r>
          </w:p>
        </w:tc>
        <w:tc>
          <w:tcPr>
            <w:tcW w:type="dxa" w:w="2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Relógio do servidor errado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Sessão no estado errado, prazos incorretos</w:t>
            </w:r>
          </w:p>
        </w:tc>
        <w:tc>
          <w:tcPr>
            <w:tcW w:type="dxa" w:w="4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Sincronização de horário e alerta de divergência</w:t>
            </w:r>
          </w:p>
        </w:tc>
      </w:tr>
      <w:tr>
        <w:tc>
          <w:tcPr>
            <w:tcW w:type="dxa" w:w="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R-40</w:t>
            </w:r>
          </w:p>
        </w:tc>
        <w:tc>
          <w:tcPr>
            <w:tcW w:type="dxa" w:w="2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Assinaturas do ClamAV desatualizadas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Varredura obsoleta</w:t>
            </w:r>
          </w:p>
        </w:tc>
        <w:tc>
          <w:tcPr>
            <w:tcW w:type="dxa" w:w="4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Saída liberada para os espelhos de assinatura; alerta de defasagem (SEG-21)</w:t>
            </w:r>
          </w:p>
        </w:tc>
      </w:tr>
      <w:tr>
        <w:tc>
          <w:tcPr>
            <w:tcW w:type="dxa" w:w="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R-41</w:t>
            </w:r>
          </w:p>
        </w:tc>
        <w:tc>
          <w:tcPr>
            <w:tcW w:type="dxa" w:w="2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Worker e web disputam o repositório de documentos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Arquivo parcial ou órfão</w:t>
            </w:r>
          </w:p>
        </w:tc>
        <w:tc>
          <w:tcPr>
            <w:tcW w:type="dxa" w:w="4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Escrita definitiva só pelo CofreDocumentos, com gravação em arquivo temporário e renomeação atômica</w:t>
            </w:r>
          </w:p>
        </w:tc>
      </w:tr>
      <w:tr>
        <w:tc>
          <w:tcPr>
            <w:tcW w:type="dxa" w:w="7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R-42</w:t>
            </w:r>
          </w:p>
        </w:tc>
        <w:tc>
          <w:tcPr>
            <w:tcW w:type="dxa" w:w="2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Notebook provisório com disco único, em operação contínua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Falha de disco ou superaquecimento para o sistema</w:t>
            </w:r>
          </w:p>
        </w:tc>
        <w:tc>
          <w:tcPr>
            <w:tcW w:type="dxa" w:w="4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Verificação de saúde do disco antes e durante o uso, backup diário em disco USB, local ventilado, migração ao servidor dedicado assim que ele chegar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Riscos do projeto que continuam valendo e têm tratamento arquitetural neste documento: R-12 servidor
compartilhado (§7.2), R-25 dependência de uma pessoa (§7.4 e RNF-706), R-27 acesso administrativo
(AD-14), R-29 perda da chave (§6.3 e §7.4) e R-31/R-32 servidor dedicado (AD-24).</w:t>
      </w:r>
    </w:p>
    <w:p>
      <w:pPr>
        <w:pStyle w:val="Heading1"/>
        <w:pageBreakBefore/>
      </w:pPr>
      <w:r>
        <w:t xml:space="preserve">Apêndice A — Avaliação da arquitetura</w:t>
      </w:r>
    </w:p>
    <w:p>
      <w:pPr>
        <w:spacing w:after="140"/>
      </w:pPr>
      <w:r>
        <w:t xml:space="preserve">Avaliação no estilo ATAM, enxuta: cada cenário de atributo de qualidade da ERS confrontado com as
decisões que o atendem, registrando pontos de sensibilidade — onde uma escolha pequena muda o
resultado — e conflitos entre atributos.</w:t>
      </w:r>
    </w:p>
    <w:p>
      <w:pPr>
        <w:pStyle w:val="Heading2"/>
      </w:pPr>
      <w:r>
        <w:t xml:space="preserve">A.1 Cenários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055"/>
        <w:gridCol w:w="1964"/>
        <w:gridCol w:w="3067"/>
      </w:tblGrid>
      <w:tr>
        <w:trPr>
          <w:tblHeader/>
        </w:trP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Cenário</w:t>
            </w:r>
          </w:p>
        </w:tc>
        <w:tc>
          <w:tcPr>
            <w:tcW w:type="dxa" w:w="2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Decisões que atendem</w:t>
            </w:r>
          </w:p>
        </w:tc>
        <w:tc>
          <w:tcPr>
            <w:tcW w:type="dxa" w:w="1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Ponto de sensibilidade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QAS-01 Busca em menos de 2 s</w:t>
            </w:r>
          </w:p>
        </w:tc>
        <w:tc>
          <w:tcPr>
            <w:tcW w:type="dxa" w:w="2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AD-03, AD-09; 1.200 registros</w:t>
            </w:r>
          </w:p>
        </w:tc>
        <w:tc>
          <w:tcPr>
            <w:tcW w:type="dxa" w:w="1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Atendido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Busca sem distinção de acento depende da collation do banco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QAS-02 Frequência em até 4 interações</w:t>
            </w:r>
          </w:p>
        </w:tc>
        <w:tc>
          <w:tcPr>
            <w:tcW w:type="dxa" w:w="2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AD-04, §5.2</w:t>
            </w:r>
          </w:p>
        </w:tc>
        <w:tc>
          <w:tcPr>
            <w:tcW w:type="dxa" w:w="1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Atendido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QAS-03 CEP indisponível</w:t>
            </w:r>
          </w:p>
        </w:tc>
        <w:tc>
          <w:tcPr>
            <w:tcW w:type="dxa" w:w="2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AD-23, §5.7</w:t>
            </w:r>
          </w:p>
        </w:tc>
        <w:tc>
          <w:tcPr>
            <w:tcW w:type="dxa" w:w="1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Atendido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Tempo limite curto do CepClient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QAS-04 Falha de hardware, perda máxima de 24 h</w:t>
            </w:r>
          </w:p>
        </w:tc>
        <w:tc>
          <w:tcPr>
            <w:tcW w:type="dxa" w:w="2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AD-25, §7.4, espelhamento de discos</w:t>
            </w:r>
          </w:p>
        </w:tc>
        <w:tc>
          <w:tcPr>
            <w:tcW w:type="dxa" w:w="1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Atendido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Backup local em disco separado do espelhamento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QAS-15 Perda total, perda máxima de 7 dias</w:t>
            </w:r>
          </w:p>
        </w:tc>
        <w:tc>
          <w:tcPr>
            <w:tcW w:type="dxa" w:w="2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AD-25, §7.4</w:t>
            </w:r>
          </w:p>
        </w:tc>
        <w:tc>
          <w:tcPr>
            <w:tcW w:type="dxa" w:w="1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Atendido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Rodízio semanal do pen drive cumprido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QAS-05 Arquivo malicioso recusado</w:t>
            </w:r>
          </w:p>
        </w:tc>
        <w:tc>
          <w:tcPr>
            <w:tcW w:type="dxa" w:w="2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AD-15, §5.3</w:t>
            </w:r>
          </w:p>
        </w:tc>
        <w:tc>
          <w:tcPr>
            <w:tcW w:type="dxa" w:w="1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Atendido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reconstrução é a defesa principal; o ClamAV tem limites de detecção (SEG-09)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QAS-06 Leitura registrada e inalterável pela aplicação</w:t>
            </w:r>
          </w:p>
        </w:tc>
        <w:tc>
          <w:tcPr>
            <w:tcW w:type="dxa" w:w="2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AD-14, §5.4</w:t>
            </w:r>
          </w:p>
        </w:tc>
        <w:tc>
          <w:tcPr>
            <w:tcW w:type="dxa" w:w="1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Atendido </w:t>
            </w:r>
            <w:r>
              <w:rPr>
                <w:b/>
                <w:bCs/>
                <w:sz w:val="19"/>
                <w:szCs w:val="19"/>
              </w:rPr>
              <w:t xml:space="preserve">com item de projeto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Permissões do usuário do banco na tabela de auditoria — ver A.2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QAS-07 Desempenho em 20 anos</w:t>
            </w:r>
          </w:p>
        </w:tc>
        <w:tc>
          <w:tcPr>
            <w:tcW w:type="dxa" w:w="2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AD-09, AD-13</w:t>
            </w:r>
          </w:p>
        </w:tc>
        <w:tc>
          <w:tcPr>
            <w:tcW w:type="dxa" w:w="1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Atendido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Backup incremental do restic evita crescimento proporcional do tempo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QAS-08 Extração desligável</w:t>
            </w:r>
          </w:p>
        </w:tc>
        <w:tc>
          <w:tcPr>
            <w:tcW w:type="dxa" w:w="2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AD-16, §4.2</w:t>
            </w:r>
          </w:p>
        </w:tc>
        <w:tc>
          <w:tcPr>
            <w:tcW w:type="dxa" w:w="1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Atendido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QAS-09 Estação desatendida</w:t>
            </w:r>
          </w:p>
        </w:tc>
        <w:tc>
          <w:tcPr>
            <w:tcW w:type="dxa" w:w="2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AD-19</w:t>
            </w:r>
          </w:p>
        </w:tc>
        <w:tc>
          <w:tcPr>
            <w:tcW w:type="dxa" w:w="1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Atendido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Prazo de inatividade: segurança contra usabilidade no balcão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QAS-10 Duas identidades na autorização</w:t>
            </w:r>
          </w:p>
        </w:tc>
        <w:tc>
          <w:tcPr>
            <w:tcW w:type="dxa" w:w="2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AD-20, §5.5</w:t>
            </w:r>
          </w:p>
        </w:tc>
        <w:tc>
          <w:tcPr>
            <w:tcW w:type="dxa" w:w="1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Atendido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QAS-11 Ransomware numa estação</w:t>
            </w:r>
          </w:p>
        </w:tc>
        <w:tc>
          <w:tcPr>
            <w:tcW w:type="dxa" w:w="2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AD-24, AD-25, §7.2</w:t>
            </w:r>
          </w:p>
        </w:tc>
        <w:tc>
          <w:tcPr>
            <w:tcW w:type="dxa" w:w="1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Atendido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Repositório nunca exposto como pasta de rede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QAS-12 Conexão ao banco recusada e registrada</w:t>
            </w:r>
          </w:p>
        </w:tc>
        <w:tc>
          <w:tcPr>
            <w:tcW w:type="dxa" w:w="2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AD-09, §7.2</w:t>
            </w:r>
          </w:p>
        </w:tc>
        <w:tc>
          <w:tcPr>
            <w:tcW w:type="dxa" w:w="1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Atendido </w:t>
            </w:r>
            <w:r>
              <w:rPr>
                <w:b/>
                <w:bCs/>
                <w:sz w:val="19"/>
                <w:szCs w:val="19"/>
              </w:rPr>
              <w:t xml:space="preserve">com item de projeto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Registro da tentativa exige log no firewall — ver A.2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QAS-13 Alteração da trilha detectada</w:t>
            </w:r>
          </w:p>
        </w:tc>
        <w:tc>
          <w:tcPr>
            <w:tcW w:type="dxa" w:w="2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AD-14, §5.6</w:t>
            </w:r>
          </w:p>
        </w:tc>
        <w:tc>
          <w:tcPr>
            <w:tcW w:type="dxa" w:w="1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Atendido </w:t>
            </w:r>
            <w:r>
              <w:rPr>
                <w:b/>
                <w:bCs/>
                <w:sz w:val="19"/>
                <w:szCs w:val="19"/>
              </w:rPr>
              <w:t xml:space="preserve">com item de projeto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Destino da âncora fora do servidor — ver A.2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QAS-14 Restauração por outra pessoa</w:t>
            </w:r>
          </w:p>
        </w:tc>
        <w:tc>
          <w:tcPr>
            <w:tcW w:type="dxa" w:w="2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AD-25, §7.4, RNF-706</w:t>
            </w:r>
          </w:p>
        </w:tc>
        <w:tc>
          <w:tcPr>
            <w:tcW w:type="dxa" w:w="1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Atendido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Depende do manual de operação estar atualizado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A.2 Itens de projeto revelados pela avaliação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Auditoria inalterável pelo banco, não só pela aplicação (QAS-06).</w:t>
      </w:r>
      <w:r>
        <w:t xml:space="preserve"> O usuário do banco usado pela
aplicação recebe apenas inserção e leitura na tabela de auditoria — nenhuma alteração nem exclusão.
O expurgo dos cinco anos (DEC-45) usa um usuário separado, restrito a essa operação.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Registro de tentativas de conexão (QAS-12).</w:t>
      </w:r>
      <w:r>
        <w:t xml:space="preserve"> O banco do SAR não tem porta publicada, então uma
tentativa não encontra nada escutando. Para que ela fique registrada, o firewall do host registra
conexões recusadas nas portas não publicadas.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Destino da âncora da cadeia (QAS-13).</w:t>
      </w:r>
      <w:r>
        <w:t xml:space="preserve"> A âncora é só um hash, sem dado pessoal. Ela é gravada no
backup do dia e exibida à administração na tela de pendências uma vez por mês, para anotação fora do
sistema. Assim, alterar a trilha e a âncora juntas exige também alterar o que a administração
anotou.</w:t>
      </w:r>
    </w:p>
    <w:p>
      <w:pPr>
        <w:pStyle w:val="Heading2"/>
      </w:pPr>
      <w:r>
        <w:t xml:space="preserve">A.3 Conflito resolvido: perda máxima de dados</w:t>
      </w:r>
    </w:p>
    <w:p>
      <w:pPr>
        <w:spacing w:after="140"/>
      </w:pPr>
      <w:r>
        <w:t xml:space="preserve">A avaliação encontrou conflito entre o QAS-04, que exigia perda máxima de 24 horas restaurando da cópia
fora da máquina, e o RNF-504, que prevê essa cópia semanalmente. A clínica decidiu manter a rotina
semanal e reescrever o requisito (DEC-56): falha de hardware com discos preservados perde no máximo 24
horas (QAS-04); perda total do servidor perde no máximo sete dias (QAS-15). Os dias perdidos na perda
total são reconstituídos a partir das fichas de frequência em papel, que continuam sendo o comprovante
oficial.</w:t>
      </w:r>
    </w:p>
    <w:p>
      <w:pPr>
        <w:pStyle w:val="Heading2"/>
      </w:pPr>
      <w:r>
        <w:t xml:space="preserve">A.4 Trocas conscientes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9"/>
        <w:gridCol w:w="5609"/>
      </w:tblGrid>
      <w:tr>
        <w:trPr>
          <w:tblHeader/>
        </w:trPr>
        <w:tc>
          <w:tcPr>
            <w:tcW w:type="dxa" w:w="4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Troca</w:t>
            </w:r>
          </w:p>
        </w:tc>
        <w:tc>
          <w:tcPr>
            <w:tcW w:type="dxa" w:w="5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Escolha feita</w:t>
            </w:r>
          </w:p>
        </w:tc>
      </w:tr>
      <w:tr>
        <w:tc>
          <w:tcPr>
            <w:tcW w:type="dxa" w:w="4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Segurança × usabilidade no balcão</w:t>
            </w:r>
          </w:p>
        </w:tc>
        <w:tc>
          <w:tcPr>
            <w:tcW w:type="dxa" w:w="5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Bloqueio por inatividade, com prazo configurável ajustado na homologação</w:t>
            </w:r>
          </w:p>
        </w:tc>
      </w:tr>
      <w:tr>
        <w:tc>
          <w:tcPr>
            <w:tcW w:type="dxa" w:w="4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Confidencialidade × recuperabilidade</w:t>
            </w:r>
          </w:p>
        </w:tc>
        <w:tc>
          <w:tcPr>
            <w:tcW w:type="dxa" w:w="5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Cifragem de tudo, com chaves em custódia dupla e restauração testada com recuperação de chave</w:t>
            </w:r>
          </w:p>
        </w:tc>
      </w:tr>
      <w:tr>
        <w:tc>
          <w:tcPr>
            <w:tcW w:type="dxa" w:w="4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Isolamento × simplicidade</w:t>
            </w:r>
          </w:p>
        </w:tc>
        <w:tc>
          <w:tcPr>
            <w:tcW w:type="dxa" w:w="5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Dois processos e contêineres separados, ao custo de mais peças na implantação</w:t>
            </w:r>
          </w:p>
        </w:tc>
      </w:tr>
      <w:tr>
        <w:tc>
          <w:tcPr>
            <w:tcW w:type="dxa" w:w="4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Autonomia das estações × dependência do servidor</w:t>
            </w:r>
          </w:p>
        </w:tc>
        <w:tc>
          <w:tcPr>
            <w:tcW w:type="dxa" w:w="5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Estações sem dados; se o servidor cair, a recepção segue o procedimento manual (RNF-506)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  <w:tabs>
        <w:tab w:val="right" w:pos="9638"/>
      </w:tabs>
    </w:pPr>
    <w:r>
      <w:rPr>
        <w:color w:val="595959"/>
        <w:sz w:val="17"/>
        <w:szCs w:val="17"/>
      </w:rPr>
      <w:t xml:space="preserve">DAS_recepcao v1.1 — Sistema de Apoio à Recepção</w:t>
    </w:r>
    <w:r>
      <w:rPr>
        <w:color w:val="595959"/>
        <w:sz w:val="17"/>
        <w:szCs w:val="17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20" w:before="220"/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100" w:before="200"/>
      <w:outlineLvl w:val="3"/>
    </w:pPr>
    <w:rPr>
      <w:rFonts w:ascii="Calibri" w:cs="Calibri" w:eastAsia="Calibri" w:hAnsi="Calibri"/>
      <w:b/>
      <w:bCs/>
      <w:i/>
      <w:i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2026-10-06T10:51:01.679Z</dcterms:created>
  <dcterms:modified xsi:type="dcterms:W3CDTF">2026-10-06T10:51:01.679Z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