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sz w:val="32"/>
          <w:szCs w:val="32"/>
        </w:rPr>
        <w:t xml:space="preserve">DOCUMENTO DE ARQUITETURA DE SOFTWARE</w:t>
      </w:r>
    </w:p>
    <w:p>
      <w:pPr>
        <w:spacing w:after="120"/>
        <w:jc w:val="center"/>
      </w:pPr>
      <w:r>
        <w:rPr>
          <w:sz w:val="26"/>
          <w:szCs w:val="26"/>
        </w:rPr>
        <w:t xml:space="preserve">Sistema de Controle de Estoque — SCE</w:t>
      </w:r>
    </w:p>
    <w:p>
      <w:pPr>
        <w:spacing w:after="240"/>
        <w:jc w:val="center"/>
      </w:pPr>
      <w:r>
        <w:rPr>
          <w:sz w:val="24"/>
          <w:szCs w:val="24"/>
        </w:rPr>
        <w:t xml:space="preserve">DAS-001 · Versão 1.4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Elaborado com base no SWEBOK 4.0</w:t>
      </w:r>
    </w:p>
    <w:p>
      <w:pPr>
        <w:spacing w:after="360"/>
        <w:jc w:val="center"/>
      </w:pPr>
      <w:r>
        <w:rPr>
          <w:sz w:val="20"/>
          <w:szCs w:val="20"/>
        </w:rPr>
        <w:t xml:space="preserve">Data: 2026-08-10  ·  Classificação: Confidencial — uso interno</w:t>
      </w:r>
    </w:p>
    <w:p>
      <w:pPr>
        <w:pStyle w:val="Heading2"/>
        <w:spacing w:after="140" w:before="280"/>
      </w:pPr>
      <w:r>
        <w:t xml:space="preserve">Controle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000"/>
        <w:gridCol w:w="48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13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4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Versão inicial — consolidação da arquitetura do SCE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Modelo de dados: tabela fornecedor; campos marca, centro_alocacao e fornecedor_id em produto; numero_nf, valor_unitario e valor_total em lote. Inclusão de RN-07.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Retirada multi-lote (RN-08). Inclusão de RF-24 (dashboard T-22). Diagrama de sequência de retirada v2.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2025-05-07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Adequação ao cenário real de recebimento de NF (XML, DANFE por chave de acesso, manual pura). AD-12 e componente DanfeEntryAssistant. Coluna chave_acesso em lote. Risco R-07.</w:t>
            </w:r>
          </w:p>
        </w:tc>
      </w:tr>
      <w:tr>
        <w:tc>
          <w:tcPr>
            <w:tcW w:type="dxa" w:w="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1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2026-08-10</w:t>
            </w:r>
          </w:p>
        </w:tc>
        <w:tc>
          <w:tcPr>
            <w:tcW w:type="dxa" w:w="20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Inclusão do MOD-07 — Patrimônio. Sétimo módulo do sistema, com serviço HTTP interno para dispositivos móveis. Decisões AD-13 a AD-21. Oito tabelas novas. Novos fluxos de sequência 5.5 a 5.7. Topologia de implantação revisada. Riscos R-08 a R-13. Baseado na ERS v1.7.</w:t>
            </w:r>
          </w:p>
        </w:tc>
      </w:tr>
    </w:tbl>
    <w:p>
      <w:pPr>
        <w:pStyle w:val="Heading1"/>
        <w:spacing w:after="140" w:before="280"/>
      </w:pPr>
      <w:r>
        <w:t xml:space="preserve">1. Introdução</w:t>
      </w:r>
    </w:p>
    <w:p>
      <w:pPr>
        <w:pStyle w:val="Heading2"/>
        <w:spacing w:after="140" w:before="280"/>
      </w:pPr>
      <w:r>
        <w:t xml:space="preserve">1.1 Propósito</w:t>
      </w:r>
    </w:p>
    <w:p>
      <w:pPr>
        <w:spacing w:after="120"/>
      </w:pPr>
      <w:r>
        <w:rPr>
          <w:sz w:val="20"/>
          <w:szCs w:val="20"/>
        </w:rPr>
        <w:t xml:space="preserve">Este documento descreve a arquitetura de software do Sistema de Controle de Estoque (SCE). Serve como referência técnica para a equipe de desenvolvimento durante toda a implementação, estabelecendo decisões arquiteturais, estrutura de módulos, modelo de dados e visão de implantação.</w:t>
      </w:r>
    </w:p>
    <w:p>
      <w:pPr>
        <w:pStyle w:val="Heading2"/>
        <w:spacing w:after="140" w:before="280"/>
      </w:pPr>
      <w:r>
        <w:t xml:space="preserve">1.2 Escopo</w:t>
      </w:r>
    </w:p>
    <w:p>
      <w:pPr>
        <w:spacing w:after="120"/>
      </w:pPr>
      <w:r>
        <w:rPr>
          <w:sz w:val="20"/>
          <w:szCs w:val="20"/>
        </w:rPr>
        <w:t xml:space="preserve">O DAS cobre a arquitetura interna do SCE: estilo arquitetural, tecnologias adotadas, organização em módulos, diagramas de componentes e sequência, modelo de dados MySQL e topologia de implantação em rede local. A versão 1.4 estende o escopo para incluir o módulo de patrimônio (MOD-07) e o serviço HTTP interno que ele introduz.</w:t>
      </w:r>
    </w:p>
    <w:p>
      <w:pPr>
        <w:pStyle w:val="Heading2"/>
        <w:spacing w:after="140" w:before="280"/>
      </w:pPr>
      <w:r>
        <w:t xml:space="preserve">1.3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ERS-001 v1.7 — Especificação de Requisitos de Software do SCE (inclui MOD-07)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SWEBOK v4.0 — Guide to the Software Engineering Body of Knowledge, IEEE,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IEEE Std 1471-2000 — Recommended Practice for Architectural Description</w:t>
      </w:r>
    </w:p>
    <w:p>
      <w:pPr>
        <w:pStyle w:val="Heading1"/>
        <w:spacing w:after="140" w:before="280"/>
      </w:pPr>
      <w:r>
        <w:t xml:space="preserve">2. Visão geral da arquitetura</w:t>
      </w:r>
    </w:p>
    <w:p>
      <w:pPr>
        <w:pStyle w:val="Heading2"/>
        <w:spacing w:after="140" w:before="280"/>
      </w:pPr>
      <w:r>
        <w:t xml:space="preserve">2.1 Estilo arquitetural</w:t>
      </w:r>
    </w:p>
    <w:p>
      <w:pPr>
        <w:spacing w:after="120"/>
      </w:pPr>
      <w:r>
        <w:rPr>
          <w:sz w:val="20"/>
          <w:szCs w:val="20"/>
        </w:rPr>
        <w:t xml:space="preserve">O SCE adota o estilo monólito modular: um processo de aplicação desktop, organizado internamente em sete módulos com responsabilidades e interfaces bem delimitadas. A escolha é justificada pelo perfil do sistema: volume pequeno de dados, número reduzido de usuários simultâneos, implantação em rede local e necessidade de manutenção simples pelo TI.</w:t>
      </w:r>
    </w:p>
    <w:p>
      <w:pPr>
        <w:spacing w:after="120"/>
      </w:pPr>
      <w:r>
        <w:rPr>
          <w:sz w:val="20"/>
          <w:szCs w:val="20"/>
        </w:rPr>
        <w:t xml:space="preserve">A versão 1.4 introduz a primeira exceção controlada a esse estilo: o MOD-07 possui, além da interface desktop, um processo auxiliar headless — o serviço HTTP de coleta — executado no host do servidor MySQL. Não se trata de adoção de microsserviços: o processo auxiliar compartilha a mesma base de código, os mesmos serviços de negócio e o mesmo banco, e existe apenas porque dispositivos móveis não executam a aplicação desktop.</w:t>
      </w:r>
    </w:p>
    <w:p>
      <w:pPr>
        <w:pStyle w:val="Heading2"/>
        <w:spacing w:after="140" w:before="280"/>
      </w:pPr>
      <w:r>
        <w:t xml:space="preserve">2.2 Camadas da arquitetura</w:t>
      </w:r>
    </w:p>
    <w:p>
      <w:pPr>
        <w:spacing w:after="120"/>
      </w:pPr>
      <w:r>
        <w:rPr>
          <w:sz w:val="20"/>
          <w:szCs w:val="20"/>
        </w:rPr>
        <w:t xml:space="preserve">A arquitetura está organizada em quatro camadas verticais com dependência unidirecional — cada camada acessa somente a camada imediatamente abaixo: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Apresentação: interface gráfica CustomTkinter e, a partir da v1.4, as páginas HTML servidas pelo serviço de coleta. Recebem eventos do usuário e exibem dados. Nunca acessam o banco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Aplicação: serviços de negócio (EstoqueService, RelatorioService, NotificacaoService, AuthService, PatrimonioService, InventarioService). Implementa os casos de uso da 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Infraestrutura: adaptadores externos — repositórios ORM (SQLAlchemy), NFeParser (lxml), DanfeEntryAssistant (webbrowser stdlib), cliente SMTP Gmail (smtplib), scheduler (APScheduler), EtiquetaBuilder e ColetaWebService.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Dados: banco MySQL Server centralizado em rede local, acessível por todas as estações via pool de conexões.</w:t>
      </w:r>
    </w:p>
    <w:p>
      <w:pPr>
        <w:spacing w:after="120"/>
      </w:pPr>
      <w:r>
        <w:rPr>
          <w:sz w:val="20"/>
          <w:szCs w:val="20"/>
        </w:rPr>
        <w:t xml:space="preserve">A regra de camadas se aplica integralmente ao serviço HTTP: as rotas web são camada de apresentação e chamam InventarioService, jamais repositórios.</w:t>
      </w:r>
    </w:p>
    <w:p>
      <w:pPr>
        <w:pStyle w:val="Heading2"/>
        <w:spacing w:after="140" w:before="280"/>
      </w:pPr>
      <w:r>
        <w:t xml:space="preserve">2.3 Superfícies de interação (novo — v1.4)</w:t>
      </w:r>
    </w:p>
    <w:p>
      <w:pPr>
        <w:spacing w:after="120"/>
      </w:pPr>
      <w:r>
        <w:rPr>
          <w:sz w:val="20"/>
          <w:szCs w:val="20"/>
        </w:rPr>
        <w:t xml:space="preserve">O SCE passa a ter três superfícies distintas, com capacidades diferentes: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326"/>
      </w:tblGrid>
      <w:tr>
        <w:trPr>
          <w:tblHeader/>
        </w:trPr>
        <w:tc>
          <w:tcPr>
            <w:tcW w:type="dxa" w:w="23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Superfície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Executada em</w:t>
            </w:r>
          </w:p>
        </w:tc>
        <w:tc>
          <w:tcPr>
            <w:tcW w:type="dxa" w:w="43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Capacidades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Aplicação desktop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Estações Windows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Todas as funcionalidades do sistema</w:t>
            </w:r>
          </w:p>
        </w:tc>
      </w:tr>
      <w:tr>
        <w:tc>
          <w:tcPr>
            <w:tcW w:type="dxa" w:w="2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HTTP de coleta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Host do MySQL, headless</w:t>
            </w:r>
          </w:p>
        </w:tc>
        <w:tc>
          <w:tcPr>
            <w:tcW w:type="dxa" w:w="43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de bem por tombo e registro de leitura em sessão pareada</w:t>
            </w:r>
          </w:p>
        </w:tc>
      </w:tr>
      <w:tr>
        <w:tc>
          <w:tcPr>
            <w:tcW w:type="dxa" w:w="2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Página móvel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Navegador do dispositivo</w:t>
            </w:r>
          </w:p>
        </w:tc>
        <w:tc>
          <w:tcPr>
            <w:tcW w:type="dxa" w:w="43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somente leitura e, se pareado, registro de leitura</w:t>
            </w:r>
          </w:p>
        </w:tc>
      </w:tr>
    </w:tbl>
    <w:p>
      <w:pPr>
        <w:pStyle w:val="Heading1"/>
        <w:spacing w:after="140" w:before="280"/>
      </w:pPr>
      <w:r>
        <w:t xml:space="preserve">3. Decisões arquiteturais</w:t>
      </w:r>
    </w:p>
    <w:p>
      <w:pPr>
        <w:spacing w:after="120"/>
      </w:pPr>
      <w:r>
        <w:rPr>
          <w:sz w:val="20"/>
          <w:szCs w:val="20"/>
        </w:rPr>
        <w:t xml:space="preserve">Linhas destacadas indicam decisões novas na versão 1.4.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900"/>
        <w:gridCol w:w="4926"/>
      </w:tblGrid>
      <w:tr>
        <w:trPr>
          <w:tblHeader/>
        </w:trPr>
        <w:tc>
          <w:tcPr>
            <w:tcW w:type="dxa" w:w="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Decisão</w:t>
            </w:r>
          </w:p>
        </w:tc>
        <w:tc>
          <w:tcPr>
            <w:tcW w:type="dxa" w:w="1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Escolha</w:t>
            </w:r>
          </w:p>
        </w:tc>
        <w:tc>
          <w:tcPr>
            <w:tcW w:type="dxa" w:w="49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Estilo arquitetural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Monólito modular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enxuta, volume pequeno, implantação simples.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Linguagem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Python 3.12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Ecossistema completo para GUI, XLSX, XML, SMTP e scheduler.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CustomTkinter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Desktop Windows nativo, embutido no instalador via PyInstaller.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 Server 8.x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Concorrência multi-usuário com InnoDB.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2.0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Isola SQL da lógica de negócio.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APScheduler 3.x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Roda in-process, sem daemon externo.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Planilhas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OpenPyXL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nativa de .xlsx sem depender do Excel instalado.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E-mail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smtplib + Gmail SMTP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Módulo stdlib. Gmail SMTP com App Password.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 senhas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bcrypt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 com salt, resistente a ataques de dicionário.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 credenciais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cryptography (Fernet)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AES-128 para App Password armazenado em disco.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Empacotamento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PyInstaller + Inno Setup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Executável autocontido sem Python na estação.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ao portal SEFAZ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Browser externo, sem scraping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CAPTCHA humano obrigatório. Automação descartada por violação dos Termos de Uso, risco legal e fragilidade técnica.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AD-13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Domínio do patrimônio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Módulo próprio (MOD-07), sem reuso de produto/lote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patrimonial e produto divergem em identidade (unitária × fungível), ciclo de vida (plurianual × consumo) e regra temporal (sem validade × FEFO). Reusar as tabelas de estoque exigiria colunas nulas e ENUMs sobrecarregados, contaminando o MOD-02.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AD-14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de coleta móvel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Flask + Waitress, processo headless no host do MySQL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Dispositivos móveis não executam a aplicação desktop. Waitress é servidor WSGI puro-Python, sem dependência de compilação, adequado ao volume (poucas requisições por minuto). Compartilha a base de código e os serviços do SCE.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AD-15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Payload do QR Code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 apontando para o serviço de coleta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Navegadores móveis restringem o acesso à câmera a contextos seguros (HTTPS ou localhost), inviabilizando leitura de QR pela página em HTTP na rede local. A URL é lida pela câmera nativa do sistema operacional, que não tem essa restrição. Efeitos colaterais favoráveis: dados exibidos sempre atualizados e QR menor (versão 3 em vez de 6).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AD-16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Autorização da coleta móvel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 opaco de pareamento em cookie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Leitura de consulta é aberta na rede interna; escrita exige token vinculado a sessão, localização e operador. Evita autenticação por senha em teclado de celular durante a operação em campo, sem abrir mão de rastreabilidade.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AD-17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de etiquetas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Definição única de layout em milímetros, três renderizadores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ZPL por rede, ZPL por cabo (spooler RAW) e arquivo vetorial compartilham o mesmo dicionário de posições. Garante equivalência dimensional entre a etiqueta térmica e o arquivo enviado à gráfica ou à gravação de plaqueta.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AD-18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Simbologia da etiqueta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Code e Code 128 na mesma etiqueta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QR atende ao dispositivo móvel; o Code 128 atende ao leitor 1D já existente na clínica. A etiqueta de 100 × 50 mm comporta ambos com folga, eliminando a dependência de compra de leitor 2D.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AD-19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Escopo da sessão de inventário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 materializado na abertura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Gravar os itens esperados na abertura torna a RN-13 verificável, permite calcular não localizados por ausência de leitura e viabiliza retomada da coleta sem estado em memória. Custo: uma inserção em lote na abertura.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AD-20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Evolução do schema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Migrações versionadas em arquivo, models.py como fonte de verdade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Responde a débito técnico conhecido: alterações aplicadas diretamente em produção divergiram do modelo ORM. Nenhuma alteração de schema do MOD-07 será aplicada manualmente no servidor.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AD-21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Endereçamento do serviço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 fixo reservado, registrado em configuracao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endereço do serviço é gravado dentro de cada QR impresso. Nome DNS interno foi avaliado e descartado por ausência de servidor DNS na rede da clínica. Mitigação em R-08.</w:t>
            </w:r>
          </w:p>
        </w:tc>
      </w:tr>
    </w:tbl>
    <w:p>
      <w:pPr>
        <w:pStyle w:val="Heading1"/>
        <w:spacing w:after="140" w:before="280"/>
      </w:pPr>
      <w:r>
        <w:t xml:space="preserve">4. Módulos do sistema</w:t>
      </w:r>
    </w:p>
    <w:p>
      <w:pPr>
        <w:pStyle w:val="Heading2"/>
        <w:spacing w:after="140" w:before="280"/>
      </w:pPr>
      <w:r>
        <w:t xml:space="preserve">4.1 Visão geral dos módulos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400"/>
        <w:gridCol w:w="2700"/>
        <w:gridCol w:w="1626"/>
      </w:tblGrid>
      <w:tr>
        <w:trPr>
          <w:tblHeader/>
        </w:trPr>
        <w:tc>
          <w:tcPr>
            <w:tcW w:type="dxa" w:w="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Componentes</w:t>
            </w:r>
          </w:p>
        </w:tc>
        <w:tc>
          <w:tcPr>
            <w:tcW w:type="dxa" w:w="16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Autenticação e acesso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Login, sessão, perfis e permissões por tela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AuthService, SessionManager, PermissionGuard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Estoque e produtos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Cadastro, entradas (manual / XML / DANFE), retiradas FEFO, consulta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EstoqueService, FEFOSelector, NFeParser, DanfeEntryAssistant, Repos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Relatórios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XLSX sob demanda e agendada, envio por e-mail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RelatorioService, XlsxBuilder, AgendamentoConfig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Notificações e e-mail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Alertas de vencimento/estoque, envio de relatórios, scheduler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NotificacaoService, GmailClient, Scheduler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Usuários, backup, log, configuração do Gmail e parâmetros do sistema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UsuarioService, BackupManager, LogViewer, ConfigService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Dados (infra)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Único ponto de acesso ao MySQL. Repositórios e transações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DatabaseEngine, todos os Repos, pool de conexões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 Server</w:t>
            </w:r>
          </w:p>
        </w:tc>
      </w:tr>
      <w:tr>
        <w:tc>
          <w:tcPr>
            <w:tcW w:type="dxa" w:w="8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MOD-07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Patrimônio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Bens permanentes: cadastro, etiquetagem, movimentação, baixa e sessões de inventário</w:t>
            </w:r>
          </w:p>
        </w:tc>
        <w:tc>
          <w:tcPr>
            <w:tcW w:type="dxa" w:w="2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PatrimonioService, InventarioService, TomboGenerator, EtiquetaBuilder, ColetaWebService, Repos</w:t>
            </w:r>
          </w:p>
        </w:tc>
        <w:tc>
          <w:tcPr>
            <w:tcW w:type="dxa" w:w="16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MOD-03, MOD-05</w:t>
            </w:r>
          </w:p>
        </w:tc>
      </w:tr>
    </w:tbl>
    <w:p>
      <w:pPr>
        <w:pStyle w:val="Heading2"/>
        <w:spacing w:after="140" w:before="280"/>
      </w:pPr>
      <w:r>
        <w:t xml:space="preserve">4.2 Regras de dependência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MOD-06 é o único módulo que acessa o banco de dados. Nenhum outro módulo escreve SQL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MOD-04 é o único módulo que acessa o Gmail SMTP.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MOD-02 não envia e-mails diretamente. Ao detectar estoque baixo, publica evento processado por MOD-04.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GUI instancia e chama os serviços dos módulos MOD-01 a MOD-05 e MOD-07. Nunca instancia componentes de MOD-06.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MOD-07 não depende de MOD-02 e não compartilha entidades com ele. A separação é deliberada (AD-13).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MOD-07 consome MOD-03 para geração de XLSX e MOD-05 para leitura de parâmetros de configuração.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serviço HTTP de coleta é camada de apresentação: chama InventarioService e PatrimonioService, nunca repositórios.</w:t>
      </w:r>
    </w:p>
    <w:p>
      <w:pPr>
        <w:pStyle w:val="Heading2"/>
        <w:spacing w:after="140" w:before="280"/>
      </w:pPr>
      <w:r>
        <w:t xml:space="preserve">4.3 Componente DanfeEntryAssistant (v1.3)</w:t>
      </w:r>
    </w:p>
    <w:p>
      <w:pPr>
        <w:spacing w:after="120"/>
      </w:pPr>
      <w:r>
        <w:rPr>
          <w:sz w:val="20"/>
          <w:szCs w:val="20"/>
        </w:rPr>
        <w:t xml:space="preserve">Componente leve dentro de MOD-02, responsável pelo fluxo RF-04b: recebe a chave de acesso de 44 dígitos lida pelo leitor, valida formato e dígito verificador, extrai o número da NF, monta a URL do portal SEFAZ e a abre no navegador padrão via webbrowser.open(). Não realiza scraping nem automação de CAPTCHA, e não requer biblioteca adicional.</w:t>
      </w:r>
    </w:p>
    <w:p>
      <w:pPr>
        <w:pStyle w:val="Heading2"/>
        <w:spacing w:after="140" w:before="280"/>
      </w:pPr>
      <w:r>
        <w:t xml:space="preserve">4.4 Componentes do MOD-07 (novo — v1.4)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69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PatrimonioService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Cadastro, edição, movimentação e baixa de bens. Único ponto de escrita sobre bem_patrimonial e movimentacao_bem. Aplica RN-09 a RN-12.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Ciclo de vida da sessão: abertura com snapshot, registro de leitura, classificação de divergência, fechamento com ajustes. Aplica RN-13 a RN-16, RN-18 e RN-20.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TomboGenerator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Emissão do número de tombo conforme máscara configurável, em transação com bloqueio de linha para garantir unicidade sob concorrência.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EtiquetaBuilder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Composição da etiqueta a partir da definição única de layout em milímetros. Expõe três renderizadores: ZPL, arquivo vetorial individual e folha A4 com marcas de corte.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ColetaWebService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Processo headless. Serve a página de consulta, o endpoint de pareamento e o endpoint de registro de leitura. Não contém regra de negócio própria — delega a InventarioService.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BemRepo, InventarioRepo, LocalizacaoRepo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Acesso a dados via MOD-06, com expunge_all() antes de devolver objetos para fora da sessão.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Dependências novas em requirements.txt: segno (QR Code), python-barcode (Code 128), flask e waitress (serviço HTTP), reportlab (folha A4 com marcas de corte), pywin32 (envio RAW ao spooler do Windows).</w:t>
      </w:r>
    </w:p>
    <w:p>
      <w:pPr>
        <w:pStyle w:val="Heading2"/>
        <w:spacing w:after="140" w:before="280"/>
      </w:pPr>
      <w:r>
        <w:t xml:space="preserve">4.5 Estrutura de pacotes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sce/Modulo_01_autenticacao/ — autenticação e controle de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sce/Modulo_02_estoque/ — produtos, lotes, entradas e retiradas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sce/Modulo_03_relatorios/ — geração e agendamento de relatórios 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sce/Modulo_04_notificacoes/ — alertas por e-mail e scheduler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sce/Modulo_05_admin/ — usuários, backup, log e configurações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sce/Modulo_06_dados/ — repositórios SQLAlchemy e engine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sce/Modulo_07_patrimonio/ — bens, etiquetas, inventário e serviço de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sce/gui/ — telas e componentes CustomTkinter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sce/main.py — ponto de entrada da aplicação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sce/servico_patrimonio.py — ponto de entrada do serviço HTTP headless</w:t>
      </w:r>
    </w:p>
    <w:p>
      <w:pPr>
        <w:spacing w:after="120"/>
      </w:pPr>
      <w:r>
        <w:rPr>
          <w:sz w:val="20"/>
          <w:szCs w:val="20"/>
        </w:rPr>
        <w:t xml:space="preserve">Telas do MOD-07: T-23 (lista de bens, com seleção múltipla para etiquetas), T-24 (cadastro e edição), T-25 (movimentação e baixa), T-26 (inventário em fluxo único de três estágios) e T-27 (relatórios de patrimônio).</w:t>
      </w:r>
    </w:p>
    <w:p>
      <w:pPr>
        <w:pStyle w:val="Heading1"/>
        <w:spacing w:after="140" w:before="280"/>
      </w:pPr>
      <w:r>
        <w:t xml:space="preserve">5. Diagramas de sequência</w:t>
      </w:r>
    </w:p>
    <w:p>
      <w:pPr>
        <w:pStyle w:val="Heading2"/>
        <w:spacing w:after="140" w:before="280"/>
      </w:pPr>
      <w:r>
        <w:t xml:space="preserve">5.1 Retirada multi-lote com FEFO (v2)</w:t>
      </w:r>
    </w:p>
    <w:p>
      <w:pPr>
        <w:spacing w:after="120"/>
      </w:pPr>
      <w:r>
        <w:rPr>
          <w:sz w:val="20"/>
          <w:szCs w:val="20"/>
        </w:rPr>
        <w:t xml:space="preserve">O FEFOSelector busca os lotes ativos ordenados por vencimento e distribui a quantidade solicitada, retornando o plano de consumo antes de qualquer escrita. O plano é exibido ao Técnico antes da confirmação. Todos os registros de saída são gravados na mesma transação InnoDB — falha em qualquer lote causa rollback total. A verificação de estoque mínimo ocorre após o commit, sobre o saldo total do produto, e o alerta ao MOD-04 é assíncrono.</w:t>
      </w:r>
    </w:p>
    <w:p>
      <w:pPr>
        <w:pStyle w:val="Heading2"/>
        <w:spacing w:after="140" w:before="280"/>
      </w:pPr>
      <w:r>
        <w:t xml:space="preserve">5.2 Scheduler diário de notificações</w:t>
      </w:r>
    </w:p>
    <w:p>
      <w:pPr>
        <w:spacing w:after="120"/>
      </w:pPr>
      <w:r>
        <w:rPr>
          <w:sz w:val="20"/>
          <w:szCs w:val="20"/>
        </w:rPr>
        <w:t xml:space="preserve">Iniciado pelo APScheduler no horário configurado. O job itera pelos marcos de 15, 7 e 2 dias e lotes vencidos, verificando duplicidade via notificacao_log antes de cada envio. O job_log é gravado independentemente do resultado.</w:t>
      </w:r>
    </w:p>
    <w:p>
      <w:pPr>
        <w:pStyle w:val="Heading2"/>
        <w:spacing w:after="140" w:before="280"/>
      </w:pPr>
      <w:r>
        <w:t xml:space="preserve">5.3 Entrada via chave de acesso DANFE (RF-04b)</w:t>
      </w:r>
    </w:p>
    <w:p>
      <w:pPr>
        <w:spacing w:after="120"/>
      </w:pPr>
      <w:r>
        <w:rPr>
          <w:sz w:val="20"/>
          <w:szCs w:val="20"/>
        </w:rPr>
        <w:t xml:space="preserve">O Técnico lê a chave com o leitor USB; o DanfeEntryAssistant valida o formato, extrai o número da NF e abre o portal SEFAZ no navegador. O Técnico resolve o CAPTCHA externamente e retorna ao SCE para preencher os campos do lote. Ponto arquitetural relevante: a chave de acesso não trafega para fora do processo SCE via HTTP — o único acesso externo é a abertura do browser pelo sistema operacional.</w:t>
      </w:r>
    </w:p>
    <w:p>
      <w:pPr>
        <w:pStyle w:val="Heading2"/>
        <w:spacing w:after="140" w:before="280"/>
      </w:pPr>
      <w:r>
        <w:t xml:space="preserve">5.4 Dashboard T-22</w:t>
      </w:r>
    </w:p>
    <w:p>
      <w:pPr>
        <w:spacing w:after="120"/>
      </w:pPr>
      <w:r>
        <w:rPr>
          <w:sz w:val="20"/>
          <w:szCs w:val="20"/>
        </w:rPr>
        <w:t xml:space="preserve">Query de leitura periódica ao MOD-06 em intervalo configurável, via job APScheduler in-process. A situação de cada lote é calculada em tempo real pela query, sem coluna persistida. Exibe timestamp da última atualização e indicador de conectividade (mitigação de R-06).</w:t>
      </w:r>
    </w:p>
    <w:p>
      <w:pPr>
        <w:pStyle w:val="Heading2"/>
        <w:spacing w:after="140" w:before="280"/>
      </w:pPr>
      <w:r>
        <w:t xml:space="preserve">5.5 Coleta de inventário por dispositivo pareado (novo — v1.4)</w:t>
      </w:r>
    </w:p>
    <w:p>
      <w:pPr>
        <w:spacing w:after="120"/>
      </w:pPr>
      <w:r>
        <w:rPr>
          <w:sz w:val="20"/>
          <w:szCs w:val="20"/>
        </w:rPr>
        <w:t xml:space="preserve">Participantes: Técnico com dispositivo móvel, câmera nativa do sistema operacional, navegador móvel, ColetaWebService (host do MySQL), InventarioService, MOD-06.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GUI (T-26, estágio de coleta) exibe o QR de pareamento após o Técnico escolher a sessão e a localização em conferência.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InventarioService cria a linha em coleta_token com sessão, localização, operador e prazo de expiração.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câmera nativa lê o QR de pareamento e abre a URL no navegador móvel. O ColetaWebService valida o token e grava o cookie de sessão de coleta no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Técnico lê a etiqueta do bem com a câmera nativa; o navegador abre a URL do payload com o cookie já presente.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ColetaWebService resolve o tombo e delega a InventarioService.registrar_leitura(tombo, token).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InventarioService aplica a árvore de decisão da ERS §3.2 e classifica: encontrado, divergente de local, sobra fora de escopo ou sobra não cadastrada. Se o bem pertencer a outra sessão aberta, aplica RN-18 gravando divergência também na sessão de origem.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gravação ocorre em transação única. A restrição UNIQUE (inventario_id, bem_id) assegura a idempotência exigida por RN-20 sob leituras simultâneas de dois dispositivos.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página móvel retorna a classificação com realimentação visual, e o contador de progresso da T-26 é atualizado na próxima consulta periódica.</w:t>
      </w:r>
    </w:p>
    <w:p>
      <w:pPr>
        <w:spacing w:after="120"/>
      </w:pPr>
      <w:r>
        <w:rPr>
          <w:sz w:val="20"/>
          <w:szCs w:val="20"/>
        </w:rPr>
        <w:t xml:space="preserve">Pontos arquiteturalmente relevantes: (a) nenhuma regra de negócio reside na camada web — o mesmo InventarioService atende leitor USB, digitação e dispositivo móvel; (b) o estado da coleta vive integralmente em inventario_item, o que satisfaz RNF-18 e permite retomada após queda de rede ou fechamento da aplicação; (c) a escrita exige token válido, enquanto a consulta permanece aberta na rede interna (AD-16).</w:t>
      </w:r>
    </w:p>
    <w:p>
      <w:pPr>
        <w:pStyle w:val="Heading2"/>
        <w:spacing w:after="140" w:before="280"/>
      </w:pPr>
      <w:r>
        <w:t xml:space="preserve">5.6 Geração e emissão de etiquetas (novo — v1.4)</w:t>
      </w:r>
    </w:p>
    <w:p>
      <w:pPr>
        <w:spacing w:after="120"/>
      </w:pPr>
      <w:r>
        <w:rPr>
          <w:sz w:val="20"/>
          <w:szCs w:val="20"/>
        </w:rPr>
        <w:t xml:space="preserve">O Técnico seleciona um ou mais bens em T-23 e escolhe a saída. O EtiquetaBuilder resolve o payload de cada bem a partir do host e porta registrados em configuracao, gera a matriz do QR e os módulos do Code 128, e aplica a definição única de layout. A partir daí: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em rede: comandos ZPL enviados por socket TCP à impressora, sem driver instalado na estação.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por cabo: mesmos comandos ZPL enviados ao spooler do Windows em modo RAW, pela fila USB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em arquivo: arquivo vetorial individual de 100 × 50 mm ou folha A4 com grade e marcas de corte, para gráfica ou gravação de plaqueta.</w:t>
      </w:r>
    </w:p>
    <w:p>
      <w:pPr>
        <w:spacing w:after="120"/>
      </w:pPr>
      <w:r>
        <w:rPr>
          <w:sz w:val="20"/>
          <w:szCs w:val="20"/>
        </w:rPr>
        <w:t xml:space="preserve">O dimensionamento dos símbolos é calibrado para 203 dpi: módulo do QR de 1,000 mm (8 pontos) e módulo do Code 128 de 0,375 mm (3 pontos). Módulos em número inteiro de pontos evitam arredondamento linha a linha, causa frequente de código intermitente na leitura (RNF-15).</w:t>
      </w:r>
    </w:p>
    <w:p>
      <w:pPr>
        <w:pStyle w:val="Heading2"/>
        <w:spacing w:after="140" w:before="280"/>
      </w:pPr>
      <w:r>
        <w:t xml:space="preserve">5.7 Abertura e fechamento de sessão (novo — v1.4)</w:t>
      </w:r>
    </w:p>
    <w:p>
      <w:pPr>
        <w:spacing w:after="120"/>
      </w:pPr>
      <w:r>
        <w:rPr>
          <w:sz w:val="20"/>
          <w:szCs w:val="20"/>
        </w:rPr>
        <w:t xml:space="preserve">Na abertura, InventarioService verifica a inexistência de sessão com escopo sobreposto (RN-16), cria a linha em inventario e insere em lote os registros de inventario_item correspondentes ao snapshot, todos em situação pendente. Bens baixados são excluídos do snapshot.</w:t>
      </w:r>
    </w:p>
    <w:p>
      <w:pPr>
        <w:spacing w:after="120"/>
      </w:pPr>
      <w:r>
        <w:rPr>
          <w:sz w:val="20"/>
          <w:szCs w:val="20"/>
        </w:rPr>
        <w:t xml:space="preserve">No fechamento, o serviço consolida os itens por classificação, apresenta as divergências e aguarda decisão. Somente os ajustes confirmados geram movimentação do tipo ajuste_inventario, vinculada ao identificador da sessão (RN-14). Itens ainda pendentes passam a não localizado e os bens correspondentes assumem situação em apuração (RN-15). Ao final, todos os tokens de pareamento da sessão são revogados (RN-19) e o relatório XLSX é gerado via MOD-03.</w:t>
      </w:r>
    </w:p>
    <w:p>
      <w:pPr>
        <w:pStyle w:val="Heading1"/>
        <w:spacing w:after="140" w:before="280"/>
      </w:pPr>
      <w:r>
        <w:t xml:space="preserve">6. Modelo de dados</w:t>
      </w:r>
    </w:p>
    <w:p>
      <w:pPr>
        <w:pStyle w:val="Heading2"/>
        <w:spacing w:after="140" w:before="280"/>
      </w:pPr>
      <w:r>
        <w:t xml:space="preserve">6.1 Banco de dados</w:t>
      </w:r>
    </w:p>
    <w:p>
      <w:pPr>
        <w:spacing w:after="120"/>
      </w:pPr>
      <w:r>
        <w:rPr>
          <w:sz w:val="20"/>
          <w:szCs w:val="20"/>
        </w:rPr>
        <w:t xml:space="preserve">O SCE utiliza MySQL Server 8.x com engine InnoDB em todas as tabelas, charset utf8mb4. O banco é centralizado em servidor de rede local, acessível por todas as estações e pelo serviço de coleta via pool de conexões gerenciado pelo SQLAlchemy (MOD-06).</w:t>
      </w:r>
    </w:p>
    <w:p>
      <w:pPr>
        <w:pStyle w:val="Heading2"/>
        <w:spacing w:after="140" w:before="280"/>
      </w:pPr>
      <w:r>
        <w:t xml:space="preserve">6.2 Tabelas existentes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226"/>
      </w:tblGrid>
      <w:tr>
        <w:trPr>
          <w:tblHeader/>
        </w:trPr>
        <w:tc>
          <w:tcPr>
            <w:tcW w:type="dxa" w:w="1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1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Módulo dono</w:t>
            </w:r>
          </w:p>
        </w:tc>
        <w:tc>
          <w:tcPr>
            <w:tcW w:type="dxa" w:w="62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Principais colunas e observações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fornecedor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nome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MOD-01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nome, login, senha_hash (bcrypt), perfil (ENUM), ativo, criado_em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fornecedor_id, nome, descricao, ean (UNIQUE), unidade_estoque, marca, centro_alocacao, estoque_minimo, ativo, criado_em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produto_id, num_lote, nota_fiscal, chave_acesso, data_fabricacao, data_vencimento, quantidade_inicial, quantidade_atual, valor_unitario, valor_total, criado_em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movimentacao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lote_id, usuario_id, tipo (ENUM), quantidade, numero_nf, observacao, data_hora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notificacao_log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lote_id, tipo_alerta (ENUM), enviado_em, sucesso, erro_msg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job_log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job_nome, executado_em, sucesso, detalhe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configuracao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MOD-05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chave (UNIQUE), valor, atualizado_em, atualizado_por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relatorio_agendamento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MOD-03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tipo_relatorio (ENUM), habilitado, periodicidade, horario, ultimo_envio</w:t>
            </w:r>
          </w:p>
        </w:tc>
      </w:tr>
    </w:tbl>
    <w:p>
      <w:pPr>
        <w:pStyle w:val="Heading2"/>
        <w:spacing w:after="140" w:before="280"/>
      </w:pPr>
      <w:r>
        <w:t xml:space="preserve">6.3 Tabelas do MOD-07 (novo — v1.4)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71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Principais colunas e observações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localizacao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setor, sala, descricao, ativo. UNIQUE (setor, sala). Cadastrada previamente; serve como lotação do bem e como escopo de sessão.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bem_patrimonial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tombo (UNIQUE), descricao, marca_modelo, data_aquisicao (NULL), valor_aquisicao (NULL), nota_fiscal (NULL), localizacao_id, situacao (ENUM: ativo / em_apuracao / baixado), observacao, criado_em, criado_por. Índices: (localizacao_id, situacao).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movimentacao_bem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bem_id, tipo (ENUM: cadastro / transferencia / ajuste_inventario / baixa), localizacao_origem_id, localizacao_destino_id, inventario_id (NULL), motivo, usuario_id, data_hora. Tabela somente incremental (RN-11).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baixa_bem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bem_id (UNIQUE), motivo (ENUM: descarte / doacao / venda / extravio / obsolescencia / sinistro), documento, data_baixa, observacao, usuario_id, registrado_em.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descricao, escopo (ENUM: geral / localizacao), localizacao_id (NULL), status (ENUM: aberto / finalizado / cancelado), aberto_em, aberto_por, finalizado_em, finalizado_por.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inventario_item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inventario_id, bem_id, localizacao_esperada_id, status (ENUM: pendente / encontrado / divergente_local / nao_localizado), localizacao_encontrada_id (NULL), conferido_em, conferido_por, observacao. UNIQUE (inventario_id, bem_id) — garante RN-20.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inventario_sobra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inventario_id, codigo_lido, tipo (ENUM: fora_escopo / nao_cadastrado), localizacao_id, descricao_livre, registrado_em, registrado_por. Separada de inventario_item porque a sobra pode não ter bem_id.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coleta_token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token (UNIQUE), inventario_id, localizacao_conferida_id, usuario_id, dispositivo_label, criado_em, expira_em, revogado. Uma linha por dispositivo pareado.</w:t>
            </w:r>
          </w:p>
        </w:tc>
      </w:tr>
    </w:tbl>
    <w:p>
      <w:pPr>
        <w:pStyle w:val="Heading2"/>
        <w:spacing w:after="140" w:before="280"/>
      </w:pPr>
      <w:r>
        <w:t xml:space="preserve">6.4 Decisões de design do banco (MOD-07)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Nenhuma chave estrangeira liga bem_patrimonial a produto ou lote. A separação de domínios (AD-13) é explícita no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tabela inventario_item é materializada na abertura da sessão (AD-19). O status não localizado resulta da ausência de leitura até o fechamento, não de comparação tardia.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restrição UNIQUE (inventario_id, bem_id) é o mecanismo que garante a idempotência da leitura sob concorrência de dispositivos — não há verificação em memória.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inventario_sobra não possui bem_id: o código lido pode pertencer a outra localização ou não existir no cadastro. Unificar as duas tabelas exigiria FK nula e status sobrecarregado.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emissão do tombo ocorre em transação com bloqueio da linha de configuracao que guarda a sequência, evitando colisão entre estações. A máscara é lida da mesma tabela.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baixa não exclui o registro do bem: altera a situação e grava linha em baixa_bem e em movimentacao_bem (RN-12).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Novas chaves em configuracao: patrimonio_mascara_tombo, patrimonio_sequencia, coleta_host, coleta_porta, etiqueta_impressora_ip, etiqueta_impressora_porta.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Índices recomendados: bem_patrimonial(tombo), bem_patrimonial(localizacao_id, situacao), movimentacao_bem(bem_id, data_hora), inventario_item(inventario_id, status), coleta_token(token).</w:t>
      </w:r>
    </w:p>
    <w:p>
      <w:pPr>
        <w:pStyle w:val="Heading2"/>
        <w:spacing w:after="140" w:before="280"/>
      </w:pPr>
      <w:r>
        <w:t xml:space="preserve">6.5 Política de evolução do schema (AD-20)</w:t>
      </w:r>
    </w:p>
    <w:p>
      <w:pPr>
        <w:spacing w:after="120"/>
      </w:pPr>
      <w:r>
        <w:rPr>
          <w:sz w:val="20"/>
          <w:szCs w:val="20"/>
        </w:rPr>
        <w:t xml:space="preserve">Toda alteração de schema do MOD-07 é entregue como script de migração versionado no repositório, e o models.py é a fonte de verdade do modelo. Nenhuma alteração é aplicada manualmente no servidor de produção. A política responde a débito técnico conhecido do projeto, em que constraint criada diretamente em produção não foi refletida no modelo ORM, gerando divergência silenciosa entre banco e código.</w:t>
      </w:r>
    </w:p>
    <w:p>
      <w:pPr>
        <w:pStyle w:val="Heading1"/>
        <w:spacing w:after="140" w:before="280"/>
      </w:pPr>
      <w:r>
        <w:t xml:space="preserve">7. Visão de implantação</w:t>
      </w:r>
    </w:p>
    <w:p>
      <w:pPr>
        <w:pStyle w:val="Heading2"/>
        <w:spacing w:after="140" w:before="280"/>
      </w:pPr>
      <w:r>
        <w:t xml:space="preserve">7.1 Topologia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Servidor central: máquina com MySQL Server 8.x e, a partir da v1.4, o serviço HTTP de coleta do MOD-07 em execução permanente.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do Técnico: SCE instalado. Cadastros, entradas, retiradas, cadastro de bens e emissão de etiquetas.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da Gestora: SCE instalado. Consultas, relatórios, abertura e fechamento de sessões de inventário.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do TI: SCE instalado + MySQL Workbench. Acesso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Notebook de coleta: SCE instalado, conectado por Wi-Fi, com leitor de código de barras USB. Conduz a coleta em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Dispositivos móveis: navegador padrão, sem instalação. Acessam apenas o serviço de coleta.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Impressora de etiquetas Elgin L42Pro Full: conectada por Ethernet à rede local ou por USB a uma estação.</w:t>
      </w:r>
    </w:p>
    <w:p>
      <w:pPr>
        <w:pStyle w:val="Heading2"/>
        <w:spacing w:after="140" w:before="280"/>
      </w:pPr>
      <w:r>
        <w:t xml:space="preserve">7.2 Requisitos de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Rede local com conectividade estável entre estações e servidor MySQL.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Cobertura Wi-Fi nas áreas da clínica onde haverá coleta por dispositivo móvel.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3306 (MySQL) liberada no firewall do servidor para as estações da rede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do serviço de coleta liberada no firewall do servidor para a rede interna, e somente para 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Endereço IP fixo reservado para o servidor, condição obrigatória do AD-21 — o endereço fica gravado nas etiquetas impressas.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9100 acessível na impressora, quando conectada por Ethernet.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Acesso à internet nas estações do Técnico para Gmail SMTP e portal SEFAZ.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Windows 10 ou superior em todas as estações.</w:t>
      </w:r>
    </w:p>
    <w:p>
      <w:pPr>
        <w:pStyle w:val="Heading2"/>
        <w:spacing w:after="140" w:before="280"/>
      </w:pPr>
      <w:r>
        <w:t xml:space="preserve">7.3 Execução do serviço de coleta</w:t>
      </w:r>
    </w:p>
    <w:p>
      <w:pPr>
        <w:spacing w:after="120"/>
      </w:pPr>
      <w:r>
        <w:rPr>
          <w:sz w:val="20"/>
          <w:szCs w:val="20"/>
        </w:rPr>
        <w:t xml:space="preserve">O serviço é iniciado por ponto de entrada próprio (servico_patrimonio.py), empacotado no mesmo bundle da aplicação. Deve ser registrado para inicialização automática no host do MySQL, de modo a sobreviver a reinicializações do servidor.</w:t>
      </w:r>
    </w:p>
    <w:p>
      <w:pPr>
        <w:spacing w:after="120"/>
      </w:pPr>
      <w:r>
        <w:rPr>
          <w:sz w:val="20"/>
          <w:szCs w:val="20"/>
        </w:rPr>
        <w:t xml:space="preserve">Observação de operação: o projeto já enfrentou falha silenciosa de tarefa agendada no servidor, por resolução incorreta de caminho do interpretador Python. Recomenda-se registrar o serviço com caminho absoluto do executável e verificar a execução efetiva após a instalação, e não apenas o cadastro da tarefa.</w:t>
      </w:r>
    </w:p>
    <w:p>
      <w:pPr>
        <w:pStyle w:val="Heading2"/>
        <w:spacing w:after="140" w:before="280"/>
      </w:pPr>
      <w:r>
        <w:t xml:space="preserve">7.4 Observação sobre o scheduler</w:t>
      </w:r>
    </w:p>
    <w:p>
      <w:pPr>
        <w:spacing w:after="120"/>
      </w:pPr>
      <w:r>
        <w:rPr>
          <w:sz w:val="20"/>
          <w:szCs w:val="20"/>
        </w:rPr>
        <w:t xml:space="preserve">O APScheduler roda dentro do processo da aplicação desktop. Notificações e relatórios agendados só são disparados enquanto o SCE estiver aberto em ao menos uma estação. O serviço de coleta do MOD-07 é independente do scheduler e não executa jobs.</w:t>
      </w:r>
    </w:p>
    <w:p>
      <w:pPr>
        <w:pStyle w:val="Heading1"/>
        <w:spacing w:after="140" w:before="280"/>
      </w:pPr>
      <w:r>
        <w:t xml:space="preserve">8. Riscos arquiteturais e mitigações</w:t>
      </w:r>
    </w:p>
    <w:p>
      <w:pPr>
        <w:spacing w:after="120"/>
      </w:pPr>
      <w:r>
        <w:rPr>
          <w:sz w:val="20"/>
          <w:szCs w:val="20"/>
        </w:rPr>
        <w:t xml:space="preserve">Linhas destacadas indicam riscos novos na versão 1.4.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100"/>
        <w:gridCol w:w="3826"/>
      </w:tblGrid>
      <w:tr>
        <w:trPr>
          <w:tblHeader/>
        </w:trPr>
        <w:tc>
          <w:tcPr>
            <w:tcW w:type="dxa" w:w="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Risco</w:t>
            </w:r>
          </w:p>
        </w:tc>
        <w:tc>
          <w:tcPr>
            <w:tcW w:type="dxa" w:w="2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Impacto</w:t>
            </w:r>
          </w:p>
        </w:tc>
        <w:tc>
          <w:tcPr>
            <w:tcW w:type="dxa" w:w="3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Jobs não disparam com a aplicação fechada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Notificações atrasadas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Documentar no manual; TI configura inicialização automática do SCE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Falha de conexão com MySQL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 indisponível para todos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Pool com retry; TI monitora o serviço MySQL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Falha no envio via Gmail SMTP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Alertas não entregues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job_log registra falha; TI reprocessa manualmente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Password do Gmail expirado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Interrupção de todos os e-mails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 reconfigura credencial; alerta em tela no próximo login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não executado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Perda de dados em caso de falha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manual disponível; TI verifica execução periodicamente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desatualizado por falha de rede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Decisões com dados defasados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 da última atualização e indicador de conexão na T-22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R-07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Portal SEFAZ indisponível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 não consulta dados da NF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Fluxo degradado para entrada manual pura; chave preenchida posteriormente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R-08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Mudança do endereço IP do servidor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Todas as etiquetas impressas deixam de resolver; QR aponta para host inexistente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 fixo reservado no roteador (AD-21); endereço registrado em configuracao e não em código; reimpressão em lote disponível a partir de T-23; número do tombo impresso em texto e Code 128 mantêm a etiqueta utilizável mesmo sem o serviço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R-09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de coleta indisponível durante sessão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Dispositivos móveis não registram leitura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Leitor USB no notebook e digitação do tombo permanecem operantes; estado da coleta preservado em inventario_item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R-10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Ausência de cobertura Wi-Fi em áreas da clínica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por celular inviável nessas áreas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Planejar essas áreas para coleta por notebook com leitor USB; mapear cobertura antes da primeira campanha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R-11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Desbotamento de etiqueta em térmica direta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perde identidade; recuperação só por inventário de eliminação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Adoção de transferência térmica com ribbon resina (pendência AP-16); reimpressão a partir de T-23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R-12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Leitor existente sem capacidade 2D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por leitor de estação inviável com QR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Dupla simbologia na etiqueta (AD-18): Code 128 atende leitores 1D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R-13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Sessão de inventário aberta por período prolongado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 diverge da realidade; movimentações no intervalo geram divergências falsas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 em T-26 para sessões abertas há mais tempo que o parâmetro configurado; recomendação de sessões curtas por localização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2026-08-11T17:15:13.899Z</dcterms:created>
  <dcterms:modified xsi:type="dcterms:W3CDTF">2026-08-11T17:15:13.910Z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