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32"/>
          <w:szCs w:val="32"/>
        </w:rPr>
        <w:t xml:space="preserve">ESPECIFICAÇÃO DE REQUISITOS DE SOFTWARE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Controle de Estoque — SCE</w:t>
      </w:r>
    </w:p>
    <w:p>
      <w:pPr>
        <w:spacing w:after="120"/>
        <w:jc w:val="center"/>
      </w:pPr>
      <w:r>
        <w:rPr>
          <w:b/>
          <w:bCs/>
          <w:sz w:val="26"/>
          <w:szCs w:val="26"/>
        </w:rPr>
        <w:t xml:space="preserve">Módulo de Patrimônio — MOD-07</w:t>
      </w:r>
    </w:p>
    <w:p>
      <w:pPr>
        <w:spacing w:after="240"/>
        <w:jc w:val="center"/>
      </w:pPr>
      <w:r>
        <w:rPr>
          <w:sz w:val="24"/>
          <w:szCs w:val="24"/>
        </w:rPr>
        <w:t xml:space="preserve">ERS-001 · Versão 1.8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Elaborado com base no SWEBOK 4.0 e IEEE 830</w:t>
      </w:r>
    </w:p>
    <w:p>
      <w:pPr>
        <w:spacing w:after="400"/>
        <w:jc w:val="center"/>
      </w:pPr>
      <w:r>
        <w:rPr>
          <w:sz w:val="20"/>
          <w:szCs w:val="20"/>
        </w:rPr>
        <w:t xml:space="preserve">Data: 2026-08-12  ·  Classificação: Confidencial — uso interno</w:t>
      </w:r>
    </w:p>
    <w:p>
      <w:pPr>
        <w:pStyle w:val="Heading2"/>
        <w:spacing w:after="140" w:before="280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200"/>
        <w:gridCol w:w="46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4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1.6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2025-05-07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Adequação do fluxo de entrada de NF à realidade operacional da clínica. Três canais de entrada: XML, chave de acesso DANFE e entrada manual.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1.7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Inclusão do módulo de patrimônio (MOD-07): cadastro de bens patrimoniais, etiquetagem por QR Code, movimentação, baixa e sessões de inventário com coleta assistida. Novos requisitos RF-25 a RF-37, RNF-12 a RNF-18, RE-09 a RE-13 e RN-09 a RN-20. Pendências AP-07 a AP-18 registradas.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2026-08-12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Mudança de escopo solicitada pelos stakeholders após o Sprint 9: histórico de manutenção de bens (RF-38), controle de acesso ao subsistema por permissão explícita (RF-39), tela de localizações (T-28) e baixa com anexo obrigatório em PDF e documentos ambientais (RF-30 revisado). RF-37 revisado. Novas regras RN-21 a RN-24. Pendências AP-20 e AP-21.</w:t>
            </w:r>
          </w:p>
        </w:tc>
      </w:tr>
    </w:tbl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20"/>
      </w:pPr>
      <w:r>
        <w:rPr>
          <w:sz w:val="20"/>
          <w:szCs w:val="20"/>
        </w:rPr>
        <w:t xml:space="preserve">Este documento especifica os requisitos do módulo de patrimônio (MOD-07) do Sistema de Controle de Estoque — SCE. Trata-se de um incremento à ERS-001 v1.6, cujo conteúdo permanece integralmente válido: a numeração de requisitos é contínua e este documento não substitui nem revoga os requisitos RF-01 a RF-24, salvo indicação expressa.</w:t>
      </w:r>
    </w:p>
    <w:p>
      <w:pPr>
        <w:spacing w:after="120"/>
      </w:pPr>
      <w:r>
        <w:rPr>
          <w:sz w:val="20"/>
          <w:szCs w:val="20"/>
        </w:rPr>
        <w:t xml:space="preserve">O MOD-07 atende a uma necessidade distinta do controle de estoque: o registro e a conferência periódica dos bens permanentes da clínica — mobiliário e equipamentos médicos — que não são consumidos, não possuem validade e são identificados unitariamente.</w:t>
      </w:r>
    </w:p>
    <w:p>
      <w:pPr>
        <w:pStyle w:val="Heading2"/>
        <w:spacing w:after="140" w:before="280"/>
      </w:pPr>
      <w:r>
        <w:t xml:space="preserve">1.2 Escopo do incremento</w:t>
      </w:r>
    </w:p>
    <w:p>
      <w:pPr>
        <w:spacing w:after="120"/>
      </w:pPr>
      <w:r>
        <w:rPr>
          <w:sz w:val="20"/>
          <w:szCs w:val="20"/>
        </w:rPr>
        <w:t xml:space="preserve">O MOD-07 contempla: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Cadastro manual e unitário de bens patrimoniais (mobiliário e equipamentos médicos)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Emissão automática de número de tombo com máscara configurável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Geração de etiquetas com QR Code e Code 128, com três caminhos de saída: impressão térmica em rede, impressão térmica por cabo e arquivo vetorial para gráfica ou plaqueta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Movimentação de bens entre localizações, com histórico imutável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Baixa patrimonial com motivo, documentos ambientais e anexo obrigatório em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Registro do histórico de manutenção realizada nos bens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Controle de acesso ao subsistema por permissão explícita, independente do perfil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Sessões de inventário com escopo geral ou por localização, coleta assistida e tratamento de divergências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Consulta de bem por leitura de QR em dispositivo móvel, sem aplicativo dedicado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Relatórios de patrimônio em formato XLSX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Está expressamente fora do escopo desta versão: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Depreciação, valor contábil, vida útil e integração contábil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Controle de responsável ou guardião por bem, e termo de responsabilidade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Ordens de serviço e agendamento de manutenção preventiva — apenas o registro do trabalho já realizado é contemplado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Registro de manutenção por dispositivo móvel (ver AP-20)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Importação de acervo por planilha — o cadastro é integralmente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Registro de número de série, registro ANVISA e garantia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Estado de conservação como campo próprio</w:t>
      </w:r>
    </w:p>
    <w:p>
      <w:pPr>
        <w:pStyle w:val="Heading2"/>
        <w:spacing w:after="140" w:before="280"/>
      </w:pPr>
      <w:r>
        <w:t xml:space="preserve">1.3 Definições, siglas e abreviações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Termo</w:t>
            </w:r>
          </w:p>
        </w:tc>
        <w:tc>
          <w:tcPr>
            <w:tcW w:type="dxa" w:w="6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patrimonial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permanente da clínica, identificado unitariamente, não consumível e sem data de validade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Número único e imutável que identifica um bem patrimonial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Sessão de inventário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Campanha de conferência física com escopo, snapshot e ciclo de vida próprios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Conjunto congelado dos bens esperados no momento da abertura da sessão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lido durante a coleta que não pertence ao escopo da sessão ou não está cadastrado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Vínculo temporário entre um dispositivo móvel e uma sessão de inventário, com localização e operador definidos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Divergência de local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encontrado em localização distinta da cadastrada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 de barras bidimensional, legível por câmera de celular e por leitor imager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128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Código de barras linear, legível por leitores 1D e 2D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ZPL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Zebra Programming Language — linguagem de comando aceita pela impressora térmica adotada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MOD-07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de patrimônio, objeto desta especificação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MTR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Manifesto de Transporte de Resíduos, documento exigido no descarte de determinados materiais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Laudo de obsolescência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Documento técnico que atesta a inviabilidade de uso ou reparo de um bem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Permissão de subsistema</w:t>
            </w:r>
          </w:p>
        </w:tc>
        <w:tc>
          <w:tcPr>
            <w:tcW w:type="dxa" w:w="6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Autorização de acesso ao módulo de patrimônio, concedida individualmente e independente do perfil do usuário</w:t>
            </w:r>
          </w:p>
        </w:tc>
      </w:tr>
    </w:tbl>
    <w:p>
      <w:pPr>
        <w:pStyle w:val="Heading2"/>
        <w:spacing w:after="140" w:before="280"/>
      </w:pPr>
      <w:r>
        <w:t xml:space="preserve">1.4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ERS-001 v1.6 — Especificação de Requisitos de Software do SCE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DAS-001 v1.2 — Documento de Arquitetura de Software do SCE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ABNT NBR ISO/IEC 25010:2023 — Qualidade de produto de software</w:t>
      </w:r>
    </w:p>
    <w:p>
      <w:pPr>
        <w:pStyle w:val="Heading1"/>
        <w:spacing w:after="140" w:before="280"/>
      </w:pPr>
      <w:r>
        <w:t xml:space="preserve">2. Descrição geral</w:t>
      </w:r>
    </w:p>
    <w:p>
      <w:pPr>
        <w:pStyle w:val="Heading2"/>
        <w:spacing w:after="140" w:before="280"/>
      </w:pPr>
      <w:r>
        <w:t xml:space="preserve">2.1 Perspectiva do produto</w:t>
      </w:r>
    </w:p>
    <w:p>
      <w:pPr>
        <w:spacing w:after="120"/>
      </w:pPr>
      <w:r>
        <w:rPr>
          <w:sz w:val="20"/>
          <w:szCs w:val="20"/>
        </w:rPr>
        <w:t xml:space="preserve">O MOD-07 é um módulo do SCE, executado no mesmo processo desktop e sobre o mesmo banco MySQL. Não compartilha entidades com o MOD-02 (estoque): as semânticas de bem patrimonial e de produto/lote são distintas em identidade, ciclo de vida e regras temporais.</w:t>
      </w:r>
    </w:p>
    <w:p>
      <w:pPr>
        <w:spacing w:after="120"/>
      </w:pPr>
      <w:r>
        <w:rPr>
          <w:sz w:val="20"/>
          <w:szCs w:val="20"/>
        </w:rPr>
        <w:t xml:space="preserve">O módulo introduz uma interface externa inédita no SCE: um serviço HTTP interno, hospedado no mesmo host do servidor MySQL, que atende dispositivos móveis da rede local para consulta de bens e registro de leituras durante o inventário. O serviço não é exposto à internet.</w:t>
      </w:r>
    </w:p>
    <w:p>
      <w:pPr>
        <w:spacing w:after="120"/>
      </w:pPr>
      <w:r>
        <w:rPr>
          <w:sz w:val="20"/>
          <w:szCs w:val="20"/>
        </w:rPr>
        <w:t xml:space="preserve">Reutiliza, sem duplicação: MOD-01 para autenticação e perfis, MOD-03 para geração de XLSX, MOD-06 para acesso a dados. A regra arquitetural do projeto permanece: a GUI nunca acessa repositórios diretamente.</w:t>
      </w:r>
    </w:p>
    <w:p>
      <w:pPr>
        <w:pStyle w:val="Heading2"/>
        <w:spacing w:after="140" w:before="280"/>
      </w:pPr>
      <w:r>
        <w:t xml:space="preserve">2.2 Atores do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Ator</w:t>
            </w:r>
          </w:p>
        </w:tc>
        <w:tc>
          <w:tcPr>
            <w:tcW w:type="dxa" w:w="1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dxa" w:w="5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Responsabilidades no MOD-07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Gerencial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Abrir e fechar sessões de inventário, decidir sobre divergências, registrar baixas, consultar relatórios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Operacional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Cadastrar bens, imprimir etiquetas, registrar movimentações e manutenções, executar a coleta de inventário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Manter o cadastro de localizações, conceder e revogar a permissão de acesso ao subsistema, configurar a máscara de tombo e o serviço HTTP, registrar baixas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Emitir tombos, montar snapshots, classificar divergências, revogar tokens de pareamento</w:t>
            </w:r>
          </w:p>
        </w:tc>
      </w:tr>
    </w:tbl>
    <w:p>
      <w:pPr>
        <w:pStyle w:val="Heading2"/>
        <w:spacing w:after="140" w:before="280"/>
      </w:pPr>
      <w:r>
        <w:t xml:space="preserve">2.3 Premissas e dependências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 localizações (áreas, salas e setores) da clínica são cadastradas previamente à primeira sessão de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clínica dispõe de um notebook com acesso Wi-Fi para condução da coleta em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impressora de etiquetas é uma Elgin L42Pro Full: 203 dpi, largura máxima de impressão de 108 mm, interfaces USB, Serial e Ethernet, com reconhecimento automático de EPL, ZPL, PPLA e PPLB.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etiqueta adotada mede 100 × 50 mm, material já utilizado pela clínica na identificação de pacientes.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servidor MySQL, hospedado na sub-rede da clínica, permanece disponível durante as sessões de inventário e hospeda também o serviço HTTP do MOD-07.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Os dispositivos móveis utilizados na coleta possuem câmera com leitura nativa de QR Code e navegador web, sem necessidade de aplicativo dedicado.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direção da clínica ainda não definiu entre etiqueta térmica adesiva e plaqueta gravada; o módulo atende às duas hipóteses pela mesma definição de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manutenção de mobiliário ocorre majoritariamente nas dependências da clínica; bens raramente permanecem fora do prédio por período prolongado.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parâmetro max_allowed_packet do servidor MySQL comporta o tamanho máximo definido para o anexo de baixa.</w:t>
      </w:r>
    </w:p>
    <w:p>
      <w:pPr>
        <w:pStyle w:val="Heading1"/>
        <w:spacing w:after="140" w:before="280"/>
      </w:pPr>
      <w:r>
        <w:t xml:space="preserve">3. Requisitos funcionais</w:t>
      </w:r>
    </w:p>
    <w:p>
      <w:pPr>
        <w:spacing w:after="120"/>
      </w:pPr>
      <w:r>
        <w:rPr>
          <w:sz w:val="20"/>
          <w:szCs w:val="20"/>
        </w:rPr>
        <w:t xml:space="preserve">Todos os requisitos abaixo são novos na versão 1.7 e pertencem ao MOD-07. Prioridade Alta salvo indicação em contrário.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4426"/>
        <w:gridCol w:w="1200"/>
        <w:gridCol w:w="700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44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Ator</w:t>
            </w:r>
          </w:p>
        </w:tc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Prior.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bem patrimonial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cadastro manual e unitário de bens patrimoniais com os campos: tombo (gerado automaticamente), descrição, marca/modelo, data de aquisição, valor de aquisição, nota fiscal, localização e situação. Data de aquisição, valor de aquisição, nota fiscal e marca/modelo são opcionais.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automática de tombo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o número de tombo automaticamente no cadastro, em sequência contínua, sem reinício periódico, conforme máscara configurável em tela. A máscara padrão é PAT-0001.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localizações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cadastro, edição e desativação das localizações da clínica (áreas, salas e setores), utilizadas como lotação dos bens e como escopo de sessões de inventário. A tela correspondente é acessível apenas ao perfil TI e deve exibir a quantidade de bens ativos lotados em cada localização.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etiquetas de 100 × 50 mm contendo QR Code, nome da clínica, número do tombo em destaque e Code 128 com o tombo puro. A geração deve permitir seleção múltipla de bens por caixa de seleção e produzir lote único de saída.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por impressão em rede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enviar as etiquetas à impressora térmica por conexão de rede, sem depender de driver instalado na estação.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por impressão local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enviar as etiquetas à impressora térmica conectada por cabo à estação, quando a impressora de rede estiver indisponível.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RF-28.3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Saída em arquivo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arquivo vetorial das etiquetas em duas variantes: página individual de 100 × 50 mm e folha A4 com grade e marcas de corte, para envio a gráfica, gravação de plaqueta ou impressão avulsa.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Movimentação de bem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alteração da localização de um bem, com registro de motivo, usuário e data/hora, preservando o histórico completo de movimentações.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RF-30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 patrimonial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baixa de um bem com motivo (descarte, doação, venda, extravio, obsolescência ou sinistro), data e documento de referência. O anexo de um arquivo PDF é obrigatório. Os números de MTR e de laudo de obsolescência podem ser informados e são opcionais. Bens baixados permanecem consultáveis e são excluídos de sessões de inventário futuras. Revisado na v1.8.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Abertura de sessão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a abertura de sessão de inventário com escopo geral ou restrito a uma localização, montando na abertura o snapshot dos bens esperados.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RF-32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registro de leituras durante a coleta por três vias: leitor de código de barras conectado à estação, digitação do número do tombo e dispositivo móvel pareado. A coleta deve ser retomável após interrupção, sem perda de progresso.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Tratamento de divergências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classificar automaticamente cada item da sessão em: pendente, encontrado, divergente de local ou não localizado; e registrar como sobra os itens lidos fora do escopo ou não cadastrados.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Fechamento de inventário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consolidar a sessão, apresentar as divergências agrupadas, aplicar os ajustes de localização somente mediante confirmação explícita e emitir o relatório final.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 de patrimônio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gerar em formato XLSX os relatórios: bens por localização, divergências de sessão de inventário e histórico de movimentação por bem.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Gestora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 de dispositivo móvel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o pareamento de dispositivos móveis a uma sessão de inventário, por leitura de código exibido em tela, vinculando o dispositivo à sessão, à localização em conferência e ao operador responsável. Múltiplos dispositivos podem estar pareados simultaneamente a sessões distintas.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QR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disponibilizar, mediante leitura do QR Code da etiqueta por câmera de dispositivo móvel na rede local, uma página de consulta somente leitura exibindo tombo, descrição, localização, situação e a data da última manutenção registrada. A descrição do trabalho de manutenção não é exibida nesta página. Revisado na v1.8.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Todos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RF-38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manutenção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permitir registrar manutenções realizadas em um bem, com data e descrição do trabalho, preservando o histórico completo de registros. O histórico deve ser consultável individualmente por bem, e a data da manutenção mais recente deve estar disponível na listagem de bens.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/ 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Controle de acesso ao subsistema</w:t>
            </w:r>
          </w:p>
        </w:tc>
        <w:tc>
          <w:tcPr>
            <w:tcW w:type="dxa" w:w="4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sistema deve restringir o acesso ao subsistema de patrimônio aos usuários que possuam permissão explícita. Usuários de perfil TI têm acesso independentemente da permissão. A concessão e a revogação são privativas do perfil TI.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after="140" w:before="280"/>
      </w:pPr>
      <w:r>
        <w:t xml:space="preserve">3.1 Fluxo da sessão de inventário</w:t>
      </w:r>
    </w:p>
    <w:p>
      <w:pPr>
        <w:spacing w:after="120"/>
      </w:pPr>
      <w:r>
        <w:rPr>
          <w:sz w:val="20"/>
          <w:szCs w:val="20"/>
        </w:rPr>
        <w:t xml:space="preserve">A sessão de inventário é conduzida em três estágios encadeados, apresentados em fluxo único de interface: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Abertura — definição do escopo e geração do snapshot dos bens esperados.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Coleta — registro contínuo das leituras, com contador de progresso e lista de pendentes, retomável a qualquer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Fechamento — consolidação, decisão sobre divergências, aplicação dos ajustes confirmados e emissão do relatório.</w:t>
      </w:r>
    </w:p>
    <w:p>
      <w:pPr>
        <w:pStyle w:val="Heading2"/>
        <w:spacing w:after="140" w:before="280"/>
      </w:pPr>
      <w:r>
        <w:t xml:space="preserve">3.2 Classificação de leitura durante a coleta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Condição da leitura</w:t>
            </w:r>
          </w:p>
        </w:tc>
        <w:tc>
          <w:tcPr>
            <w:tcW w:type="dxa" w:w="5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 não pareado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somente leitura, sem registro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 inexistente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sobra do tipo não cadastrado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em situação baixado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bloqueado, com alerta ao operador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da sessão pareada, esperado na localização em conferência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marcado como encontrado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da sessão pareada, esperado em outra localização do escopo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 marcado como divergente de local, com registro da localização real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pertencente a outra sessão aberta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 do tipo fora de escopo na sessão pareada e marcação de divergência na sessão de origem (RN-18)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sem sessão aberta correspondente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Sobra do tipo fora de escopo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já conferido na mesma sessão</w:t>
            </w:r>
          </w:p>
        </w:tc>
        <w:tc>
          <w:tcPr>
            <w:tcW w:type="dxa" w:w="5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Operação idempotente, sem duplicação de registro (RN-20)</w:t>
            </w:r>
          </w:p>
        </w:tc>
      </w:tr>
    </w:tbl>
    <w:p>
      <w:pPr>
        <w:pStyle w:val="Heading1"/>
        <w:spacing w:after="140" w:before="280"/>
      </w:pPr>
      <w:r>
        <w:t xml:space="preserve">4. Requisitos não funcionais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64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RNF-12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registro de uma leitura durante a coleta deve ser concluído em no máximo 2 segundos, incluindo a resposta ao dispositivo móvel.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RNF-13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Usabilidade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tela de coleta deve operar sem uso de mouse: o foco retorna automaticamente ao campo de leitura após cada registro, e nenhuma caixa de diálogo bloqueante é exibida durante a coleta.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RNF-14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consulta de bem por QR é aberta na rede local. O registro de leitura exige token de pareamento válido, vinculado a sessão, localização e operador. Tokens expiram em 12 horas e são revogados no fechamento da sessão.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Precisão de impressão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 símbolos QR Code e Code 128 devem ser dimensionados em número inteiro de pontos da impressora (203 dpi), evitando arredondamento e variação de largura de barras.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RNF-16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Portabilidade de saída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 três saídas de etiqueta (rede, cabo e arquivo) devem produzir etiquetas dimensionalmente idênticas, a partir de uma única definição de layout em milímetros.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RNF-17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Compatibilidade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consulta e a coleta por dispositivo móvel devem funcionar em navegador padrão de Android e iOS, sem instalação de aplicativo e sem exigir permissão de acesso à câmera pelo navegador.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RNF-18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Confiabilidade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sessão de inventário deve persistir seu estado a cada leitura registrada, de modo que a interrupção da aplicação ou da rede não implique perda do progresso da coleta.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RNF-19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verificação da permissão de acesso ao subsistema deve ocorrer na camada de serviço, e não apenas na interface. A ocultação de elementos na tela é conveniência de usabilidade, não mecanismo de controle.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Integridade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anexo da baixa deve ser gravado na mesma transação do registro da baixa. Falha na gravação do arquivo desfaz o registro, de modo que não exista baixa sem documento nem documento sem baixa.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RNF-21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Desempenho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listagem de bens com a data da última manutenção deve ser obtida em consulta única, sem consulta adicional por linha.</w:t>
            </w:r>
          </w:p>
        </w:tc>
      </w:tr>
    </w:tbl>
    <w:p>
      <w:pPr>
        <w:pStyle w:val="Heading1"/>
        <w:spacing w:after="140" w:before="280"/>
      </w:pPr>
      <w:r>
        <w:t xml:space="preserve">5. Restrições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1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RE-09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Navegadores móveis restringem o acesso à câmera a contextos seguros (HTTPS ou localhost). Como o serviço opera em HTTP na rede local, a leitura de QR pelo navegador é inviável; a arquitetura adota payload em URL, lido pela câmera nativa do dispositivo.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RE-10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impressora disponível opera a 203 dpi, com largura máxima de impressão de 108 mm, o que limita o tamanho mínimo de módulo dos símbolos impressos.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RE-11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 ausência de rede Wi-Fi ou com o serviço HTTP indisponível, a consulta e a coleta por dispositivo móvel não funcionam. O leitor conectado à estação e a digitação do tombo permanecem como vias alternativas.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RE-12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haverá aplicativo móvel dedicado nesta versão. Leituras não são armazenadas offline no dispositivo.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RE-13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serviço HTTP do MOD-07 é hospedado no mesmo host do servidor MySQL e não é exposto fora da rede interna da clínica.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RE-14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tamanho do anexo de baixa é limitado pelo parâmetro max_allowed_packet do servidor MySQL. Arquivos acima desse limite provocam falha de conexão, e não erro de aplicação.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RE-15</w:t>
            </w:r>
          </w:p>
        </w:tc>
        <w:tc>
          <w:tcPr>
            <w:tcW w:type="dxa" w:w="8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página de consulta por QR não exige autenticação e é acessível a qualquer dispositivo da rede interna. Nenhum dado sensível pode ser exibido nela.</w:t>
            </w:r>
          </w:p>
        </w:tc>
      </w:tr>
    </w:tbl>
    <w:p>
      <w:pPr>
        <w:pStyle w:val="Heading1"/>
        <w:spacing w:after="140" w:before="280"/>
      </w:pPr>
      <w:r>
        <w:t xml:space="preserve">6. Regras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80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RN-09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número de tombo é único no sistema e imutável após a emissão. A baixa de um bem não libera seu número para reuso.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RN-10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Todo bem em situação ativa possui exatamente uma localização vigente. Não existe bem sem lotação.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RN-11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histórico de movimentação é somente incremental. Correções são feitas por nova movimentação, nunca por edição ou exclusão de registro anterior.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RN-12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baixa é lógica e irreversível pela interface. O bem baixado sai do escopo de inventários futuros, mas permanece consultável para auditoria.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RN-13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sessão de inventário opera sobre snapshot congelado no momento da abertura. Bens cadastrados após a abertura não integram a sessão corrente.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RN-14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Divergência de localização nunca é resolvida automaticamente. A atualização do cadastro só ocorre no fechamento, mediante confirmação explícita, gerando movimentação do tipo ajuste de inventário vinculada à sessão.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RN-15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não localizado ao fim da sessão assume situação em apuração, jamais baixado. A baixa por extravio é decisão de gestão registrada separadamente.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RN-16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 pode existir sessão aberta cujo escopo intersecte o de outra sessão aberta. Sessão de escopo geral bloqueia qualquer outra; sessões por localização distintas podem coexistir. Como consequência, um bem pertence ao snapshot de no máximo uma sessão aberta.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RN-17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[REVOGADA na v1.7] A regra previa marcação de etiqueta desatualizada a cada alteração de localização ou situação. Tornou-se desnecessária com a adoção do payload em URL: a etiqueta contém apenas dados imutáveis, e localização e situação são obtidas do banco em tempo de consulta.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RN-18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Quando um bem pertencente a uma sessão aberta for lido em sessão distinta, o sistema registra sobra na sessão pareada e marca o item como divergente de local na sessão de origem, com a localização real observada.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RN-19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token de pareamento é vinculado a sessão, localização em conferência e operador. A troca de localização exige novo pareamento. O token expira em 12 horas e é revogado no fechamento ou cancelamento da sessão.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RN-20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registro de leitura é idempotente: leituras repetidas do mesmo bem na mesma sessão não geram registros duplicados, prevalecendo a primeira leitura.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RN-21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acesso ao subsistema de patrimônio exige permissão explícita concedida ao usuário. O perfil TI possui acesso por definição e não depende da permissão.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RN-22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concessão e a revogação da permissão de acesso ao subsistema são privativas do perfil TI.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RN-23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histórico de manutenção é somente incremental. Um novo registro não substitui os anteriores, e registros existentes não são editados nem excluídos.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RN-24</w:t>
            </w:r>
          </w:p>
        </w:tc>
        <w:tc>
          <w:tcPr>
            <w:tcW w:type="dxa" w:w="8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documento anexado à baixa é imutável após o registro. Substituí-lo exigiria nova baixa, o que é impedido pela irreversibilidade prevista na RN-12.</w:t>
            </w:r>
          </w:p>
        </w:tc>
      </w:tr>
    </w:tbl>
    <w:p>
      <w:pPr>
        <w:pStyle w:val="Heading1"/>
        <w:spacing w:after="140" w:before="280"/>
      </w:pPr>
      <w:r>
        <w:t xml:space="preserve">7. Critérios de aceitação</w:t>
      </w:r>
    </w:p>
    <w:p>
      <w:pPr>
        <w:spacing w:after="120"/>
      </w:pPr>
      <w:r>
        <w:rPr>
          <w:sz w:val="20"/>
          <w:szCs w:val="20"/>
        </w:rPr>
        <w:t xml:space="preserve">O MOD-07 será considerado aceito quando satisfizer os seguintes critérios verificáveis: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cadastrado sem data de aquisição, sem valor e sem nota fiscal é aceito pelo sistema sem erro.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número de tombo é gerado automaticamente, em sequência contínua, respeitando a máscara configurada em tela.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etiqueta impressa em impressora térmica e a etiqueta gerada em arquivo apresentam dimensões idênticas quando medidas com régua.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QR Code impresso é lido pela câmera nativa de um celular Android e de um iPhone, abrindo a página de consulta com dados atualizados.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Code 128 impresso é lido pelo leitor conectado à estação, preenchendo o campo de tombo.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abertura de uma sessão de escopo geral é bloqueada enquanto houver outra sessão aberta.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Duas sessões de localizações distintas podem ser abertas e conferidas simultaneamente.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lido em localização distinta da cadastrada é classificado como divergente, sem alteração automática do cadastro.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pertencente a outra sessão aberta, quando lido, gera sobra na sessão corrente e divergência na sessão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leitura repetida do mesmo bem na mesma sessão não gera registro duplicado.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fechamento da sessão revoga todos os tokens de pareamento 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coleta interrompida por fechamento da aplicação é retomada sem perda de progresso.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relatório de divergências em XLSX é gerado corretamente ao fim de uma sessão.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com perfil Técnico não consegue registrar baixa patrimonial.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sem permissão de acesso ao subsistema não visualiza a opção de entrada no módulo de patrimônio.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sem permissão de acesso, ao tentar invocar uma operação do módulo por outro caminho, recebe recusa da camada de serviço.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de perfil TI acessa o subsistema sem que a permissão tenha sido concedida.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Usuário de perfil diferente de TI não consegue conceder nem revogar a permissão de acesso.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baixa não é concluída sem o anexo de um arquivo PDF.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Arquivo que não seja PDF é recusado no anexo da baixa, mesmo com extensão alterada.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baixa registrada permite recuperar e abrir o documento anexado.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Um bem com duas manutenções registradas apresenta ambas no histórico, na ordem cronológica.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listagem de bens exibe a data da manutenção mais recente de cada bem.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consulta por QR exibe a data da última manutenção e não exibe a descrição do trabalho.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tela de localizações é acessível apenas ao perfil TI e exibe a contagem de bens ativos por localização.</w:t>
      </w:r>
    </w:p>
    <w:p>
      <w:pPr>
        <w:pStyle w:val="Heading1"/>
        <w:spacing w:after="140" w:before="280"/>
      </w:pPr>
      <w:r>
        <w:t xml:space="preserve">8. Matriz de rastreabilidade — requisitos × atores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26"/>
        <w:gridCol w:w="1500"/>
        <w:gridCol w:w="1400"/>
        <w:gridCol w:w="1500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Gestora</w:t>
            </w:r>
          </w:p>
        </w:tc>
        <w:tc>
          <w:tcPr>
            <w:tcW w:type="dxa" w:w="1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Técnico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TI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RF-25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bem patrimonial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RF-26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automática de tombo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RF-27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localizações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RF-28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RF-29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Movimentação de bem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RF-30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 patrimonial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RF-31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Abertura de sessão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RF-32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RF-33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Tratamento de divergências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RF-34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Fechamento de inventário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RF-35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 de patrimônio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RF-36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Pareamento de dispositivo móvel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RF-37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QR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RF-38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manutenção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RF-39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Controle de acesso ao subsistema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Requisitos sem marcação de ator têm o Sistema como executor.</w:t>
      </w:r>
    </w:p>
    <w:p>
      <w:pPr>
        <w:pStyle w:val="Heading1"/>
        <w:spacing w:after="140" w:before="280"/>
      </w:pPr>
      <w:r>
        <w:t xml:space="preserve">Anexo A — Especificação da etiqueta</w:t>
      </w:r>
    </w:p>
    <w:p>
      <w:pPr>
        <w:spacing w:after="120"/>
      </w:pPr>
      <w:r>
        <w:rPr>
          <w:sz w:val="20"/>
          <w:szCs w:val="20"/>
        </w:rPr>
        <w:t xml:space="preserve">Dimensionamento calibrado para impressão a 203 dpi (8 pontos por milímetro), garantindo módulo em número inteiro de pontos conforme RNF-15.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2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Dimensão</w:t>
            </w:r>
          </w:p>
        </w:tc>
        <w:tc>
          <w:tcPr>
            <w:tcW w:type="dxa" w:w="42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 × 50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já utilizado pela clínica na identificação de pacientes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 × 29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Versão 3, correção de erro nível M, 29 × 29 módulos, módulo de 1,000 mm = 8 pontos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128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 × 8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112 módulos, módulo de 0,375 mm = 3 pontos, conteúdo igual ao tombo puro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Nome da clínica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Fonte de 4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Linha única, sem quebra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Número do tombo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Fonte de 11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Negrito, principal elemento de leitura humana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Zona de silêncio do QR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mm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Assegurada pela margem esquerda e pela folga até a coluna de texto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Zona de silêncio do Code 128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 mm à direita</w:t>
            </w:r>
          </w:p>
        </w:tc>
        <w:tc>
          <w:tcPr>
            <w:tcW w:type="dxa" w:w="4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Superior ao mínimo de 3,75 mm exigido pela simbologia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Conteúdo impresso restrito a campos imutáveis. Localização e situação não são impressas: são obtidas do banco de dados na consulta por QR, conforme RN-17 revogada.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Formato do payload do QR Code: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http://&lt;host&gt;:&lt;porta&gt;/p?t=&lt;tombo&gt;</w:t>
      </w:r>
    </w:p>
    <w:p>
      <w:pPr>
        <w:pStyle w:val="Heading1"/>
        <w:spacing w:after="140" w:before="280"/>
      </w:pPr>
      <w:r>
        <w:t xml:space="preserve">Apêndice — Controle de pendências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26"/>
        <w:gridCol w:w="2500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Pendência</w:t>
            </w:r>
          </w:p>
        </w:tc>
        <w:tc>
          <w:tcPr>
            <w:tcW w:type="dxa" w:w="2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AP-07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número de série e registro ANVISA para equipamentos médicos. Decidido manter fora do escopo: a identidade do bem é o tombo. Risco residual registrado — dois equipamentos idênticos só se distinguem pela etiqueta física.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fora de escopo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AP-08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Campo de estado de conservação. Decidido não incluir: o bem inservível é marcado fisicamente, documentado e baixado do sistema.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fora de escopo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AP-09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Formato do payload do QR Code.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payload em URL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AP-10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Meio de leitura na coleta.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leitor na estação, digitação e dispositivo móvel pareado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AP-11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Dimensão física da etiqueta.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100 × 50 mm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AP-12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Máscara e política de numeração do tombo.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configurável em tela, padrão PAT-0001, sequência contínua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AP-13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 textual versus payload em URL.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URL, com dados vivos em consulta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AP-14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Hospedagem do serviço HTTP.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host do servidor MySQL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AP-15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da impressora térmica.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Elgin L42Pro Full, 203 dpi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AP-16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da etiqueta: térmica direta reaproveitada ou transferência térmica com ribbon resina. Térmica direta desbota com luz, calor e atrito, comprometendo a legibilidade do tombo no médio prazo.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decisão da direção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AP-17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Mecanismo de pareamento de dispositivo móvel.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FECHADO — aprovado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AP-18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Tecnologia do leitor existente (1D ou imager 2D). Mitigado pela dupla simbologia na etiqueta, que atende às duas hipóteses.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não bloqueante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AP-19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Definição da direção entre etiqueta térmica adesiva e plaqueta gravada. Não bloqueia o desenvolvimento: a mesma definição de layout atende às duas saídas.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não bloqueante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AP-20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Registro de manutenção por dispositivo móvel. Avaliado e adiado: o token de pareamento existente é vinculado a sessão de inventário e localização conferida, atributos que não se aplicam à manutenção. Generalizá-lo enfraqueceria a garantia atual do modelo. Reavaliar após a primeira campanha real de inventário, com dados sobre cobertura de rede e ergonomia em campo.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ADIADO — reavaliar após primeira campanha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AP-21</w:t>
            </w:r>
          </w:p>
        </w:tc>
        <w:tc>
          <w:tcPr>
            <w:tcW w:type="dxa" w:w="5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Tratamento de bens já descartados fisicamente sem documentação. A obrigatoriedade do anexo é restrição de banco de dados e não admite exceção pela aplicação. Definir com a direção se tais bens serão cadastrados e como a documentação será suprida.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ABERTO — decisão da direção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2026-08-13T13:59:29.821Z</dcterms:created>
  <dcterms:modified xsi:type="dcterms:W3CDTF">2026-08-13T13:59:29.821Z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