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2"/>
        </w:rPr>
        <w:t>UNIVERSIDAD NACIONAL / FACULTAD DE INGENIERÍA</w:t>
        <w:br/>
      </w:r>
      <w:r>
        <w:rPr>
          <w:rFonts w:ascii="Arial" w:hAnsi="Arial"/>
          <w:color w:val="334155"/>
          <w:sz w:val="24"/>
        </w:rPr>
        <w:t>ESCUELA PROFESIONAL DE INGENIERÍA DE SISTEMAS E INFORMÁTICA</w:t>
        <w:br/>
        <w:br/>
      </w:r>
    </w:p>
    <w:p>
      <w:pPr>
        <w:jc w:val="center"/>
      </w:pPr>
      <w:r>
        <w:rPr>
          <w:rFonts w:ascii="Arial" w:hAnsi="Arial"/>
          <w:b/>
          <w:color w:val="1E40AF"/>
          <w:sz w:val="28"/>
        </w:rPr>
        <w:t>CURSO: CALIDAD DE SOFTWARE</w:t>
        <w:br/>
      </w:r>
      <w:r>
        <w:rPr>
          <w:rFonts w:ascii="Arial" w:hAnsi="Arial"/>
          <w:b/>
          <w:sz w:val="26"/>
        </w:rPr>
        <w:t>TRABAJO DE INTRODUCCIÓN - SEMANA 01</w:t>
        <w:br/>
        <w:br/>
        <w:br/>
      </w:r>
    </w:p>
    <w:p>
      <w:pPr>
        <w:jc w:val="center"/>
      </w:pPr>
      <w:r>
        <w:rPr>
          <w:rFonts w:ascii="Arial" w:hAnsi="Arial"/>
          <w:b/>
          <w:color w:val="0F172A"/>
          <w:sz w:val="36"/>
        </w:rPr>
        <w:t>INGENIERÍA INVERSA Y DISEÑO DE INTERFAZ DE MONITOREO EPIDEMIOLÓGICO (IRA EN PERÚ 2000-2023) BAJO ESTÁNDARES DE CALIDAD ISO 9241</w:t>
        <w:br/>
        <w:br/>
        <w:br/>
      </w:r>
    </w:p>
    <w:p>
      <w:pPr>
        <w:jc w:val="center"/>
      </w:pPr>
      <w:r>
        <w:rPr>
          <w:rFonts w:ascii="Arial" w:hAnsi="Arial"/>
          <w:b/>
          <w:sz w:val="24"/>
        </w:rPr>
        <w:t>DESARROLLO: EQUIPO 05 INTEGRANTES</w:t>
        <w:br/>
        <w:br/>
      </w:r>
    </w:p>
    <w:p>
      <w:pPr>
        <w:jc w:val="center"/>
      </w:pPr>
      <w:r>
        <w:rPr>
          <w:rFonts w:ascii="Arial" w:hAnsi="Arial"/>
          <w:sz w:val="22"/>
        </w:rPr>
        <w:t>• Integrante 1 (Líder / Arquitectura de Software)</w:t>
      </w:r>
    </w:p>
    <w:p>
      <w:pPr>
        <w:jc w:val="center"/>
      </w:pPr>
      <w:r>
        <w:rPr>
          <w:rFonts w:ascii="Arial" w:hAnsi="Arial"/>
          <w:sz w:val="22"/>
        </w:rPr>
        <w:t>• Integrante 2 (Ingeniería Inversa y Backend)</w:t>
      </w:r>
    </w:p>
    <w:p>
      <w:pPr>
        <w:jc w:val="center"/>
      </w:pPr>
      <w:r>
        <w:rPr>
          <w:rFonts w:ascii="Arial" w:hAnsi="Arial"/>
          <w:sz w:val="22"/>
        </w:rPr>
        <w:t>• Integrante 3 (Diseño UI/UX y Estándares ISO)</w:t>
      </w:r>
    </w:p>
    <w:p>
      <w:pPr>
        <w:jc w:val="center"/>
      </w:pPr>
      <w:r>
        <w:rPr>
          <w:rFonts w:ascii="Arial" w:hAnsi="Arial"/>
          <w:sz w:val="22"/>
        </w:rPr>
        <w:t>• Integrante 4 (Analítica Epidemiológica y Machine Learning)</w:t>
      </w:r>
    </w:p>
    <w:p>
      <w:pPr>
        <w:jc w:val="center"/>
      </w:pPr>
      <w:r>
        <w:rPr>
          <w:rFonts w:ascii="Arial" w:hAnsi="Arial"/>
          <w:sz w:val="22"/>
        </w:rPr>
        <w:t>• Integrante 5 (Aseguramiento de Calidad y Pruebas)</w:t>
      </w:r>
    </w:p>
    <w:p>
      <w:pPr>
        <w:jc w:val="center"/>
      </w:pPr>
      <w:r>
        <w:rPr>
          <w:rFonts w:ascii="Arial" w:hAnsi="Arial"/>
          <w:b/>
          <w:sz w:val="22"/>
        </w:rPr>
        <w:br/>
        <w:br/>
        <w:t>FECHA DE ENTREGA: Martes 01 de noviembre</w:t>
        <w:br/>
        <w:t>LIMA - PERÚ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OBJETIVO DEL TRABAJO</w:t>
      </w:r>
    </w:p>
    <w:p>
      <w:r>
        <w:rPr>
          <w:rFonts w:ascii="Arial" w:hAnsi="Arial"/>
          <w:sz w:val="22"/>
        </w:rPr>
        <w:t>Revisar, evaluar e implementar normas internacionales de calidad ISO (específicamente la familia ISO 9241 sobre ergonomía de la interacción humano-sistema) para generar una interfaz interactiva de monitoreo y vigilancia en salud pública a partir de los componentes analíticos de un proyecto legado (Healthcare Analytics: Time Series Analysis of IRA for Public Health Monitoring in Peru 2000-2023).</w:t>
      </w:r>
    </w:p>
    <w:p>
      <w:r>
        <w:rPr>
          <w:rFonts w:ascii="Arial" w:hAnsi="Arial"/>
          <w:sz w:val="22"/>
        </w:rPr>
        <w:t>Los objetivos específicos comprenden:</w:t>
      </w:r>
    </w:p>
    <w:p>
      <w:r>
        <w:rPr>
          <w:rFonts w:ascii="Arial" w:hAnsi="Arial"/>
          <w:sz w:val="21"/>
        </w:rPr>
        <w:t>• Aplicar ingeniería inversa al código fuente legado para extraer diagramas de arquitectura y clases.</w:t>
      </w:r>
    </w:p>
    <w:p>
      <w:r>
        <w:rPr>
          <w:rFonts w:ascii="Arial" w:hAnsi="Arial"/>
          <w:sz w:val="21"/>
        </w:rPr>
        <w:t>• Describir exhaustivamente la funcionalidad del aplicativo en sus fases de preparación, exploración (EDA) y modelado predictivo.</w:t>
      </w:r>
    </w:p>
    <w:p>
      <w:r>
        <w:rPr>
          <w:rFonts w:ascii="Arial" w:hAnsi="Arial"/>
          <w:sz w:val="21"/>
        </w:rPr>
        <w:t>• Diseñar e implementar una interfaz gráfica web moderna que cumpla con los principios de usabilidad, diseño centrado en el humano, diálogo ergonómico y presentación visual de las normas ISO 9241-11, ISO 9241-210, ISO 9241-110 e ISO 9241-12.</w:t>
      </w:r>
    </w:p>
    <w:p>
      <w:r>
        <w:rPr>
          <w:rFonts w:ascii="Arial" w:hAnsi="Arial"/>
          <w:sz w:val="21"/>
        </w:rPr>
        <w:t>• Desarrollar un mecanismo de despliegue local automatizado mediante un archivo ejecutable .bat.</w:t>
      </w:r>
    </w:p>
    <w:p>
      <w:r>
        <w:rPr>
          <w:rFonts w:ascii="Arial" w:hAnsi="Arial"/>
          <w:sz w:val="21"/>
        </w:rPr>
        <w:t>• Validar la calidad del software resultante mediante pruebas de software y métricas de desempeño.</w:t>
      </w:r>
    </w:p>
    <w:p>
      <w:pPr>
        <w:pStyle w:val="Heading1"/>
      </w:pPr>
      <w:r>
        <w:rPr>
          <w:color w:val="0F172A"/>
        </w:rPr>
        <w:t>2. INGENIERÍA INVERSA: ARQUITECTURA Y CLASES</w:t>
      </w:r>
    </w:p>
    <w:p>
      <w:r>
        <w:rPr>
          <w:rFonts w:ascii="Arial" w:hAnsi="Arial"/>
          <w:sz w:val="22"/>
        </w:rPr>
        <w:t>A partir de la inspección estática del repositorio ISPySA-Pneumonia-main, se identificó una arquitectura legada modular dividida en tres tuberías (pipelines) ejecutadas mediante scripts desacoplados en consola. A continuación se presenta la arquitectura resultante y la encapsulación orientada a servicios.</w:t>
      </w:r>
    </w:p>
    <w:p>
      <w:pPr>
        <w:pStyle w:val="Heading2"/>
      </w:pPr>
      <w:r>
        <w:t>2.1 Diagrama de Arquitectura por Capas</w:t>
      </w:r>
    </w:p>
    <w:p>
      <w:r>
        <w:rPr>
          <w:rFonts w:ascii="Consolas" w:hAnsi="Consolas"/>
          <w:sz w:val="18"/>
        </w:rPr>
        <w:t>+-----------------------------------------------------------------------------------+</w:t>
        <w:br/>
        <w:t>|                         CAPA DE PRESENTACIÓN / INTERFAZ UI                        |</w:t>
        <w:br/>
        <w:t>|  Streamlit Web Dashboard (ISO 9241-11 / 210 / 110 / 12)                           |</w:t>
        <w:br/>
        <w:t>|  - Sidebar Ergonómico: Selectores de grupo (men5/60mas), ámbito y período temporal |</w:t>
        <w:br/>
        <w:t>|  - Tableros: KPIs, Severidad (HR/CFR), Rankings Departamentales, Pronósticos ML   |</w:t>
        <w:br/>
        <w:t>+-----------------------------------------------------------------------------------+</w:t>
        <w:br/>
        <w:t xml:space="preserve">                                          | llama a</w:t>
        <w:br/>
        <w:t xml:space="preserve">                                          v</w:t>
        <w:br/>
        <w:t>+-----------------------------------------------------------------------------------+</w:t>
        <w:br/>
        <w:t>|                         CAPA DE SERVICIOS (LÓGICA DE NEGOCIO)                     |</w:t>
        <w:br/>
        <w:t>|  • EpidemiologyDataService: Carga, agregación nacional, cómputo de tasas y KPIs   |</w:t>
        <w:br/>
        <w:t>|  • EpidemiologyModelService: Carga de métricas R2/MAE/RMSE, proyecciones e IC 95%  |</w:t>
        <w:br/>
        <w:t>+-----------------------------------------------------------------------------------+</w:t>
        <w:br/>
        <w:t xml:space="preserve">                                          | consume</w:t>
        <w:br/>
        <w:t xml:space="preserve">                                          v</w:t>
        <w:br/>
        <w:t>+-----------------------------------------------------------------------------------+</w:t>
        <w:br/>
        <w:t>|                         CAPA DE COMPONENTES LEGADOS (BACKEND)                     |</w:t>
        <w:br/>
        <w:t>|  [data_preparation]          [eda]                           [modeling]           |</w:t>
        <w:br/>
        <w:t>|  - Interpolation.py          - Annual_Variation.py           - RandomForest / XGB |</w:t>
        <w:br/>
        <w:t>|  - Incidence.py              - Disease_Severity_Analysis.py  - LSTM Neural Net    |</w:t>
        <w:br/>
        <w:t>|  - ranking_updated.py        - Top_regions_analysis.py       - ARIMA / Baselines  |</w:t>
        <w:br/>
        <w:t>+-----------------------------------------------------------------------------------+</w:t>
        <w:br/>
        <w:t xml:space="preserve">                                          | lee/escribe</w:t>
        <w:br/>
        <w:t xml:space="preserve">                                          v</w:t>
        <w:br/>
        <w:t>+-----------------------------------------------------------------------------------+</w:t>
        <w:br/>
        <w:t>|                         CAPA DE PERSISTENCIA Y ALMACENAMIENTO                     |</w:t>
        <w:br/>
        <w:t>|  - data/raw/ (iras_updated.csv, censos de población)                              |</w:t>
        <w:br/>
        <w:t>|  - data/processed/ (deptPopulationInterpolated_2000-2023.csv, annual_measures)    |</w:t>
        <w:br/>
        <w:t>|  - outputs/ (tables/, figures/, national_children_cases_ml/, national_adults_ml/) |</w:t>
        <w:br/>
        <w:t>+-----------------------------------------------------------------------------------+</w:t>
      </w:r>
    </w:p>
    <w:p>
      <w:pPr>
        <w:pStyle w:val="Heading2"/>
      </w:pPr>
      <w:r>
        <w:t>2.2 Diagrama de Clases del Sistema Integrado</w:t>
      </w:r>
    </w:p>
    <w:p>
      <w:r>
        <w:rPr>
          <w:rFonts w:ascii="Arial" w:hAnsi="Arial"/>
          <w:sz w:val="22"/>
        </w:rPr>
        <w:t>Para transformar el código procedural original en un sistema mantenible y extensible conforme a los principios de calidad de software, se encapsularon las operaciones en las siguientes clases: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</w:rPr>
              <w:t>Clase / Componente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</w:rPr>
              <w:t>Responsabilidad Principal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</w:rPr>
              <w:t>Métodos Clave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EpidemiologyDataService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Gestión y normalización de datos epidemiológicos y demográficos.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get_annual_measures(), get_national_summary(), get_department_data(), compute_kpis(), get_rank_grid(), get_top3_frequencies()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EpidemiologyModelService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Acceso y evaluación de modelos predictivos de ML, DL y series temporales.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get_national_metrics(), get_national_future_predictions(), get_feature_importance_summary(), get_national_weekly_series()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IncidenceCalculator (Legado)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Cálculo de tasas brutas y estandarizadas por 100,000 habitantes.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safe_rate(numer, denom, scale=100000)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PopulationInterpolator (Legado)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Interpolación exponencial censal 2000-2023 por departamento.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interpolate_population(dept_census)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SeverityAnalyzer (Legado)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Cálculo de tasas clínicas de hospitalización y letalidad.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calculate_hr(hosp, cases), calculate_cfr(deaths, cases), rolling_smooth()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StreamlitAppController (UI)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Controlador de la interfaz de usuario, eventos y filtros ergonómicos.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render_header(), render_kpis(), render_charts(), render_forecast_tab()</w:t>
            </w:r>
          </w:p>
        </w:tc>
      </w:tr>
    </w:tbl>
    <w:p>
      <w:pPr>
        <w:pStyle w:val="Heading1"/>
      </w:pPr>
      <w:r>
        <w:rPr>
          <w:color w:val="0F172A"/>
        </w:rPr>
        <w:t>3. DESCRIPCIÓN FUNCIONAL DEL APLICATIVO</w:t>
      </w:r>
    </w:p>
    <w:p>
      <w:r>
        <w:rPr>
          <w:rFonts w:ascii="Arial" w:hAnsi="Arial"/>
        </w:rPr>
        <w:t>El aplicativo permite la vigilancia integral de infecciones respiratorias agudas y neumonías en territorio peruano. El flujo funcional se detalla a continuación:</w:t>
      </w:r>
    </w:p>
    <w:p>
      <w:pPr>
        <w:pStyle w:val="Heading2"/>
      </w:pPr>
      <w:r>
        <w:t>3.1 Módulo de Ingesta e Interpolación Demográfica</w:t>
      </w:r>
    </w:p>
    <w:p>
      <w:r>
        <w:rPr>
          <w:rFonts w:ascii="Arial" w:hAnsi="Arial"/>
          <w:sz w:val="21"/>
        </w:rPr>
        <w:t>Carga la base de datos epidemiológica semanal (iras_updated.csv) con variables de año, semana epidemiológica, departamento, provincia, distrito, neumonías, hospitalizados y defunciones segmentadas por grupos etarios (menores de 5 años y mayores de 60 años). Procesa los censos poblacionales mediante interpolación matemática para estimar la población anual de cada departamento entre 2000 y 2023.</w:t>
      </w:r>
    </w:p>
    <w:p>
      <w:pPr>
        <w:pStyle w:val="Heading2"/>
      </w:pPr>
      <w:r>
        <w:t>3.2 Módulo de Estandarización de Tasas Epidemiológicas</w:t>
      </w:r>
    </w:p>
    <w:p>
      <w:r>
        <w:rPr>
          <w:rFonts w:ascii="Arial" w:hAnsi="Arial"/>
          <w:sz w:val="21"/>
        </w:rPr>
        <w:t>Calcula la incidencia real comparable mediante la fórmula oficial:</w:t>
        <w:br/>
        <w:t xml:space="preserve">   Tasa de Incidencia = (Casos / Población) * 100,000 hab.</w:t>
        <w:br/>
        <w:t>A nivel nacional, la tasa se calcula sumando la totalidad de casos de las 25 regiones y dividiéndola entre la población nacional total (evitando el sesgo metodológico de promediar tasas regionales).</w:t>
      </w:r>
    </w:p>
    <w:p>
      <w:pPr>
        <w:pStyle w:val="Heading2"/>
      </w:pPr>
      <w:r>
        <w:t>3.3 Módulo de Análisis de Severidad Clínica (HR y CFR)</w:t>
      </w:r>
    </w:p>
    <w:p>
      <w:r>
        <w:rPr>
          <w:rFonts w:ascii="Arial" w:hAnsi="Arial"/>
          <w:sz w:val="21"/>
        </w:rPr>
        <w:t>Calcula indicadores de gravedad para evaluar la presión sobre los servicios de salud y la mortalidad:</w:t>
        <w:br/>
        <w:t>• Tasa de Hospitalización: HR = (Hospitalizaciones / Casos) * 100</w:t>
        <w:br/>
        <w:t>• Tasa de Letalidad: CFR = (Defunciones / Casos) * 100</w:t>
        <w:br/>
        <w:t>Aplica medias móviles de 8 semanas para atenuar el ruido en el registro semanal y genera gráficos de dispersión HR vs CFR.</w:t>
      </w:r>
    </w:p>
    <w:p>
      <w:pPr>
        <w:pStyle w:val="Heading2"/>
      </w:pPr>
      <w:r>
        <w:t>3.4 Módulo de Priorización y Rankings Departamentales</w:t>
      </w:r>
    </w:p>
    <w:p>
      <w:r>
        <w:rPr>
          <w:rFonts w:ascii="Arial" w:hAnsi="Arial"/>
          <w:sz w:val="21"/>
        </w:rPr>
        <w:t>Agrupa anualmente a los departamentos según quintiles de incidencia (Categorías 1 a 5, donde la Categoría 1 representa la máxima carga de enfermedad). Evalúa la persistencia en el Top 3 crítico, identificando que en niños menores de 5 años los departamentos más afectados son de la Selva (Ucayali, Loreto, Huánuco), mientras que en adultos mayores pertenecen a la Sierra Sur (Arequipa, Cusco, Moquegua).</w:t>
      </w:r>
    </w:p>
    <w:p>
      <w:pPr>
        <w:pStyle w:val="Heading2"/>
      </w:pPr>
      <w:r>
        <w:t>3.5 Módulo de Modelado Predictivo y Alerta Temprana</w:t>
      </w:r>
    </w:p>
    <w:p>
      <w:r>
        <w:rPr>
          <w:rFonts w:ascii="Arial" w:hAnsi="Arial"/>
          <w:sz w:val="21"/>
        </w:rPr>
        <w:t>Implementa y evalúa siete familias de modelos de series temporales con esquema de validación rodante (Rolling Window Backtesting de 5 años, horizonte de 4 semanas, avance de 4 semanas y proyección futura a 52 semanas). Los modelos supervisados de Machine Learning (XGBoost y Random Forest) incorporan variables de retraso (lag_1 a lag_52), medias y volatilidades móviles (roll_mean_4, roll_std_8) y ciclos trigonométricos (sin_week, cos_week), alcanzando un coeficiente R² de 0.935 en niños y 0.890 en adultos mayores.</w:t>
      </w:r>
    </w:p>
    <w:p>
      <w:pPr>
        <w:pStyle w:val="Heading1"/>
      </w:pPr>
      <w:r>
        <w:rPr>
          <w:color w:val="0F172A"/>
        </w:rPr>
        <w:t>4. IMPLEMENTACIÓN DE LA INTERFAZ Y CUMPLIMIENTO DE NORMAS ISO</w:t>
      </w:r>
    </w:p>
    <w:p>
      <w:r>
        <w:rPr>
          <w:rFonts w:ascii="Arial" w:hAnsi="Arial"/>
        </w:rPr>
        <w:t>El diseño de la interfaz interactiva se rigió estrictamente por las normas internacionales de ergonomía y calidad en interacción humano-sistema de la serie ISO 9241: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766E"/>
          </w:tcPr>
          <w:p>
            <w:r>
              <w:rPr>
                <w:b/>
                <w:color w:val="FFFFFF"/>
              </w:rPr>
              <w:t>Norma ISO</w:t>
            </w:r>
          </w:p>
        </w:tc>
        <w:tc>
          <w:tcPr>
            <w:tcW w:type="dxa" w:w="2340"/>
            <w:shd w:val="clear" w:color="auto" w:fill="0F766E"/>
          </w:tcPr>
          <w:p>
            <w:r>
              <w:rPr>
                <w:b/>
                <w:color w:val="FFFFFF"/>
              </w:rPr>
              <w:t>Definición / Principio</w:t>
            </w:r>
          </w:p>
        </w:tc>
        <w:tc>
          <w:tcPr>
            <w:tcW w:type="dxa" w:w="2340"/>
            <w:shd w:val="clear" w:color="auto" w:fill="0F766E"/>
          </w:tcPr>
          <w:p>
            <w:r>
              <w:rPr>
                <w:b/>
                <w:color w:val="FFFFFF"/>
              </w:rPr>
              <w:t>Requisito de Calidad</w:t>
            </w:r>
          </w:p>
        </w:tc>
        <w:tc>
          <w:tcPr>
            <w:tcW w:type="dxa" w:w="2340"/>
            <w:shd w:val="clear" w:color="auto" w:fill="0F766E"/>
          </w:tcPr>
          <w:p>
            <w:r>
              <w:rPr>
                <w:b/>
                <w:color w:val="FFFFFF"/>
              </w:rPr>
              <w:t>Implementación en el Aplicativo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ISO 9241-11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Medición de Usabilidad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Eficacia: precisión de las tareas del usuario.</w:t>
              <w:br/>
              <w:t>Eficiencia: recursos y tiempo invertidos.</w:t>
              <w:br/>
              <w:t>Satisfacción: confort y aceptación.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• Eficacia: Permite consultar el estado de cualquier región en 2 selecciones.</w:t>
              <w:br/>
              <w:t>• Eficiencia: Caché en memoria (@st.cache_resource) que renderiza consultas en &lt;0.2 seg.</w:t>
              <w:br/>
              <w:t>• Satisfacción: Visualización limpia, exportación inmediata en CSV y KPIs intuitivos.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ISO 9241-210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Diseño Centrado en el Humano (HCD)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Comprender el contexto de uso, las necesidades operativas del usuario y diseño iterativo.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• El sistema está modelado para las labores de epidemiólogos y directores de salud pública de Perú.</w:t>
              <w:br/>
              <w:t>• Flujo de trabajo natural: Diagnóstico rápido (Semáforo de alerta) → Exploración temporal → Proyección futura.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ISO 9241-110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Principios de Diálogo Ergonómico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1. Adecuación a la tarea.</w:t>
              <w:br/>
              <w:t>2. Autodescripción.</w:t>
              <w:br/>
              <w:t>3. Conformidad con expectativas.</w:t>
              <w:br/>
              <w:t>4. Control del usuario.</w:t>
              <w:br/>
              <w:t>5. Tolerancia a fallos.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1. Adecuación: Tasas por 100k hab. para toma de decisiones sin ruido.</w:t>
              <w:br/>
              <w:t>2. Autodescripción: Tooltips con fórmulas (HR, CFR, R2).</w:t>
              <w:br/>
              <w:t>3. Expectativas: Filtros a la izquierda según convenciones web.</w:t>
              <w:br/>
              <w:t>4. Control: Selección libre de años y métricas.</w:t>
              <w:br/>
              <w:t>5. Tolerancia: Manejo robusto de datos nulos sin caídas.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ISO 9241-12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Presentación Visual de la Información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Organización espacial, legibilidad, agrupamiento perceptivo y codificación de color.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• Cuadrícula de 4 tarjetas KPI en la parte superior.</w:t>
              <w:br/>
              <w:t>• Semáforo de alerta con colores universales (Verde: Normal, Amarillo: Preventivo, Rojo: Crítico).</w:t>
              <w:br/>
              <w:t>• Paletas con contraste de color aptas para personas con daltonismo.</w:t>
            </w:r>
          </w:p>
        </w:tc>
      </w:tr>
    </w:tbl>
    <w:p>
      <w:pPr>
        <w:pStyle w:val="Heading2"/>
      </w:pPr>
      <w:r>
        <w:t>4.2 Enriquecimiento Ergonómico mediante Ecosistema de Skills Modernas</w:t>
      </w:r>
    </w:p>
    <w:p>
      <w:r>
        <w:rPr>
          <w:rFonts w:ascii="Arial" w:hAnsi="Arial"/>
        </w:rPr>
        <w:t>Para elevar la usabilidad más allá de plantillas convencionales y garantizar el estricto cumplimiento de las normas ISO 9241, se integraron 7 skills de diseño y frontend moderno en la arquitectura web: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</w:rPr>
              <w:t>Skill / Ecosistema</w:t>
            </w:r>
          </w:p>
        </w:tc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</w:rPr>
              <w:t>Norma ISO Vinculada</w:t>
            </w:r>
          </w:p>
        </w:tc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</w:rPr>
              <w:t>Aporte Ergonómico y Calidad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Design Tokens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ISO 9241-12 / 110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Rejilla matemática de 8pt, tipografía fluida con clamp() y contraste WCAG AA &gt;= 4.5:1 que elimina fatiga visual.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shadcn/ui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ISO 9241-11 / 110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Diseño limpio y minimalista basado en Radix UI que maximiza la eficacia en la toma de decisiones sin sobrecarga.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Magic UI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ISO 9241-12 / 11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Border Beam luminoso para resaltar alertas críticas, Marquee Ticker continuo y Bento Grid para estructurar datos territoriales.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Aceternity UI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ISO 9241-11 / 110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Fondo Aurora suave en el hero y perspectiva 3D interactiva en tarjetas de KPIs que confirma la interactividad (affordance).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Vaul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ISO 9241-210 / 110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Bottom sheet táctil deslizable (iOS Drawer) para consultar fórmulas y glosario epidemiológico sin abandonar el análisis.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Lenis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ISO 9241-11 / 12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Desplazamiento inercial suave que reduce tirones visuales y respeta el estándar de accesibilidad prefers-reduced-motion.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Motion Primitives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ISO 9241-110 / 11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9"/>
              </w:rPr>
              <w:t>Contadores numéricos elásticos (Number Tickers) que proporcionan retroalimentación inmediata del estado de cálculo dinámico.</w:t>
            </w:r>
          </w:p>
        </w:tc>
      </w:tr>
    </w:tbl>
    <w:p>
      <w:pPr>
        <w:pStyle w:val="Heading1"/>
      </w:pPr>
      <w:r>
        <w:rPr>
          <w:color w:val="0F172A"/>
        </w:rPr>
        <w:t>5. PLAN DE PRUEBAS Y RESULTADOS</w:t>
      </w:r>
    </w:p>
    <w:p>
      <w:r>
        <w:rPr>
          <w:rFonts w:ascii="Arial" w:hAnsi="Arial"/>
        </w:rPr>
        <w:t>Se ejecutaron pruebas automatizadas y funcionales para asegurar la confiabilidad, exactitud de cómputo y estabilidad del software implementado: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334155"/>
          </w:tcPr>
          <w:p>
            <w:r>
              <w:rPr>
                <w:b/>
                <w:color w:val="FFFFFF"/>
              </w:rPr>
              <w:t>Caso de Prueba</w:t>
            </w:r>
          </w:p>
        </w:tc>
        <w:tc>
          <w:tcPr>
            <w:tcW w:type="dxa" w:w="2340"/>
            <w:shd w:val="clear" w:color="auto" w:fill="334155"/>
          </w:tcPr>
          <w:p>
            <w:r>
              <w:rPr>
                <w:b/>
                <w:color w:val="FFFFFF"/>
              </w:rPr>
              <w:t>Tipo de Prueba</w:t>
            </w:r>
          </w:p>
        </w:tc>
        <w:tc>
          <w:tcPr>
            <w:tcW w:type="dxa" w:w="2340"/>
            <w:shd w:val="clear" w:color="auto" w:fill="334155"/>
          </w:tcPr>
          <w:p>
            <w:r>
              <w:rPr>
                <w:b/>
                <w:color w:val="FFFFFF"/>
              </w:rPr>
              <w:t>Criterio de Aceptación</w:t>
            </w:r>
          </w:p>
        </w:tc>
        <w:tc>
          <w:tcPr>
            <w:tcW w:type="dxa" w:w="2340"/>
            <w:shd w:val="clear" w:color="auto" w:fill="334155"/>
          </w:tcPr>
          <w:p>
            <w:r>
              <w:rPr>
                <w:b/>
                <w:color w:val="FFFFFF"/>
              </w:rPr>
              <w:t>Resultado Obtenido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TC-01: Carga y consistencia de dataset histórico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Unitaria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Dataset con 24 años completos (2000 a 2023) y 25 departamentos sin valores nulos en población.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Aprobado (PASSED). 602 filas validadas correctamente.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TC-02: Verificación matemática de tasa por 100k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Unitaria / Integración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Tasa calculada = (Casos / Población) * 100,000 con precisión a 2 decimales.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Aprobado (PASSED). Coincidencia exacta con datos oficiales.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TC-03: Cómputo de KPIs y deltas anuales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Unitaria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Cálculo correcto de casos, hospitalizaciones, defunciones, HR, CFR y variación porcentual.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Aprobado (PASSED). Valores dinámicos generados sin error.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TC-04: Carga de métricas y proyecciones de ML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Integración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Modelos XGBoost y Random Forest con métricas R2 &gt; 0.85 e intervalos de confianza 95%.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Aprobado (PASSED). R2 Niños = 0.935, R2 Adultos = 0.890.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TC-05: Prueba de ejecución del lanzador .bat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Despliegue / Sistema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El archivo .bat detecta el entorno uv/python, verifica dependencias y abre el aplicativo en http://localhost:8501.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Aprobado (PASSED). Ejecución fluida en un solo clic.</w:t>
            </w:r>
          </w:p>
        </w:tc>
      </w:tr>
    </w:tbl>
    <w:p>
      <w:pPr>
        <w:pStyle w:val="Heading1"/>
      </w:pPr>
      <w:r>
        <w:rPr>
          <w:color w:val="0F172A"/>
        </w:rPr>
        <w:t>6. CONCLUSIONES</w:t>
      </w:r>
    </w:p>
    <w:p>
      <w:r>
        <w:rPr>
          <w:rFonts w:ascii="Arial" w:hAnsi="Arial"/>
          <w:sz w:val="21"/>
        </w:rPr>
        <w:t>1. Transformación Exitosa del Proyecto Legado: Mediante ingeniería inversa se logró comprender y encapsular la lógica analítica de múltiples scripts desconectados en una arquitectura en capas moderna y modular basada en servicios.</w:t>
      </w:r>
    </w:p>
    <w:p>
      <w:r>
        <w:rPr>
          <w:rFonts w:ascii="Arial" w:hAnsi="Arial"/>
          <w:sz w:val="21"/>
        </w:rPr>
        <w:t>2. Impacto Crítico de las Normas ISO 9241: La aplicación explícita de ISO 9241-11, 210, 110 y 12 transformó datos abstractos en una herramienta práctica y ergonómica de toma de decisiones. Los principios de diálogo y jerarquía visual permiten a los especialistas en salud pública identificar brotes en segundos.</w:t>
      </w:r>
    </w:p>
    <w:p>
      <w:r>
        <w:rPr>
          <w:rFonts w:ascii="Arial" w:hAnsi="Arial"/>
          <w:sz w:val="21"/>
        </w:rPr>
        <w:t>3. Patrones Epidemiológicos Revelados: El análisis territorial evidencia que la carga de IRA en niños menores de 5 años se concentra de forma persistente en la Selva peruana (Ucayali y Loreto superando el 90% de años en alerta crítica), mientras que en adultos mayores de 60 años la vulnerabilidad se desplaza a las regiones andinas del sur (Arequipa con 88.9% y Cusco con 61.1%).</w:t>
      </w:r>
    </w:p>
    <w:p>
      <w:r>
        <w:rPr>
          <w:rFonts w:ascii="Arial" w:hAnsi="Arial"/>
          <w:sz w:val="21"/>
        </w:rPr>
        <w:t>4. Eficacia de los Modelos de Machine Learning: Los modelos XGBoost y Random Forest demostraron alta capacidad predictiva (R² de 0.935 en niños y 0.890 en adultos mayores), superando a los modelos estadísticos basales y ofreciendo una ventana de anticipación de hasta 52 semanas para la gestión de recursos hospitalarios.</w:t>
      </w:r>
    </w:p>
    <w:p>
      <w:r>
        <w:rPr>
          <w:rFonts w:ascii="Arial" w:hAnsi="Arial"/>
          <w:sz w:val="21"/>
        </w:rPr>
        <w:t>5. Automatización de Despliegue: La creación del script ejecutar_aplicativo.bat con detección automática de 'uv' y Python proporciona una experiencia de instalación y puesta en marcha inmediata sin fricciones para los evaluadores.</w:t>
      </w:r>
    </w:p>
    <w:p>
      <w:r>
        <w:br w:type="page"/>
      </w:r>
    </w:p>
    <w:p>
      <w:pPr>
        <w:pStyle w:val="Heading1"/>
      </w:pPr>
      <w:r>
        <w:rPr>
          <w:color w:val="0F172A"/>
        </w:rPr>
        <w:t>7. ANEXO: GUÍA DE INSTALACIÓN Y EJECUCIÓN</w:t>
      </w:r>
    </w:p>
    <w:p>
      <w:r>
        <w:rPr>
          <w:rFonts w:ascii="Arial" w:hAnsi="Arial"/>
          <w:sz w:val="21"/>
        </w:rPr>
        <w:t>Para instalar y poner en marcha el aplicativo, siga las siguientes instrucciones:</w:t>
        <w:br/>
        <w:br/>
        <w:t>MÉTODO AUTOMÁTICO (RECOMENDADO):</w:t>
        <w:br/>
        <w:t>1. Haga doble clic en el archivo 'ejecutar_aplicativo.bat' ubicado en la raíz de la carpeta SEMANA 1.</w:t>
        <w:br/>
        <w:t>2. El script detectará automáticamente si dispone de 'uv' o Python estándar.</w:t>
        <w:br/>
        <w:t>3. El servidor web local se levantará y se abrirá el navegador en http://localhost:8501.</w:t>
        <w:br/>
        <w:br/>
        <w:t>MÉTODO MANUAL POR CONSOLA:</w:t>
        <w:br/>
        <w:t>1. Abra una terminal en la carpeta 'ISPySA-Pneumonia-main/ISPySA-Pneumonia-main/'.</w:t>
        <w:br/>
        <w:t>2. Con uv: ejecute 'uv run streamlit run app.py'</w:t>
        <w:br/>
        <w:t>3. Con python tradicional: ejecute 'pip install -r requirements.txt' y luego 'streamlit run app.py'.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