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tl w:val="0"/>
        </w:rPr>
        <w:t xml:space="preserve">CALIDAD DE SOFTWARE</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TRABAJO INTRODUCCION</w:t>
      </w:r>
    </w:p>
    <w:p w:rsidR="00000000" w:rsidDel="00000000" w:rsidP="00000000" w:rsidRDefault="00000000" w:rsidRPr="00000000" w14:paraId="000000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e implementar normas de calidad ISO para generar interfaz de Proyecto de salud pública con componentes de Proyecto legado.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ACTIVIDADES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Considerando información de Anexo:</w:t>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diagramas de arquitectura y clases realizando ingenieria inversa</w:t>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Describir funcionalidad del aplicativo </w:t>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interfaz para monitoreo y vigilancia considerando documentación ISO</w:t>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r>
    </w:p>
    <w:p w:rsidR="00000000" w:rsidDel="00000000" w:rsidP="00000000" w:rsidRDefault="00000000" w:rsidRPr="00000000" w14:paraId="0000000C">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DOCUMENTACION ISO</w:t>
      </w:r>
    </w:p>
    <w:p w:rsidR="00000000" w:rsidDel="00000000" w:rsidP="00000000" w:rsidRDefault="00000000" w:rsidRPr="00000000" w14:paraId="000000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 9241-11: Define y mide la usabilidad (eficacia, eficiencia y satisfacción del usuario en su contexto de uso).</w:t>
      </w:r>
    </w:p>
    <w:p w:rsidR="00000000" w:rsidDel="00000000" w:rsidP="00000000" w:rsidRDefault="00000000" w:rsidRPr="00000000" w14:paraId="000000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 9241-210: Establece los principios del diseño centrado en el ser humano para sistemas interactivos.</w:t>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 9241-110: Detalla los principios de diálogo (como la idoneidad para la tarea, la legibilidad y la</w:t>
        <w:br w:type="textWrapping"/>
        <w:t xml:space="preserve">conformidad con las expectativas del usuario).</w:t>
      </w:r>
    </w:p>
    <w:p w:rsidR="00000000" w:rsidDel="00000000" w:rsidP="00000000" w:rsidRDefault="00000000" w:rsidRPr="00000000" w14:paraId="000000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 9241-12: Guía la representación de la información visual en pantallas y tableros.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PRESENTACION</w:t>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 .doc con descripcion de tareas realizadas: implementación, pruebas y resultados</w:t>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Instalar y ejecutar aplicativo</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archivo .bat para ejecutar aplicativo</w:t>
      </w:r>
    </w:p>
    <w:p w:rsidR="00000000" w:rsidDel="00000000" w:rsidP="00000000" w:rsidRDefault="00000000" w:rsidRPr="00000000" w14:paraId="00000018">
      <w:pPr>
        <w:ind w:left="360" w:firstLine="0"/>
        <w:rPr>
          <w:rFonts w:ascii="Arial" w:cs="Arial" w:eastAsia="Arial" w:hAnsi="Arial"/>
        </w:rPr>
      </w:pPr>
      <w:r w:rsidDel="00000000" w:rsidR="00000000" w:rsidRPr="00000000">
        <w:rPr>
          <w:rFonts w:ascii="Arial" w:cs="Arial" w:eastAsia="Arial" w:hAnsi="Arial"/>
          <w:rtl w:val="0"/>
        </w:rPr>
        <w:t xml:space="preserve">FECHA: Martes 01 noviembre</w:t>
      </w:r>
    </w:p>
    <w:p w:rsidR="00000000" w:rsidDel="00000000" w:rsidP="00000000" w:rsidRDefault="00000000" w:rsidRPr="00000000" w14:paraId="00000019">
      <w:pPr>
        <w:ind w:left="360" w:firstLine="0"/>
        <w:rPr/>
      </w:pPr>
      <w:r w:rsidDel="00000000" w:rsidR="00000000" w:rsidRPr="00000000">
        <w:rPr>
          <w:rFonts w:ascii="Arial" w:cs="Arial" w:eastAsia="Arial" w:hAnsi="Arial"/>
          <w:rtl w:val="0"/>
        </w:rPr>
        <w:t xml:space="preserve">DESARROLLO: Equipo 05 integrantes</w:t>
      </w:r>
      <w:r w:rsidDel="00000000" w:rsidR="00000000" w:rsidRPr="00000000">
        <w:br w:type="column"/>
      </w:r>
      <w:r w:rsidDel="00000000" w:rsidR="00000000" w:rsidRPr="00000000">
        <w:rPr>
          <w:rtl w:val="0"/>
        </w:rPr>
        <w:t xml:space="preserve">ANEXO</w:t>
      </w:r>
    </w:p>
    <w:p w:rsidR="00000000" w:rsidDel="00000000" w:rsidP="00000000" w:rsidRDefault="00000000" w:rsidRPr="00000000" w14:paraId="0000001A">
      <w:pPr>
        <w:ind w:left="360" w:firstLine="0"/>
        <w:rPr/>
      </w:pPr>
      <w:r w:rsidDel="00000000" w:rsidR="00000000" w:rsidRPr="00000000">
        <w:rPr>
          <w:rtl w:val="0"/>
        </w:rPr>
        <w:t xml:space="preserve">Healthcare Analytics: Time Series Analysis of IRA for Public Health Monitoring in Peru</w:t>
      </w:r>
    </w:p>
    <w:p w:rsidR="00000000" w:rsidDel="00000000" w:rsidP="00000000" w:rsidRDefault="00000000" w:rsidRPr="00000000" w14:paraId="0000001B">
      <w:pPr>
        <w:shd w:fill="ffffff" w:val="clear"/>
        <w:spacing w:after="240" w:before="360" w:line="240" w:lineRule="auto"/>
        <w:rPr>
          <w:rFonts w:ascii="Quattrocento Sans" w:cs="Quattrocento Sans" w:eastAsia="Quattrocento Sans" w:hAnsi="Quattrocento Sans"/>
          <w:b w:val="1"/>
          <w:bCs w:val="1"/>
          <w:color w:val="1f2328"/>
          <w:sz w:val="36"/>
          <w:szCs w:val="36"/>
        </w:rPr>
      </w:pPr>
      <w:r w:rsidDel="00000000" w:rsidR="00000000" w:rsidRPr="00000000">
        <w:rPr>
          <w:rFonts w:ascii="Quattrocento Sans" w:cs="Quattrocento Sans" w:eastAsia="Quattrocento Sans" w:hAnsi="Quattrocento Sans"/>
          <w:b w:val="1"/>
          <w:bCs w:val="1"/>
          <w:color w:val="1f2328"/>
          <w:sz w:val="36"/>
          <w:szCs w:val="36"/>
          <w:rtl w:val="0"/>
        </w:rPr>
        <w:t xml:space="preserve">Project Overview</w:t>
      </w:r>
    </w:p>
    <w:p w:rsidR="00000000" w:rsidDel="00000000" w:rsidP="00000000" w:rsidRDefault="00000000" w:rsidRPr="00000000" w14:paraId="0000001C">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This project analyzes Acute Respiratory Infections (IRA), including pneumonia-related indicators, in Peru using public health surveillance data from 2000–2023. The analysis focuses on two high-risk age groups:</w:t>
      </w:r>
    </w:p>
    <w:p w:rsidR="00000000" w:rsidDel="00000000" w:rsidP="00000000" w:rsidRDefault="00000000" w:rsidRPr="00000000" w14:paraId="0000001D">
      <w:pPr>
        <w:numPr>
          <w:ilvl w:val="0"/>
          <w:numId w:val="1"/>
        </w:numPr>
        <w:shd w:fill="ffffff" w:val="clear"/>
        <w:spacing w:after="0" w:before="28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Children under 5 years</w:t>
      </w:r>
    </w:p>
    <w:p w:rsidR="00000000" w:rsidDel="00000000" w:rsidP="00000000" w:rsidRDefault="00000000" w:rsidRPr="00000000" w14:paraId="0000001E">
      <w:pPr>
        <w:numPr>
          <w:ilvl w:val="0"/>
          <w:numId w:val="1"/>
        </w:numPr>
        <w:shd w:fill="ffffff" w:val="clear"/>
        <w:spacing w:after="28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Adults aged 60 years and above</w:t>
      </w:r>
    </w:p>
    <w:p w:rsidR="00000000" w:rsidDel="00000000" w:rsidP="00000000" w:rsidRDefault="00000000" w:rsidRPr="00000000" w14:paraId="0000001F">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The project includes data preparation, exploratory data analysis, regional burden analysis, disease severity analysis, forecasting, feature importance analysis, confidence interval analysis, and national-level modeling.</w:t>
      </w:r>
    </w:p>
    <w:p w:rsidR="00000000" w:rsidDel="00000000" w:rsidP="00000000" w:rsidRDefault="00000000" w:rsidRPr="00000000" w14:paraId="00000020">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The main goal is to understand temporal and regional patterns in IRA incidence and evaluate forecasting models that can support public health monitoring and early-warning decisions.</w:t>
      </w:r>
    </w:p>
    <w:p w:rsidR="00000000" w:rsidDel="00000000" w:rsidP="00000000" w:rsidRDefault="00000000" w:rsidRPr="00000000" w14:paraId="00000021">
      <w:pPr>
        <w:spacing w:after="360" w:before="36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hd w:fill="ffffff" w:val="clear"/>
        <w:spacing w:after="240" w:before="360" w:line="240" w:lineRule="auto"/>
        <w:rPr>
          <w:rFonts w:ascii="Quattrocento Sans" w:cs="Quattrocento Sans" w:eastAsia="Quattrocento Sans" w:hAnsi="Quattrocento Sans"/>
          <w:b w:val="1"/>
          <w:bCs w:val="1"/>
          <w:color w:val="1f2328"/>
          <w:sz w:val="36"/>
          <w:szCs w:val="36"/>
        </w:rPr>
      </w:pPr>
      <w:r w:rsidDel="00000000" w:rsidR="00000000" w:rsidRPr="00000000">
        <w:rPr>
          <w:rFonts w:ascii="Quattrocento Sans" w:cs="Quattrocento Sans" w:eastAsia="Quattrocento Sans" w:hAnsi="Quattrocento Sans"/>
          <w:b w:val="1"/>
          <w:bCs w:val="1"/>
          <w:color w:val="1f2328"/>
          <w:sz w:val="36"/>
          <w:szCs w:val="36"/>
          <w:rtl w:val="0"/>
        </w:rPr>
        <w:t xml:space="preserve">Objectives</w:t>
      </w:r>
    </w:p>
    <w:p w:rsidR="00000000" w:rsidDel="00000000" w:rsidP="00000000" w:rsidRDefault="00000000" w:rsidRPr="00000000" w14:paraId="00000023">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The project aims to:</w:t>
      </w:r>
    </w:p>
    <w:p w:rsidR="00000000" w:rsidDel="00000000" w:rsidP="00000000" w:rsidRDefault="00000000" w:rsidRPr="00000000" w14:paraId="00000024">
      <w:pPr>
        <w:numPr>
          <w:ilvl w:val="0"/>
          <w:numId w:val="11"/>
        </w:numPr>
        <w:shd w:fill="ffffff" w:val="clear"/>
        <w:spacing w:after="0" w:before="28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Analyze long-term IRA incidence trends in Peru.</w:t>
      </w:r>
    </w:p>
    <w:p w:rsidR="00000000" w:rsidDel="00000000" w:rsidP="00000000" w:rsidRDefault="00000000" w:rsidRPr="00000000" w14:paraId="00000025">
      <w:pPr>
        <w:numPr>
          <w:ilvl w:val="0"/>
          <w:numId w:val="11"/>
        </w:numPr>
        <w:shd w:fill="ffffff" w:val="clear"/>
        <w:spacing w:after="0" w:before="6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Examine seasonal patterns in IRA incidence.</w:t>
      </w:r>
    </w:p>
    <w:p w:rsidR="00000000" w:rsidDel="00000000" w:rsidP="00000000" w:rsidRDefault="00000000" w:rsidRPr="00000000" w14:paraId="00000026">
      <w:pPr>
        <w:numPr>
          <w:ilvl w:val="0"/>
          <w:numId w:val="11"/>
        </w:numPr>
        <w:shd w:fill="ffffff" w:val="clear"/>
        <w:spacing w:after="0" w:before="6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Identify high-burden regions using rate-based ranking.</w:t>
      </w:r>
    </w:p>
    <w:p w:rsidR="00000000" w:rsidDel="00000000" w:rsidP="00000000" w:rsidRDefault="00000000" w:rsidRPr="00000000" w14:paraId="00000027">
      <w:pPr>
        <w:numPr>
          <w:ilvl w:val="0"/>
          <w:numId w:val="11"/>
        </w:numPr>
        <w:shd w:fill="ffffff" w:val="clear"/>
        <w:spacing w:after="0" w:before="6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Compare disease patterns across selected high-burden regions.</w:t>
      </w:r>
    </w:p>
    <w:p w:rsidR="00000000" w:rsidDel="00000000" w:rsidP="00000000" w:rsidRDefault="00000000" w:rsidRPr="00000000" w14:paraId="00000028">
      <w:pPr>
        <w:numPr>
          <w:ilvl w:val="0"/>
          <w:numId w:val="11"/>
        </w:numPr>
        <w:shd w:fill="ffffff" w:val="clear"/>
        <w:spacing w:after="0" w:before="6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Evaluate disease severity using hospitalization rate and case fatality ratio.</w:t>
      </w:r>
    </w:p>
    <w:p w:rsidR="00000000" w:rsidDel="00000000" w:rsidP="00000000" w:rsidRDefault="00000000" w:rsidRPr="00000000" w14:paraId="00000029">
      <w:pPr>
        <w:numPr>
          <w:ilvl w:val="0"/>
          <w:numId w:val="11"/>
        </w:numPr>
        <w:shd w:fill="ffffff" w:val="clear"/>
        <w:spacing w:after="0" w:before="6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Build and compare forecasting models for IRA incidence.</w:t>
      </w:r>
    </w:p>
    <w:p w:rsidR="00000000" w:rsidDel="00000000" w:rsidP="00000000" w:rsidRDefault="00000000" w:rsidRPr="00000000" w14:paraId="0000002A">
      <w:pPr>
        <w:numPr>
          <w:ilvl w:val="0"/>
          <w:numId w:val="11"/>
        </w:numPr>
        <w:shd w:fill="ffffff" w:val="clear"/>
        <w:spacing w:after="0" w:before="6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Interpret machine learning models using feature importance.</w:t>
      </w:r>
    </w:p>
    <w:p w:rsidR="00000000" w:rsidDel="00000000" w:rsidP="00000000" w:rsidRDefault="00000000" w:rsidRPr="00000000" w14:paraId="0000002B">
      <w:pPr>
        <w:numPr>
          <w:ilvl w:val="0"/>
          <w:numId w:val="11"/>
        </w:numPr>
        <w:shd w:fill="ffffff" w:val="clear"/>
        <w:spacing w:after="0" w:before="6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Estimate forecast uncertainty using confidence intervals.</w:t>
      </w:r>
    </w:p>
    <w:p w:rsidR="00000000" w:rsidDel="00000000" w:rsidP="00000000" w:rsidRDefault="00000000" w:rsidRPr="00000000" w14:paraId="0000002C">
      <w:pPr>
        <w:numPr>
          <w:ilvl w:val="0"/>
          <w:numId w:val="11"/>
        </w:numPr>
        <w:shd w:fill="ffffff" w:val="clear"/>
        <w:spacing w:after="280" w:before="6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Extend the best-performing model framework to national-level analysis.</w:t>
      </w:r>
    </w:p>
    <w:p w:rsidR="00000000" w:rsidDel="00000000" w:rsidP="00000000" w:rsidRDefault="00000000" w:rsidRPr="00000000" w14:paraId="0000002D">
      <w:pPr>
        <w:spacing w:after="360" w:before="36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hd w:fill="ffffff" w:val="clear"/>
        <w:spacing w:after="240" w:before="360" w:line="240" w:lineRule="auto"/>
        <w:rPr>
          <w:rFonts w:ascii="Quattrocento Sans" w:cs="Quattrocento Sans" w:eastAsia="Quattrocento Sans" w:hAnsi="Quattrocento Sans"/>
          <w:b w:val="1"/>
          <w:bCs w:val="1"/>
          <w:color w:val="1f2328"/>
          <w:sz w:val="36"/>
          <w:szCs w:val="36"/>
        </w:rPr>
      </w:pPr>
      <w:r w:rsidDel="00000000" w:rsidR="00000000" w:rsidRPr="00000000">
        <w:rPr>
          <w:rFonts w:ascii="Quattrocento Sans" w:cs="Quattrocento Sans" w:eastAsia="Quattrocento Sans" w:hAnsi="Quattrocento Sans"/>
          <w:b w:val="1"/>
          <w:bCs w:val="1"/>
          <w:color w:val="1f2328"/>
          <w:sz w:val="36"/>
          <w:szCs w:val="36"/>
          <w:rtl w:val="0"/>
        </w:rPr>
        <w:t xml:space="preserve">Data</w:t>
      </w:r>
    </w:p>
    <w:p w:rsidR="00000000" w:rsidDel="00000000" w:rsidP="00000000" w:rsidRDefault="00000000" w:rsidRPr="00000000" w14:paraId="0000002F">
      <w:pPr>
        <w:shd w:fill="ffffff" w:val="clear"/>
        <w:spacing w:after="240" w:before="360" w:line="240" w:lineRule="auto"/>
        <w:rPr>
          <w:rFonts w:ascii="Quattrocento Sans" w:cs="Quattrocento Sans" w:eastAsia="Quattrocento Sans" w:hAnsi="Quattrocento Sans"/>
          <w:b w:val="1"/>
          <w:bCs w:val="1"/>
          <w:color w:val="1f2328"/>
          <w:sz w:val="30"/>
          <w:szCs w:val="30"/>
        </w:rPr>
      </w:pPr>
      <w:r w:rsidDel="00000000" w:rsidR="00000000" w:rsidRPr="00000000">
        <w:rPr>
          <w:rFonts w:ascii="Quattrocento Sans" w:cs="Quattrocento Sans" w:eastAsia="Quattrocento Sans" w:hAnsi="Quattrocento Sans"/>
          <w:b w:val="1"/>
          <w:bCs w:val="1"/>
          <w:color w:val="1f2328"/>
          <w:sz w:val="30"/>
          <w:szCs w:val="30"/>
          <w:rtl w:val="0"/>
        </w:rPr>
        <w:t xml:space="preserve">Raw Data</w:t>
      </w:r>
    </w:p>
    <w:p w:rsidR="00000000" w:rsidDel="00000000" w:rsidP="00000000" w:rsidRDefault="00000000" w:rsidRPr="00000000" w14:paraId="00000030">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The main IRA surveillance file is:</w:t>
      </w:r>
    </w:p>
    <w:p w:rsidR="00000000" w:rsidDel="00000000" w:rsidP="00000000" w:rsidRDefault="00000000" w:rsidRPr="00000000" w14:paraId="00000031">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data/raw/iras_updated.csv</w:t>
      </w:r>
    </w:p>
    <w:p w:rsidR="00000000" w:rsidDel="00000000" w:rsidP="00000000" w:rsidRDefault="00000000" w:rsidRPr="00000000" w14:paraId="00000032">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The dataset contains weekly observations with:</w:t>
      </w:r>
    </w:p>
    <w:p w:rsidR="00000000" w:rsidDel="00000000" w:rsidP="00000000" w:rsidRDefault="00000000" w:rsidRPr="00000000" w14:paraId="00000033">
      <w:pPr>
        <w:numPr>
          <w:ilvl w:val="0"/>
          <w:numId w:val="12"/>
        </w:numPr>
        <w:shd w:fill="ffffff" w:val="clear"/>
        <w:spacing w:after="0" w:before="28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Year and epidemiological week</w:t>
      </w:r>
    </w:p>
    <w:p w:rsidR="00000000" w:rsidDel="00000000" w:rsidP="00000000" w:rsidRDefault="00000000" w:rsidRPr="00000000" w14:paraId="00000034">
      <w:pPr>
        <w:numPr>
          <w:ilvl w:val="0"/>
          <w:numId w:val="12"/>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Department, province, and district information</w:t>
      </w:r>
    </w:p>
    <w:p w:rsidR="00000000" w:rsidDel="00000000" w:rsidP="00000000" w:rsidRDefault="00000000" w:rsidRPr="00000000" w14:paraId="00000035">
      <w:pPr>
        <w:numPr>
          <w:ilvl w:val="0"/>
          <w:numId w:val="12"/>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Cases</w:t>
      </w:r>
    </w:p>
    <w:p w:rsidR="00000000" w:rsidDel="00000000" w:rsidP="00000000" w:rsidRDefault="00000000" w:rsidRPr="00000000" w14:paraId="00000036">
      <w:pPr>
        <w:numPr>
          <w:ilvl w:val="0"/>
          <w:numId w:val="12"/>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Hospitalizations</w:t>
      </w:r>
    </w:p>
    <w:p w:rsidR="00000000" w:rsidDel="00000000" w:rsidP="00000000" w:rsidRDefault="00000000" w:rsidRPr="00000000" w14:paraId="00000037">
      <w:pPr>
        <w:numPr>
          <w:ilvl w:val="0"/>
          <w:numId w:val="12"/>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Deaths</w:t>
      </w:r>
    </w:p>
    <w:p w:rsidR="00000000" w:rsidDel="00000000" w:rsidP="00000000" w:rsidRDefault="00000000" w:rsidRPr="00000000" w14:paraId="00000038">
      <w:pPr>
        <w:numPr>
          <w:ilvl w:val="0"/>
          <w:numId w:val="12"/>
        </w:numPr>
        <w:shd w:fill="ffffff" w:val="clear"/>
        <w:spacing w:after="28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Age-group-specific indicators</w:t>
      </w:r>
    </w:p>
    <w:p w:rsidR="00000000" w:rsidDel="00000000" w:rsidP="00000000" w:rsidRDefault="00000000" w:rsidRPr="00000000" w14:paraId="00000039">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Important columns include:</w:t>
      </w:r>
    </w:p>
    <w:p w:rsidR="00000000" w:rsidDel="00000000" w:rsidP="00000000" w:rsidRDefault="00000000" w:rsidRPr="00000000" w14:paraId="0000003A">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neumonias_men5</w:t>
      </w:r>
    </w:p>
    <w:p w:rsidR="00000000" w:rsidDel="00000000" w:rsidP="00000000" w:rsidRDefault="00000000" w:rsidRPr="00000000" w14:paraId="0000003B">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neumonias_60mas</w:t>
      </w:r>
    </w:p>
    <w:p w:rsidR="00000000" w:rsidDel="00000000" w:rsidP="00000000" w:rsidRDefault="00000000" w:rsidRPr="00000000" w14:paraId="0000003C">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hospitalizados_men5</w:t>
      </w:r>
    </w:p>
    <w:p w:rsidR="00000000" w:rsidDel="00000000" w:rsidP="00000000" w:rsidRDefault="00000000" w:rsidRPr="00000000" w14:paraId="0000003D">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hospitalizados_60mas</w:t>
      </w:r>
    </w:p>
    <w:p w:rsidR="00000000" w:rsidDel="00000000" w:rsidP="00000000" w:rsidRDefault="00000000" w:rsidRPr="00000000" w14:paraId="0000003E">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defunciones_men5</w:t>
      </w:r>
    </w:p>
    <w:p w:rsidR="00000000" w:rsidDel="00000000" w:rsidP="00000000" w:rsidRDefault="00000000" w:rsidRPr="00000000" w14:paraId="0000003F">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defunciones_60mas</w:t>
      </w:r>
    </w:p>
    <w:p w:rsidR="00000000" w:rsidDel="00000000" w:rsidP="00000000" w:rsidRDefault="00000000" w:rsidRPr="00000000" w14:paraId="00000040">
      <w:pPr>
        <w:shd w:fill="ffffff" w:val="clear"/>
        <w:spacing w:after="240" w:before="360" w:line="240" w:lineRule="auto"/>
        <w:rPr>
          <w:rFonts w:ascii="Quattrocento Sans" w:cs="Quattrocento Sans" w:eastAsia="Quattrocento Sans" w:hAnsi="Quattrocento Sans"/>
          <w:b w:val="1"/>
          <w:bCs w:val="1"/>
          <w:color w:val="1f2328"/>
          <w:sz w:val="30"/>
          <w:szCs w:val="30"/>
        </w:rPr>
      </w:pPr>
      <w:r w:rsidDel="00000000" w:rsidR="00000000" w:rsidRPr="00000000">
        <w:rPr>
          <w:rFonts w:ascii="Quattrocento Sans" w:cs="Quattrocento Sans" w:eastAsia="Quattrocento Sans" w:hAnsi="Quattrocento Sans"/>
          <w:b w:val="1"/>
          <w:bCs w:val="1"/>
          <w:color w:val="1f2328"/>
          <w:sz w:val="30"/>
          <w:szCs w:val="30"/>
          <w:rtl w:val="0"/>
        </w:rPr>
        <w:t xml:space="preserve">Population Data</w:t>
      </w:r>
    </w:p>
    <w:p w:rsidR="00000000" w:rsidDel="00000000" w:rsidP="00000000" w:rsidRDefault="00000000" w:rsidRPr="00000000" w14:paraId="00000041">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Population files include:</w:t>
      </w:r>
    </w:p>
    <w:p w:rsidR="00000000" w:rsidDel="00000000" w:rsidP="00000000" w:rsidRDefault="00000000" w:rsidRPr="00000000" w14:paraId="00000042">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data/raw/dept_updated.xlsx</w:t>
      </w:r>
    </w:p>
    <w:p w:rsidR="00000000" w:rsidDel="00000000" w:rsidP="00000000" w:rsidRDefault="00000000" w:rsidRPr="00000000" w14:paraId="00000043">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data/raw/province_updated.xlsx</w:t>
      </w:r>
    </w:p>
    <w:p w:rsidR="00000000" w:rsidDel="00000000" w:rsidP="00000000" w:rsidRDefault="00000000" w:rsidRPr="00000000" w14:paraId="00000044">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data/raw/district_updated.xlsx</w:t>
      </w:r>
    </w:p>
    <w:p w:rsidR="00000000" w:rsidDel="00000000" w:rsidP="00000000" w:rsidRDefault="00000000" w:rsidRPr="00000000" w14:paraId="00000045">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data/processed/dept_updated_census.xlsx</w:t>
      </w:r>
    </w:p>
    <w:p w:rsidR="00000000" w:rsidDel="00000000" w:rsidP="00000000" w:rsidRDefault="00000000" w:rsidRPr="00000000" w14:paraId="00000046">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data/processed/deptPopulationInterpolated_2000-2023.csv</w:t>
      </w:r>
    </w:p>
    <w:p w:rsidR="00000000" w:rsidDel="00000000" w:rsidP="00000000" w:rsidRDefault="00000000" w:rsidRPr="00000000" w14:paraId="00000047">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Population interpolation was required because incidence rates need annual population values for each department across the full analysis period.</w:t>
      </w:r>
    </w:p>
    <w:p w:rsidR="00000000" w:rsidDel="00000000" w:rsidP="00000000" w:rsidRDefault="00000000" w:rsidRPr="00000000" w14:paraId="00000048">
      <w:pPr>
        <w:spacing w:after="360" w:before="36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hd w:fill="ffffff" w:val="clear"/>
        <w:spacing w:after="240" w:before="360" w:line="240" w:lineRule="auto"/>
        <w:rPr>
          <w:rFonts w:ascii="Quattrocento Sans" w:cs="Quattrocento Sans" w:eastAsia="Quattrocento Sans" w:hAnsi="Quattrocento Sans"/>
          <w:b w:val="1"/>
          <w:bCs w:val="1"/>
          <w:color w:val="1f2328"/>
          <w:sz w:val="36"/>
          <w:szCs w:val="36"/>
        </w:rPr>
      </w:pPr>
      <w:r w:rsidDel="00000000" w:rsidR="00000000" w:rsidRPr="00000000">
        <w:rPr>
          <w:rFonts w:ascii="Quattrocento Sans" w:cs="Quattrocento Sans" w:eastAsia="Quattrocento Sans" w:hAnsi="Quattrocento Sans"/>
          <w:b w:val="1"/>
          <w:bCs w:val="1"/>
          <w:color w:val="1f2328"/>
          <w:sz w:val="36"/>
          <w:szCs w:val="36"/>
          <w:rtl w:val="0"/>
        </w:rPr>
        <w:t xml:space="preserve">Data Preparation</w:t>
      </w:r>
    </w:p>
    <w:p w:rsidR="00000000" w:rsidDel="00000000" w:rsidP="00000000" w:rsidRDefault="00000000" w:rsidRPr="00000000" w14:paraId="0000004A">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The preprocessing pipeline includes:</w:t>
      </w:r>
    </w:p>
    <w:p w:rsidR="00000000" w:rsidDel="00000000" w:rsidP="00000000" w:rsidRDefault="00000000" w:rsidRPr="00000000" w14:paraId="0000004B">
      <w:pPr>
        <w:numPr>
          <w:ilvl w:val="0"/>
          <w:numId w:val="13"/>
        </w:numPr>
        <w:shd w:fill="ffffff" w:val="clear"/>
        <w:spacing w:after="0" w:before="28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Cleaning and standardizing column names.</w:t>
      </w:r>
    </w:p>
    <w:p w:rsidR="00000000" w:rsidDel="00000000" w:rsidP="00000000" w:rsidRDefault="00000000" w:rsidRPr="00000000" w14:paraId="0000004C">
      <w:pPr>
        <w:numPr>
          <w:ilvl w:val="0"/>
          <w:numId w:val="13"/>
        </w:numPr>
        <w:shd w:fill="ffffff" w:val="clear"/>
        <w:spacing w:after="0" w:before="6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Standardizing department identifiers.</w:t>
      </w:r>
    </w:p>
    <w:p w:rsidR="00000000" w:rsidDel="00000000" w:rsidP="00000000" w:rsidRDefault="00000000" w:rsidRPr="00000000" w14:paraId="0000004D">
      <w:pPr>
        <w:numPr>
          <w:ilvl w:val="0"/>
          <w:numId w:val="13"/>
        </w:numPr>
        <w:shd w:fill="ffffff" w:val="clear"/>
        <w:spacing w:after="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Converting </w:t>
      </w:r>
      <w:r w:rsidDel="00000000" w:rsidR="00000000" w:rsidRPr="00000000">
        <w:rPr>
          <w:rFonts w:ascii="Consolas" w:cs="Consolas" w:eastAsia="Consolas" w:hAnsi="Consolas"/>
          <w:color w:val="1f2328"/>
          <w:sz w:val="20"/>
          <w:szCs w:val="20"/>
          <w:rtl w:val="0"/>
        </w:rPr>
        <w:t xml:space="preserve">ano</w:t>
      </w:r>
      <w:r w:rsidDel="00000000" w:rsidR="00000000" w:rsidRPr="00000000">
        <w:rPr>
          <w:rFonts w:ascii="Quattrocento Sans" w:cs="Quattrocento Sans" w:eastAsia="Quattrocento Sans" w:hAnsi="Quattrocento Sans"/>
          <w:color w:val="1f2328"/>
          <w:sz w:val="24"/>
          <w:szCs w:val="24"/>
          <w:rtl w:val="0"/>
        </w:rPr>
        <w:t xml:space="preserve"> and </w:t>
      </w:r>
      <w:r w:rsidDel="00000000" w:rsidR="00000000" w:rsidRPr="00000000">
        <w:rPr>
          <w:rFonts w:ascii="Consolas" w:cs="Consolas" w:eastAsia="Consolas" w:hAnsi="Consolas"/>
          <w:color w:val="1f2328"/>
          <w:sz w:val="20"/>
          <w:szCs w:val="20"/>
          <w:rtl w:val="0"/>
        </w:rPr>
        <w:t xml:space="preserve">semana</w:t>
      </w:r>
      <w:r w:rsidDel="00000000" w:rsidR="00000000" w:rsidRPr="00000000">
        <w:rPr>
          <w:rFonts w:ascii="Quattrocento Sans" w:cs="Quattrocento Sans" w:eastAsia="Quattrocento Sans" w:hAnsi="Quattrocento Sans"/>
          <w:color w:val="1f2328"/>
          <w:sz w:val="24"/>
          <w:szCs w:val="24"/>
          <w:rtl w:val="0"/>
        </w:rPr>
        <w:t xml:space="preserve"> into weekly dates.</w:t>
      </w:r>
    </w:p>
    <w:p w:rsidR="00000000" w:rsidDel="00000000" w:rsidP="00000000" w:rsidRDefault="00000000" w:rsidRPr="00000000" w14:paraId="0000004E">
      <w:pPr>
        <w:numPr>
          <w:ilvl w:val="0"/>
          <w:numId w:val="13"/>
        </w:numPr>
        <w:shd w:fill="ffffff" w:val="clear"/>
        <w:spacing w:after="0" w:before="6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Interpolating department-level population from 2000–2023.</w:t>
      </w:r>
    </w:p>
    <w:p w:rsidR="00000000" w:rsidDel="00000000" w:rsidP="00000000" w:rsidRDefault="00000000" w:rsidRPr="00000000" w14:paraId="0000004F">
      <w:pPr>
        <w:numPr>
          <w:ilvl w:val="0"/>
          <w:numId w:val="13"/>
        </w:numPr>
        <w:shd w:fill="ffffff" w:val="clear"/>
        <w:spacing w:after="0" w:before="6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Aggregating data to weekly, monthly, annual, regional, and national levels.</w:t>
      </w:r>
    </w:p>
    <w:p w:rsidR="00000000" w:rsidDel="00000000" w:rsidP="00000000" w:rsidRDefault="00000000" w:rsidRPr="00000000" w14:paraId="00000050">
      <w:pPr>
        <w:numPr>
          <w:ilvl w:val="0"/>
          <w:numId w:val="13"/>
        </w:numPr>
        <w:shd w:fill="ffffff" w:val="clear"/>
        <w:spacing w:after="280" w:before="6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Computing incidence rates per 100,000 population.</w:t>
      </w:r>
    </w:p>
    <w:p w:rsidR="00000000" w:rsidDel="00000000" w:rsidP="00000000" w:rsidRDefault="00000000" w:rsidRPr="00000000" w14:paraId="00000051">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Incidence was calculated as:</w:t>
      </w:r>
    </w:p>
    <w:p w:rsidR="00000000" w:rsidDel="00000000" w:rsidP="00000000" w:rsidRDefault="00000000" w:rsidRPr="00000000" w14:paraId="00000052">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Incidence = (Cases / Population) × 100,000</w:t>
      </w:r>
    </w:p>
    <w:p w:rsidR="00000000" w:rsidDel="00000000" w:rsidP="00000000" w:rsidRDefault="00000000" w:rsidRPr="00000000" w14:paraId="00000053">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For national analysis, incidence was computed using:</w:t>
      </w:r>
    </w:p>
    <w:p w:rsidR="00000000" w:rsidDel="00000000" w:rsidP="00000000" w:rsidRDefault="00000000" w:rsidRPr="00000000" w14:paraId="00000054">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National Incidence = (Total Cases across all regions / Total Population across all regions) × 100,000</w:t>
      </w:r>
    </w:p>
    <w:p w:rsidR="00000000" w:rsidDel="00000000" w:rsidP="00000000" w:rsidRDefault="00000000" w:rsidRPr="00000000" w14:paraId="00000055">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National incidence was not calculated by summing regional incidence rates.</w:t>
      </w:r>
    </w:p>
    <w:p w:rsidR="00000000" w:rsidDel="00000000" w:rsidP="00000000" w:rsidRDefault="00000000" w:rsidRPr="00000000" w14:paraId="00000056">
      <w:pPr>
        <w:spacing w:after="360" w:before="36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hd w:fill="ffffff" w:val="clear"/>
        <w:spacing w:after="240" w:before="360" w:line="240" w:lineRule="auto"/>
        <w:rPr>
          <w:rFonts w:ascii="Quattrocento Sans" w:cs="Quattrocento Sans" w:eastAsia="Quattrocento Sans" w:hAnsi="Quattrocento Sans"/>
          <w:b w:val="1"/>
          <w:bCs w:val="1"/>
          <w:color w:val="1f2328"/>
          <w:sz w:val="36"/>
          <w:szCs w:val="36"/>
        </w:rPr>
      </w:pPr>
      <w:r w:rsidDel="00000000" w:rsidR="00000000" w:rsidRPr="00000000">
        <w:rPr>
          <w:rFonts w:ascii="Quattrocento Sans" w:cs="Quattrocento Sans" w:eastAsia="Quattrocento Sans" w:hAnsi="Quattrocento Sans"/>
          <w:b w:val="1"/>
          <w:bCs w:val="1"/>
          <w:color w:val="1f2328"/>
          <w:sz w:val="36"/>
          <w:szCs w:val="36"/>
          <w:rtl w:val="0"/>
        </w:rPr>
        <w:t xml:space="preserve">Exploratory Data Analysis</w:t>
      </w:r>
    </w:p>
    <w:p w:rsidR="00000000" w:rsidDel="00000000" w:rsidP="00000000" w:rsidRDefault="00000000" w:rsidRPr="00000000" w14:paraId="00000058">
      <w:pPr>
        <w:shd w:fill="ffffff" w:val="clear"/>
        <w:spacing w:after="240" w:before="360" w:line="240" w:lineRule="auto"/>
        <w:rPr>
          <w:rFonts w:ascii="Quattrocento Sans" w:cs="Quattrocento Sans" w:eastAsia="Quattrocento Sans" w:hAnsi="Quattrocento Sans"/>
          <w:b w:val="1"/>
          <w:bCs w:val="1"/>
          <w:color w:val="1f2328"/>
          <w:sz w:val="30"/>
          <w:szCs w:val="30"/>
        </w:rPr>
      </w:pPr>
      <w:r w:rsidDel="00000000" w:rsidR="00000000" w:rsidRPr="00000000">
        <w:rPr>
          <w:rFonts w:ascii="Quattrocento Sans" w:cs="Quattrocento Sans" w:eastAsia="Quattrocento Sans" w:hAnsi="Quattrocento Sans"/>
          <w:b w:val="1"/>
          <w:bCs w:val="1"/>
          <w:color w:val="1f2328"/>
          <w:sz w:val="30"/>
          <w:szCs w:val="30"/>
          <w:rtl w:val="0"/>
        </w:rPr>
        <w:t xml:space="preserve">Annual Variation Analysis</w:t>
      </w:r>
    </w:p>
    <w:p w:rsidR="00000000" w:rsidDel="00000000" w:rsidP="00000000" w:rsidRDefault="00000000" w:rsidRPr="00000000" w14:paraId="00000059">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Annual case, hospitalization, and death rates were analyzed for both age groups to identify long-term trends and structural changes.</w:t>
      </w:r>
    </w:p>
    <w:p w:rsidR="00000000" w:rsidDel="00000000" w:rsidP="00000000" w:rsidRDefault="00000000" w:rsidRPr="00000000" w14:paraId="0000005A">
      <w:pPr>
        <w:shd w:fill="ffffff" w:val="clear"/>
        <w:spacing w:after="240" w:before="360" w:line="240" w:lineRule="auto"/>
        <w:rPr>
          <w:rFonts w:ascii="Quattrocento Sans" w:cs="Quattrocento Sans" w:eastAsia="Quattrocento Sans" w:hAnsi="Quattrocento Sans"/>
          <w:b w:val="1"/>
          <w:bCs w:val="1"/>
          <w:color w:val="1f2328"/>
          <w:sz w:val="30"/>
          <w:szCs w:val="30"/>
        </w:rPr>
      </w:pPr>
      <w:r w:rsidDel="00000000" w:rsidR="00000000" w:rsidRPr="00000000">
        <w:rPr>
          <w:rFonts w:ascii="Quattrocento Sans" w:cs="Quattrocento Sans" w:eastAsia="Quattrocento Sans" w:hAnsi="Quattrocento Sans"/>
          <w:b w:val="1"/>
          <w:bCs w:val="1"/>
          <w:color w:val="1f2328"/>
          <w:sz w:val="30"/>
          <w:szCs w:val="30"/>
          <w:rtl w:val="0"/>
        </w:rPr>
        <w:t xml:space="preserve">Seasonality Analysis</w:t>
      </w:r>
    </w:p>
    <w:p w:rsidR="00000000" w:rsidDel="00000000" w:rsidP="00000000" w:rsidRDefault="00000000" w:rsidRPr="00000000" w14:paraId="0000005B">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Seasonality was examined using:</w:t>
      </w:r>
    </w:p>
    <w:p w:rsidR="00000000" w:rsidDel="00000000" w:rsidP="00000000" w:rsidRDefault="00000000" w:rsidRPr="00000000" w14:paraId="0000005C">
      <w:pPr>
        <w:numPr>
          <w:ilvl w:val="0"/>
          <w:numId w:val="14"/>
        </w:numPr>
        <w:shd w:fill="ffffff" w:val="clear"/>
        <w:spacing w:after="0" w:before="28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Monthly boxplots</w:t>
      </w:r>
    </w:p>
    <w:p w:rsidR="00000000" w:rsidDel="00000000" w:rsidP="00000000" w:rsidRDefault="00000000" w:rsidRPr="00000000" w14:paraId="0000005D">
      <w:pPr>
        <w:numPr>
          <w:ilvl w:val="0"/>
          <w:numId w:val="14"/>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Year × month heatmaps</w:t>
      </w:r>
    </w:p>
    <w:p w:rsidR="00000000" w:rsidDel="00000000" w:rsidP="00000000" w:rsidRDefault="00000000" w:rsidRPr="00000000" w14:paraId="0000005E">
      <w:pPr>
        <w:numPr>
          <w:ilvl w:val="0"/>
          <w:numId w:val="14"/>
        </w:numPr>
        <w:shd w:fill="ffffff" w:val="clear"/>
        <w:spacing w:after="28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STL decomposition</w:t>
      </w:r>
    </w:p>
    <w:p w:rsidR="00000000" w:rsidDel="00000000" w:rsidP="00000000" w:rsidRDefault="00000000" w:rsidRPr="00000000" w14:paraId="0000005F">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This helped identify recurring seasonal peaks, long-term trend patterns, and irregular spikes.</w:t>
      </w:r>
    </w:p>
    <w:p w:rsidR="00000000" w:rsidDel="00000000" w:rsidP="00000000" w:rsidRDefault="00000000" w:rsidRPr="00000000" w14:paraId="00000060">
      <w:pPr>
        <w:shd w:fill="ffffff" w:val="clear"/>
        <w:spacing w:after="240" w:before="360" w:line="240" w:lineRule="auto"/>
        <w:rPr>
          <w:rFonts w:ascii="Quattrocento Sans" w:cs="Quattrocento Sans" w:eastAsia="Quattrocento Sans" w:hAnsi="Quattrocento Sans"/>
          <w:b w:val="1"/>
          <w:bCs w:val="1"/>
          <w:color w:val="1f2328"/>
          <w:sz w:val="30"/>
          <w:szCs w:val="30"/>
        </w:rPr>
      </w:pPr>
      <w:r w:rsidDel="00000000" w:rsidR="00000000" w:rsidRPr="00000000">
        <w:rPr>
          <w:rFonts w:ascii="Quattrocento Sans" w:cs="Quattrocento Sans" w:eastAsia="Quattrocento Sans" w:hAnsi="Quattrocento Sans"/>
          <w:b w:val="1"/>
          <w:bCs w:val="1"/>
          <w:color w:val="1f2328"/>
          <w:sz w:val="30"/>
          <w:szCs w:val="30"/>
          <w:rtl w:val="0"/>
        </w:rPr>
        <w:t xml:space="preserve">Top Regions Analysis</w:t>
      </w:r>
    </w:p>
    <w:p w:rsidR="00000000" w:rsidDel="00000000" w:rsidP="00000000" w:rsidRDefault="00000000" w:rsidRPr="00000000" w14:paraId="00000061">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Departments were ranked annually using rates per 100,000 population. The analysis included:</w:t>
      </w:r>
    </w:p>
    <w:p w:rsidR="00000000" w:rsidDel="00000000" w:rsidP="00000000" w:rsidRDefault="00000000" w:rsidRPr="00000000" w14:paraId="00000062">
      <w:pPr>
        <w:numPr>
          <w:ilvl w:val="0"/>
          <w:numId w:val="15"/>
        </w:numPr>
        <w:shd w:fill="ffffff" w:val="clear"/>
        <w:spacing w:after="0" w:before="28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Rank grids</w:t>
      </w:r>
    </w:p>
    <w:p w:rsidR="00000000" w:rsidDel="00000000" w:rsidP="00000000" w:rsidRDefault="00000000" w:rsidRPr="00000000" w14:paraId="00000063">
      <w:pPr>
        <w:numPr>
          <w:ilvl w:val="0"/>
          <w:numId w:val="15"/>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Top-3 frequency tables</w:t>
      </w:r>
    </w:p>
    <w:p w:rsidR="00000000" w:rsidDel="00000000" w:rsidP="00000000" w:rsidRDefault="00000000" w:rsidRPr="00000000" w14:paraId="00000064">
      <w:pPr>
        <w:numPr>
          <w:ilvl w:val="0"/>
          <w:numId w:val="15"/>
        </w:numPr>
        <w:shd w:fill="ffffff" w:val="clear"/>
        <w:spacing w:after="28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Rank-category heatmaps</w:t>
      </w:r>
    </w:p>
    <w:p w:rsidR="00000000" w:rsidDel="00000000" w:rsidP="00000000" w:rsidRDefault="00000000" w:rsidRPr="00000000" w14:paraId="00000065">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Rank categories were grouped as:</w:t>
      </w:r>
    </w:p>
    <w:p w:rsidR="00000000" w:rsidDel="00000000" w:rsidP="00000000" w:rsidRDefault="00000000" w:rsidRPr="00000000" w14:paraId="00000066">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1–5   -&gt; Category 1</w:t>
      </w:r>
    </w:p>
    <w:p w:rsidR="00000000" w:rsidDel="00000000" w:rsidP="00000000" w:rsidRDefault="00000000" w:rsidRPr="00000000" w14:paraId="00000067">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6–10  -&gt; Category 2</w:t>
      </w:r>
    </w:p>
    <w:p w:rsidR="00000000" w:rsidDel="00000000" w:rsidP="00000000" w:rsidRDefault="00000000" w:rsidRPr="00000000" w14:paraId="00000068">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11–15 -&gt; Category 3</w:t>
      </w:r>
    </w:p>
    <w:p w:rsidR="00000000" w:rsidDel="00000000" w:rsidP="00000000" w:rsidRDefault="00000000" w:rsidRPr="00000000" w14:paraId="00000069">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16–20 -&gt; Category 4</w:t>
      </w:r>
    </w:p>
    <w:p w:rsidR="00000000" w:rsidDel="00000000" w:rsidP="00000000" w:rsidRDefault="00000000" w:rsidRPr="00000000" w14:paraId="0000006A">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21–25 -&gt; Category 5</w:t>
      </w:r>
    </w:p>
    <w:p w:rsidR="00000000" w:rsidDel="00000000" w:rsidP="00000000" w:rsidRDefault="00000000" w:rsidRPr="00000000" w14:paraId="0000006B">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This helped identify regions with persistent high IRA burden.</w:t>
      </w:r>
    </w:p>
    <w:p w:rsidR="00000000" w:rsidDel="00000000" w:rsidP="00000000" w:rsidRDefault="00000000" w:rsidRPr="00000000" w14:paraId="0000006C">
      <w:pPr>
        <w:shd w:fill="ffffff" w:val="clear"/>
        <w:spacing w:after="240" w:before="360" w:line="240" w:lineRule="auto"/>
        <w:rPr>
          <w:rFonts w:ascii="Quattrocento Sans" w:cs="Quattrocento Sans" w:eastAsia="Quattrocento Sans" w:hAnsi="Quattrocento Sans"/>
          <w:b w:val="1"/>
          <w:bCs w:val="1"/>
          <w:color w:val="1f2328"/>
          <w:sz w:val="30"/>
          <w:szCs w:val="30"/>
        </w:rPr>
      </w:pPr>
      <w:r w:rsidDel="00000000" w:rsidR="00000000" w:rsidRPr="00000000">
        <w:rPr>
          <w:rFonts w:ascii="Quattrocento Sans" w:cs="Quattrocento Sans" w:eastAsia="Quattrocento Sans" w:hAnsi="Quattrocento Sans"/>
          <w:b w:val="1"/>
          <w:bCs w:val="1"/>
          <w:color w:val="1f2328"/>
          <w:sz w:val="30"/>
          <w:szCs w:val="30"/>
          <w:rtl w:val="0"/>
        </w:rPr>
        <w:t xml:space="preserve">Regional Analysis</w:t>
      </w:r>
    </w:p>
    <w:p w:rsidR="00000000" w:rsidDel="00000000" w:rsidP="00000000" w:rsidRDefault="00000000" w:rsidRPr="00000000" w14:paraId="0000006D">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After identifying high-burden regions, detailed regional analysis was performed for:</w:t>
      </w:r>
    </w:p>
    <w:p w:rsidR="00000000" w:rsidDel="00000000" w:rsidP="00000000" w:rsidRDefault="00000000" w:rsidRPr="00000000" w14:paraId="0000006E">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Children under 5:</w:t>
      </w:r>
    </w:p>
    <w:p w:rsidR="00000000" w:rsidDel="00000000" w:rsidP="00000000" w:rsidRDefault="00000000" w:rsidRPr="00000000" w14:paraId="0000006F">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HUANUCO</w:t>
      </w:r>
    </w:p>
    <w:p w:rsidR="00000000" w:rsidDel="00000000" w:rsidP="00000000" w:rsidRDefault="00000000" w:rsidRPr="00000000" w14:paraId="00000070">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LORETO</w:t>
      </w:r>
    </w:p>
    <w:p w:rsidR="00000000" w:rsidDel="00000000" w:rsidP="00000000" w:rsidRDefault="00000000" w:rsidRPr="00000000" w14:paraId="00000071">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UCAYALI</w:t>
      </w:r>
    </w:p>
    <w:p w:rsidR="00000000" w:rsidDel="00000000" w:rsidP="00000000" w:rsidRDefault="00000000" w:rsidRPr="00000000" w14:paraId="00000072">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Adults 60+:</w:t>
      </w:r>
    </w:p>
    <w:p w:rsidR="00000000" w:rsidDel="00000000" w:rsidP="00000000" w:rsidRDefault="00000000" w:rsidRPr="00000000" w14:paraId="00000073">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AREQUIPA</w:t>
      </w:r>
    </w:p>
    <w:p w:rsidR="00000000" w:rsidDel="00000000" w:rsidP="00000000" w:rsidRDefault="00000000" w:rsidRPr="00000000" w14:paraId="00000074">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CUSCO</w:t>
      </w:r>
    </w:p>
    <w:p w:rsidR="00000000" w:rsidDel="00000000" w:rsidP="00000000" w:rsidRDefault="00000000" w:rsidRPr="00000000" w14:paraId="00000075">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MOQUEGUA</w:t>
      </w:r>
    </w:p>
    <w:p w:rsidR="00000000" w:rsidDel="00000000" w:rsidP="00000000" w:rsidRDefault="00000000" w:rsidRPr="00000000" w14:paraId="00000076">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For each region, annual trends, monthly seasonality, heatmaps, and STL decomposition were created.</w:t>
      </w:r>
    </w:p>
    <w:p w:rsidR="00000000" w:rsidDel="00000000" w:rsidP="00000000" w:rsidRDefault="00000000" w:rsidRPr="00000000" w14:paraId="00000077">
      <w:pPr>
        <w:shd w:fill="ffffff" w:val="clear"/>
        <w:spacing w:after="240" w:before="360" w:line="240" w:lineRule="auto"/>
        <w:rPr>
          <w:rFonts w:ascii="Quattrocento Sans" w:cs="Quattrocento Sans" w:eastAsia="Quattrocento Sans" w:hAnsi="Quattrocento Sans"/>
          <w:b w:val="1"/>
          <w:bCs w:val="1"/>
          <w:color w:val="1f2328"/>
          <w:sz w:val="30"/>
          <w:szCs w:val="30"/>
        </w:rPr>
      </w:pPr>
      <w:r w:rsidDel="00000000" w:rsidR="00000000" w:rsidRPr="00000000">
        <w:rPr>
          <w:rFonts w:ascii="Quattrocento Sans" w:cs="Quattrocento Sans" w:eastAsia="Quattrocento Sans" w:hAnsi="Quattrocento Sans"/>
          <w:b w:val="1"/>
          <w:bCs w:val="1"/>
          <w:color w:val="1f2328"/>
          <w:sz w:val="30"/>
          <w:szCs w:val="30"/>
          <w:rtl w:val="0"/>
        </w:rPr>
        <w:t xml:space="preserve">Disease Severity Analysis</w:t>
      </w:r>
    </w:p>
    <w:p w:rsidR="00000000" w:rsidDel="00000000" w:rsidP="00000000" w:rsidRDefault="00000000" w:rsidRPr="00000000" w14:paraId="00000078">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Disease severity was evaluated using:</w:t>
      </w:r>
    </w:p>
    <w:p w:rsidR="00000000" w:rsidDel="00000000" w:rsidP="00000000" w:rsidRDefault="00000000" w:rsidRPr="00000000" w14:paraId="00000079">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Hospitalization Rate (HR) = Hospitalizations / Cases</w:t>
      </w:r>
    </w:p>
    <w:p w:rsidR="00000000" w:rsidDel="00000000" w:rsidP="00000000" w:rsidRDefault="00000000" w:rsidRPr="00000000" w14:paraId="0000007A">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Case Fatality Ratio (CFR) = Deaths / Cases</w:t>
      </w:r>
    </w:p>
    <w:p w:rsidR="00000000" w:rsidDel="00000000" w:rsidP="00000000" w:rsidRDefault="00000000" w:rsidRPr="00000000" w14:paraId="0000007B">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Weekly HR and CFR were smoothed using an 8-week rolling average. Annual HR vs CFR scatter plots were also created.</w:t>
      </w:r>
    </w:p>
    <w:p w:rsidR="00000000" w:rsidDel="00000000" w:rsidP="00000000" w:rsidRDefault="00000000" w:rsidRPr="00000000" w14:paraId="0000007C">
      <w:pPr>
        <w:spacing w:after="360" w:before="36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hd w:fill="ffffff" w:val="clear"/>
        <w:spacing w:after="240" w:before="360" w:line="240" w:lineRule="auto"/>
        <w:rPr>
          <w:rFonts w:ascii="Quattrocento Sans" w:cs="Quattrocento Sans" w:eastAsia="Quattrocento Sans" w:hAnsi="Quattrocento Sans"/>
          <w:b w:val="1"/>
          <w:bCs w:val="1"/>
          <w:color w:val="1f2328"/>
          <w:sz w:val="36"/>
          <w:szCs w:val="36"/>
        </w:rPr>
      </w:pPr>
      <w:r w:rsidDel="00000000" w:rsidR="00000000" w:rsidRPr="00000000">
        <w:rPr>
          <w:rFonts w:ascii="Quattrocento Sans" w:cs="Quattrocento Sans" w:eastAsia="Quattrocento Sans" w:hAnsi="Quattrocento Sans"/>
          <w:b w:val="1"/>
          <w:bCs w:val="1"/>
          <w:color w:val="1f2328"/>
          <w:sz w:val="36"/>
          <w:szCs w:val="36"/>
          <w:rtl w:val="0"/>
        </w:rPr>
        <w:t xml:space="preserve">Forecasting Methodology</w:t>
      </w:r>
    </w:p>
    <w:p w:rsidR="00000000" w:rsidDel="00000000" w:rsidP="00000000" w:rsidRDefault="00000000" w:rsidRPr="00000000" w14:paraId="0000007E">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The forecasting task focuses on weekly IRA incidence rates per 100,000 population.</w:t>
      </w:r>
    </w:p>
    <w:p w:rsidR="00000000" w:rsidDel="00000000" w:rsidP="00000000" w:rsidRDefault="00000000" w:rsidRPr="00000000" w14:paraId="0000007F">
      <w:pPr>
        <w:shd w:fill="ffffff" w:val="clear"/>
        <w:spacing w:after="240" w:before="360" w:line="240" w:lineRule="auto"/>
        <w:rPr>
          <w:rFonts w:ascii="Quattrocento Sans" w:cs="Quattrocento Sans" w:eastAsia="Quattrocento Sans" w:hAnsi="Quattrocento Sans"/>
          <w:b w:val="1"/>
          <w:bCs w:val="1"/>
          <w:color w:val="1f2328"/>
          <w:sz w:val="30"/>
          <w:szCs w:val="30"/>
        </w:rPr>
      </w:pPr>
      <w:r w:rsidDel="00000000" w:rsidR="00000000" w:rsidRPr="00000000">
        <w:rPr>
          <w:rFonts w:ascii="Quattrocento Sans" w:cs="Quattrocento Sans" w:eastAsia="Quattrocento Sans" w:hAnsi="Quattrocento Sans"/>
          <w:b w:val="1"/>
          <w:bCs w:val="1"/>
          <w:color w:val="1f2328"/>
          <w:sz w:val="30"/>
          <w:szCs w:val="30"/>
          <w:rtl w:val="0"/>
        </w:rPr>
        <w:t xml:space="preserve">Models Used</w:t>
      </w:r>
    </w:p>
    <w:p w:rsidR="00000000" w:rsidDel="00000000" w:rsidP="00000000" w:rsidRDefault="00000000" w:rsidRPr="00000000" w14:paraId="00000080">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Seven forecasting models were compared:</w:t>
      </w:r>
    </w:p>
    <w:p w:rsidR="00000000" w:rsidDel="00000000" w:rsidP="00000000" w:rsidRDefault="00000000" w:rsidRPr="00000000" w14:paraId="00000081">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Baseline models:</w:t>
      </w:r>
    </w:p>
    <w:p w:rsidR="00000000" w:rsidDel="00000000" w:rsidP="00000000" w:rsidRDefault="00000000" w:rsidRPr="00000000" w14:paraId="00000082">
      <w:pPr>
        <w:numPr>
          <w:ilvl w:val="0"/>
          <w:numId w:val="16"/>
        </w:numPr>
        <w:shd w:fill="ffffff" w:val="clear"/>
        <w:spacing w:after="0" w:before="28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Naive</w:t>
      </w:r>
    </w:p>
    <w:p w:rsidR="00000000" w:rsidDel="00000000" w:rsidP="00000000" w:rsidRDefault="00000000" w:rsidRPr="00000000" w14:paraId="00000083">
      <w:pPr>
        <w:numPr>
          <w:ilvl w:val="0"/>
          <w:numId w:val="16"/>
        </w:numPr>
        <w:shd w:fill="ffffff" w:val="clear"/>
        <w:spacing w:after="28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Seasonal Naive</w:t>
      </w:r>
    </w:p>
    <w:p w:rsidR="00000000" w:rsidDel="00000000" w:rsidP="00000000" w:rsidRDefault="00000000" w:rsidRPr="00000000" w14:paraId="00000084">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Statistical models:</w:t>
      </w:r>
    </w:p>
    <w:p w:rsidR="00000000" w:rsidDel="00000000" w:rsidP="00000000" w:rsidRDefault="00000000" w:rsidRPr="00000000" w14:paraId="00000085">
      <w:pPr>
        <w:numPr>
          <w:ilvl w:val="0"/>
          <w:numId w:val="17"/>
        </w:numPr>
        <w:shd w:fill="ffffff" w:val="clear"/>
        <w:spacing w:after="0" w:before="28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Holt-Winters / Exponential Smoothing</w:t>
      </w:r>
    </w:p>
    <w:p w:rsidR="00000000" w:rsidDel="00000000" w:rsidP="00000000" w:rsidRDefault="00000000" w:rsidRPr="00000000" w14:paraId="00000086">
      <w:pPr>
        <w:numPr>
          <w:ilvl w:val="0"/>
          <w:numId w:val="17"/>
        </w:numPr>
        <w:shd w:fill="ffffff" w:val="clear"/>
        <w:spacing w:after="28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ARIMA</w:t>
      </w:r>
    </w:p>
    <w:p w:rsidR="00000000" w:rsidDel="00000000" w:rsidP="00000000" w:rsidRDefault="00000000" w:rsidRPr="00000000" w14:paraId="00000087">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Machine learning models:</w:t>
      </w:r>
    </w:p>
    <w:p w:rsidR="00000000" w:rsidDel="00000000" w:rsidP="00000000" w:rsidRDefault="00000000" w:rsidRPr="00000000" w14:paraId="00000088">
      <w:pPr>
        <w:numPr>
          <w:ilvl w:val="0"/>
          <w:numId w:val="18"/>
        </w:numPr>
        <w:shd w:fill="ffffff" w:val="clear"/>
        <w:spacing w:after="0" w:before="28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Random Forest</w:t>
      </w:r>
    </w:p>
    <w:p w:rsidR="00000000" w:rsidDel="00000000" w:rsidP="00000000" w:rsidRDefault="00000000" w:rsidRPr="00000000" w14:paraId="00000089">
      <w:pPr>
        <w:numPr>
          <w:ilvl w:val="0"/>
          <w:numId w:val="18"/>
        </w:numPr>
        <w:shd w:fill="ffffff" w:val="clear"/>
        <w:spacing w:after="28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XGBoost</w:t>
      </w:r>
    </w:p>
    <w:p w:rsidR="00000000" w:rsidDel="00000000" w:rsidP="00000000" w:rsidRDefault="00000000" w:rsidRPr="00000000" w14:paraId="0000008A">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Deep learning model:</w:t>
      </w:r>
    </w:p>
    <w:p w:rsidR="00000000" w:rsidDel="00000000" w:rsidP="00000000" w:rsidRDefault="00000000" w:rsidRPr="00000000" w14:paraId="0000008B">
      <w:pPr>
        <w:numPr>
          <w:ilvl w:val="0"/>
          <w:numId w:val="2"/>
        </w:numPr>
        <w:shd w:fill="ffffff" w:val="clear"/>
        <w:spacing w:after="280" w:before="28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LSTM</w:t>
      </w:r>
    </w:p>
    <w:p w:rsidR="00000000" w:rsidDel="00000000" w:rsidP="00000000" w:rsidRDefault="00000000" w:rsidRPr="00000000" w14:paraId="0000008C">
      <w:pPr>
        <w:spacing w:after="360" w:before="36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hd w:fill="ffffff" w:val="clear"/>
        <w:spacing w:after="240" w:before="360" w:line="240" w:lineRule="auto"/>
        <w:rPr>
          <w:rFonts w:ascii="Quattrocento Sans" w:cs="Quattrocento Sans" w:eastAsia="Quattrocento Sans" w:hAnsi="Quattrocento Sans"/>
          <w:b w:val="1"/>
          <w:bCs w:val="1"/>
          <w:color w:val="1f2328"/>
          <w:sz w:val="36"/>
          <w:szCs w:val="36"/>
        </w:rPr>
      </w:pPr>
      <w:r w:rsidDel="00000000" w:rsidR="00000000" w:rsidRPr="00000000">
        <w:rPr>
          <w:rFonts w:ascii="Quattrocento Sans" w:cs="Quattrocento Sans" w:eastAsia="Quattrocento Sans" w:hAnsi="Quattrocento Sans"/>
          <w:b w:val="1"/>
          <w:bCs w:val="1"/>
          <w:color w:val="1f2328"/>
          <w:sz w:val="36"/>
          <w:szCs w:val="36"/>
          <w:rtl w:val="0"/>
        </w:rPr>
        <w:t xml:space="preserve">Rolling Window Validation</w:t>
      </w:r>
    </w:p>
    <w:p w:rsidR="00000000" w:rsidDel="00000000" w:rsidP="00000000" w:rsidRDefault="00000000" w:rsidRPr="00000000" w14:paraId="0000008E">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A rolling-window backtesting strategy was used.</w:t>
      </w:r>
    </w:p>
    <w:p w:rsidR="00000000" w:rsidDel="00000000" w:rsidP="00000000" w:rsidRDefault="00000000" w:rsidRPr="00000000" w14:paraId="0000008F">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Training window: 5 years</w:t>
      </w:r>
    </w:p>
    <w:p w:rsidR="00000000" w:rsidDel="00000000" w:rsidP="00000000" w:rsidRDefault="00000000" w:rsidRPr="00000000" w14:paraId="00000090">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Forecast horizon: 4 weeks</w:t>
      </w:r>
    </w:p>
    <w:p w:rsidR="00000000" w:rsidDel="00000000" w:rsidP="00000000" w:rsidRDefault="00000000" w:rsidRPr="00000000" w14:paraId="00000091">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Step size: 4 weeks</w:t>
      </w:r>
    </w:p>
    <w:p w:rsidR="00000000" w:rsidDel="00000000" w:rsidP="00000000" w:rsidRDefault="00000000" w:rsidRPr="00000000" w14:paraId="00000092">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Future projection: 52 weeks</w:t>
      </w:r>
    </w:p>
    <w:p w:rsidR="00000000" w:rsidDel="00000000" w:rsidP="00000000" w:rsidRDefault="00000000" w:rsidRPr="00000000" w14:paraId="00000093">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This setup ensures models are trained only on past data and evaluated on future observations.</w:t>
      </w:r>
    </w:p>
    <w:p w:rsidR="00000000" w:rsidDel="00000000" w:rsidP="00000000" w:rsidRDefault="00000000" w:rsidRPr="00000000" w14:paraId="00000094">
      <w:pPr>
        <w:spacing w:after="360" w:before="36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hd w:fill="ffffff" w:val="clear"/>
        <w:spacing w:after="240" w:before="360" w:line="240" w:lineRule="auto"/>
        <w:rPr>
          <w:rFonts w:ascii="Quattrocento Sans" w:cs="Quattrocento Sans" w:eastAsia="Quattrocento Sans" w:hAnsi="Quattrocento Sans"/>
          <w:b w:val="1"/>
          <w:bCs w:val="1"/>
          <w:color w:val="1f2328"/>
          <w:sz w:val="36"/>
          <w:szCs w:val="36"/>
        </w:rPr>
      </w:pPr>
      <w:r w:rsidDel="00000000" w:rsidR="00000000" w:rsidRPr="00000000">
        <w:rPr>
          <w:rFonts w:ascii="Quattrocento Sans" w:cs="Quattrocento Sans" w:eastAsia="Quattrocento Sans" w:hAnsi="Quattrocento Sans"/>
          <w:b w:val="1"/>
          <w:bCs w:val="1"/>
          <w:color w:val="1f2328"/>
          <w:sz w:val="36"/>
          <w:szCs w:val="36"/>
          <w:rtl w:val="0"/>
        </w:rPr>
        <w:t xml:space="preserve">Feature Engineering</w:t>
      </w:r>
    </w:p>
    <w:p w:rsidR="00000000" w:rsidDel="00000000" w:rsidP="00000000" w:rsidRDefault="00000000" w:rsidRPr="00000000" w14:paraId="00000096">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Machine learning models used lag, rolling, and seasonal features, including:</w:t>
      </w:r>
    </w:p>
    <w:p w:rsidR="00000000" w:rsidDel="00000000" w:rsidP="00000000" w:rsidRDefault="00000000" w:rsidRPr="00000000" w14:paraId="00000097">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lag_1</w:t>
      </w:r>
    </w:p>
    <w:p w:rsidR="00000000" w:rsidDel="00000000" w:rsidP="00000000" w:rsidRDefault="00000000" w:rsidRPr="00000000" w14:paraId="00000098">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lag_2</w:t>
      </w:r>
    </w:p>
    <w:p w:rsidR="00000000" w:rsidDel="00000000" w:rsidP="00000000" w:rsidRDefault="00000000" w:rsidRPr="00000000" w14:paraId="00000099">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lag_4</w:t>
      </w:r>
    </w:p>
    <w:p w:rsidR="00000000" w:rsidDel="00000000" w:rsidP="00000000" w:rsidRDefault="00000000" w:rsidRPr="00000000" w14:paraId="0000009A">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lag_8</w:t>
      </w:r>
    </w:p>
    <w:p w:rsidR="00000000" w:rsidDel="00000000" w:rsidP="00000000" w:rsidRDefault="00000000" w:rsidRPr="00000000" w14:paraId="0000009B">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lag_12</w:t>
      </w:r>
    </w:p>
    <w:p w:rsidR="00000000" w:rsidDel="00000000" w:rsidP="00000000" w:rsidRDefault="00000000" w:rsidRPr="00000000" w14:paraId="0000009C">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lag_26</w:t>
      </w:r>
    </w:p>
    <w:p w:rsidR="00000000" w:rsidDel="00000000" w:rsidP="00000000" w:rsidRDefault="00000000" w:rsidRPr="00000000" w14:paraId="0000009D">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lag_52</w:t>
      </w:r>
    </w:p>
    <w:p w:rsidR="00000000" w:rsidDel="00000000" w:rsidP="00000000" w:rsidRDefault="00000000" w:rsidRPr="00000000" w14:paraId="0000009E">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roll_mean_4</w:t>
      </w:r>
    </w:p>
    <w:p w:rsidR="00000000" w:rsidDel="00000000" w:rsidP="00000000" w:rsidRDefault="00000000" w:rsidRPr="00000000" w14:paraId="0000009F">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roll_std_4</w:t>
      </w:r>
    </w:p>
    <w:p w:rsidR="00000000" w:rsidDel="00000000" w:rsidP="00000000" w:rsidRDefault="00000000" w:rsidRPr="00000000" w14:paraId="000000A0">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roll_mean_8</w:t>
      </w:r>
    </w:p>
    <w:p w:rsidR="00000000" w:rsidDel="00000000" w:rsidP="00000000" w:rsidRDefault="00000000" w:rsidRPr="00000000" w14:paraId="000000A1">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roll_std_8</w:t>
      </w:r>
    </w:p>
    <w:p w:rsidR="00000000" w:rsidDel="00000000" w:rsidP="00000000" w:rsidRDefault="00000000" w:rsidRPr="00000000" w14:paraId="000000A2">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roll_max_8</w:t>
      </w:r>
    </w:p>
    <w:p w:rsidR="00000000" w:rsidDel="00000000" w:rsidP="00000000" w:rsidRDefault="00000000" w:rsidRPr="00000000" w14:paraId="000000A3">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roll_mean_12</w:t>
      </w:r>
    </w:p>
    <w:p w:rsidR="00000000" w:rsidDel="00000000" w:rsidP="00000000" w:rsidRDefault="00000000" w:rsidRPr="00000000" w14:paraId="000000A4">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roll_max_12</w:t>
      </w:r>
    </w:p>
    <w:p w:rsidR="00000000" w:rsidDel="00000000" w:rsidP="00000000" w:rsidRDefault="00000000" w:rsidRPr="00000000" w14:paraId="000000A5">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sin_week</w:t>
      </w:r>
    </w:p>
    <w:p w:rsidR="00000000" w:rsidDel="00000000" w:rsidP="00000000" w:rsidRDefault="00000000" w:rsidRPr="00000000" w14:paraId="000000A6">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cos_week</w:t>
      </w:r>
    </w:p>
    <w:p w:rsidR="00000000" w:rsidDel="00000000" w:rsidP="00000000" w:rsidRDefault="00000000" w:rsidRPr="00000000" w14:paraId="000000A7">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These features capture short-term persistence, seasonal memory, recent variability, and yearly cycles.</w:t>
      </w:r>
    </w:p>
    <w:p w:rsidR="00000000" w:rsidDel="00000000" w:rsidP="00000000" w:rsidRDefault="00000000" w:rsidRPr="00000000" w14:paraId="000000A8">
      <w:pPr>
        <w:spacing w:after="360" w:before="36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hd w:fill="ffffff" w:val="clear"/>
        <w:spacing w:after="240" w:before="360" w:line="240" w:lineRule="auto"/>
        <w:rPr>
          <w:rFonts w:ascii="Quattrocento Sans" w:cs="Quattrocento Sans" w:eastAsia="Quattrocento Sans" w:hAnsi="Quattrocento Sans"/>
          <w:b w:val="1"/>
          <w:bCs w:val="1"/>
          <w:color w:val="1f2328"/>
          <w:sz w:val="36"/>
          <w:szCs w:val="36"/>
        </w:rPr>
      </w:pPr>
      <w:r w:rsidDel="00000000" w:rsidR="00000000" w:rsidRPr="00000000">
        <w:rPr>
          <w:rFonts w:ascii="Quattrocento Sans" w:cs="Quattrocento Sans" w:eastAsia="Quattrocento Sans" w:hAnsi="Quattrocento Sans"/>
          <w:b w:val="1"/>
          <w:bCs w:val="1"/>
          <w:color w:val="1f2328"/>
          <w:sz w:val="36"/>
          <w:szCs w:val="36"/>
          <w:rtl w:val="0"/>
        </w:rPr>
        <w:t xml:space="preserve">Feature Importance and Confidence Intervals</w:t>
      </w:r>
    </w:p>
    <w:p w:rsidR="00000000" w:rsidDel="00000000" w:rsidP="00000000" w:rsidRDefault="00000000" w:rsidRPr="00000000" w14:paraId="000000AA">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Feature importance analysis was performed for machine learning models to understand which predictors contributed most to model predictions.</w:t>
      </w:r>
    </w:p>
    <w:p w:rsidR="00000000" w:rsidDel="00000000" w:rsidP="00000000" w:rsidRDefault="00000000" w:rsidRPr="00000000" w14:paraId="000000AB">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Confidence interval analysis was used to quantify forecast uncertainty and avoid presenting future predictions as exact values. This is important because IRA incidence can be affected by reporting variation, outbreaks, public health disruptions, and environmental factors.</w:t>
      </w:r>
    </w:p>
    <w:p w:rsidR="00000000" w:rsidDel="00000000" w:rsidP="00000000" w:rsidRDefault="00000000" w:rsidRPr="00000000" w14:paraId="000000AC">
      <w:pPr>
        <w:spacing w:after="360" w:before="36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hd w:fill="ffffff" w:val="clear"/>
        <w:spacing w:after="240" w:before="360" w:line="240" w:lineRule="auto"/>
        <w:rPr>
          <w:rFonts w:ascii="Quattrocento Sans" w:cs="Quattrocento Sans" w:eastAsia="Quattrocento Sans" w:hAnsi="Quattrocento Sans"/>
          <w:b w:val="1"/>
          <w:bCs w:val="1"/>
          <w:color w:val="1f2328"/>
          <w:sz w:val="36"/>
          <w:szCs w:val="36"/>
        </w:rPr>
      </w:pPr>
      <w:r w:rsidDel="00000000" w:rsidR="00000000" w:rsidRPr="00000000">
        <w:rPr>
          <w:rFonts w:ascii="Quattrocento Sans" w:cs="Quattrocento Sans" w:eastAsia="Quattrocento Sans" w:hAnsi="Quattrocento Sans"/>
          <w:b w:val="1"/>
          <w:bCs w:val="1"/>
          <w:color w:val="1f2328"/>
          <w:sz w:val="36"/>
          <w:szCs w:val="36"/>
          <w:rtl w:val="0"/>
        </w:rPr>
        <w:t xml:space="preserve">National-Level Modeling</w:t>
      </w:r>
    </w:p>
    <w:p w:rsidR="00000000" w:rsidDel="00000000" w:rsidP="00000000" w:rsidRDefault="00000000" w:rsidRPr="00000000" w14:paraId="000000AE">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After regional modeling, national analysis was performed using machine learning models for:</w:t>
      </w:r>
    </w:p>
    <w:p w:rsidR="00000000" w:rsidDel="00000000" w:rsidP="00000000" w:rsidRDefault="00000000" w:rsidRPr="00000000" w14:paraId="000000AF">
      <w:pPr>
        <w:numPr>
          <w:ilvl w:val="0"/>
          <w:numId w:val="3"/>
        </w:numPr>
        <w:shd w:fill="ffffff" w:val="clear"/>
        <w:spacing w:after="0" w:before="28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National children under 5 cases</w:t>
      </w:r>
    </w:p>
    <w:p w:rsidR="00000000" w:rsidDel="00000000" w:rsidP="00000000" w:rsidRDefault="00000000" w:rsidRPr="00000000" w14:paraId="000000B0">
      <w:pPr>
        <w:numPr>
          <w:ilvl w:val="0"/>
          <w:numId w:val="3"/>
        </w:numPr>
        <w:shd w:fill="ffffff" w:val="clear"/>
        <w:spacing w:after="28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National adults 60+ cases</w:t>
      </w:r>
    </w:p>
    <w:p w:rsidR="00000000" w:rsidDel="00000000" w:rsidP="00000000" w:rsidRDefault="00000000" w:rsidRPr="00000000" w14:paraId="000000B1">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National modeling uses all regions combined into one weekly national time series.</w:t>
      </w:r>
    </w:p>
    <w:p w:rsidR="00000000" w:rsidDel="00000000" w:rsidP="00000000" w:rsidRDefault="00000000" w:rsidRPr="00000000" w14:paraId="000000B2">
      <w:pPr>
        <w:shd w:fill="ffffff" w:val="clear"/>
        <w:spacing w:after="240" w:before="360" w:line="240" w:lineRule="auto"/>
        <w:rPr>
          <w:rFonts w:ascii="Quattrocento Sans" w:cs="Quattrocento Sans" w:eastAsia="Quattrocento Sans" w:hAnsi="Quattrocento Sans"/>
          <w:b w:val="1"/>
          <w:bCs w:val="1"/>
          <w:color w:val="1f2328"/>
          <w:sz w:val="30"/>
          <w:szCs w:val="30"/>
        </w:rPr>
      </w:pPr>
      <w:r w:rsidDel="00000000" w:rsidR="00000000" w:rsidRPr="00000000">
        <w:rPr>
          <w:rFonts w:ascii="Quattrocento Sans" w:cs="Quattrocento Sans" w:eastAsia="Quattrocento Sans" w:hAnsi="Quattrocento Sans"/>
          <w:b w:val="1"/>
          <w:bCs w:val="1"/>
          <w:color w:val="1f2328"/>
          <w:sz w:val="30"/>
          <w:szCs w:val="30"/>
          <w:rtl w:val="0"/>
        </w:rPr>
        <w:t xml:space="preserve">National Results</w:t>
      </w:r>
    </w:p>
    <w:p w:rsidR="00000000" w:rsidDel="00000000" w:rsidP="00000000" w:rsidRDefault="00000000" w:rsidRPr="00000000" w14:paraId="000000B3">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Children under 5:</w:t>
      </w:r>
    </w:p>
    <w:tbl>
      <w:tblPr>
        <w:tblStyle w:val="Table1"/>
        <w:tblW w:w="4828.0" w:type="dxa"/>
        <w:jc w:val="left"/>
        <w:tblLayout w:type="fixed"/>
        <w:tblLook w:val="0400"/>
      </w:tblPr>
      <w:tblGrid>
        <w:gridCol w:w="1864"/>
        <w:gridCol w:w="950"/>
        <w:gridCol w:w="1084"/>
        <w:gridCol w:w="930"/>
        <w:tblGridChange w:id="0">
          <w:tblGrid>
            <w:gridCol w:w="1864"/>
            <w:gridCol w:w="950"/>
            <w:gridCol w:w="1084"/>
            <w:gridCol w:w="930"/>
          </w:tblGrid>
        </w:tblGridChange>
      </w:tblGrid>
      <w:tr>
        <w:trPr>
          <w:cantSplit w:val="0"/>
          <w:tblHeader w:val="1"/>
        </w:trPr>
        <w:tc>
          <w:tcPr>
            <w:tcBorders>
              <w:top w:color="d1d9e0" w:space="0" w:sz="4" w:val="single"/>
              <w:left w:color="d1d9e0" w:space="0" w:sz="4" w:val="single"/>
              <w:bottom w:color="d1d9e0" w:space="0" w:sz="4" w:val="single"/>
              <w:right w:color="d1d9e0" w:space="0" w:sz="4" w:val="single"/>
            </w:tcBorders>
            <w:shd w:fill="ffffff" w:val="clear"/>
            <w:tcMar>
              <w:top w:w="90.0" w:type="dxa"/>
              <w:left w:w="195.0" w:type="dxa"/>
              <w:bottom w:w="90.0" w:type="dxa"/>
              <w:right w:w="195.0" w:type="dxa"/>
            </w:tcMar>
            <w:vAlign w:val="center"/>
          </w:tcPr>
          <w:p w:rsidR="00000000" w:rsidDel="00000000" w:rsidP="00000000" w:rsidRDefault="00000000" w:rsidRPr="00000000" w14:paraId="000000B4">
            <w:pPr>
              <w:spacing w:after="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d1d9e0" w:space="0" w:sz="4" w:val="single"/>
              <w:left w:color="d1d9e0" w:space="0" w:sz="4" w:val="single"/>
              <w:bottom w:color="d1d9e0" w:space="0" w:sz="4" w:val="single"/>
              <w:right w:color="d1d9e0" w:space="0" w:sz="4" w:val="single"/>
            </w:tcBorders>
            <w:shd w:fill="ffffff" w:val="clear"/>
            <w:tcMar>
              <w:top w:w="90.0" w:type="dxa"/>
              <w:left w:w="195.0" w:type="dxa"/>
              <w:bottom w:w="90.0" w:type="dxa"/>
              <w:right w:w="195.0" w:type="dxa"/>
            </w:tcMar>
            <w:vAlign w:val="center"/>
          </w:tcPr>
          <w:p w:rsidR="00000000" w:rsidDel="00000000" w:rsidP="00000000" w:rsidRDefault="00000000" w:rsidRPr="00000000" w14:paraId="000000B5">
            <w:pPr>
              <w:spacing w:after="24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MAE</w:t>
            </w:r>
          </w:p>
        </w:tc>
        <w:tc>
          <w:tcPr>
            <w:tcBorders>
              <w:top w:color="d1d9e0" w:space="0" w:sz="4" w:val="single"/>
              <w:left w:color="d1d9e0" w:space="0" w:sz="4" w:val="single"/>
              <w:bottom w:color="d1d9e0" w:space="0" w:sz="4" w:val="single"/>
              <w:right w:color="d1d9e0" w:space="0" w:sz="4" w:val="single"/>
            </w:tcBorders>
            <w:shd w:fill="ffffff" w:val="clear"/>
            <w:tcMar>
              <w:top w:w="90.0" w:type="dxa"/>
              <w:left w:w="195.0" w:type="dxa"/>
              <w:bottom w:w="90.0" w:type="dxa"/>
              <w:right w:w="195.0" w:type="dxa"/>
            </w:tcMar>
            <w:vAlign w:val="center"/>
          </w:tcPr>
          <w:p w:rsidR="00000000" w:rsidDel="00000000" w:rsidP="00000000" w:rsidRDefault="00000000" w:rsidRPr="00000000" w14:paraId="000000B6">
            <w:pPr>
              <w:spacing w:after="24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RMSE</w:t>
            </w:r>
          </w:p>
        </w:tc>
        <w:tc>
          <w:tcPr>
            <w:tcBorders>
              <w:top w:color="d1d9e0" w:space="0" w:sz="4" w:val="single"/>
              <w:left w:color="d1d9e0" w:space="0" w:sz="4" w:val="single"/>
              <w:bottom w:color="d1d9e0" w:space="0" w:sz="4" w:val="single"/>
              <w:right w:color="d1d9e0" w:space="0" w:sz="4" w:val="single"/>
            </w:tcBorders>
            <w:shd w:fill="ffffff" w:val="clear"/>
            <w:tcMar>
              <w:top w:w="90.0" w:type="dxa"/>
              <w:left w:w="195.0" w:type="dxa"/>
              <w:bottom w:w="90.0" w:type="dxa"/>
              <w:right w:w="195.0" w:type="dxa"/>
            </w:tcMar>
            <w:vAlign w:val="center"/>
          </w:tcPr>
          <w:p w:rsidR="00000000" w:rsidDel="00000000" w:rsidP="00000000" w:rsidRDefault="00000000" w:rsidRPr="00000000" w14:paraId="000000B7">
            <w:pPr>
              <w:spacing w:after="24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R²</w:t>
            </w:r>
          </w:p>
        </w:tc>
      </w:tr>
      <w:tr>
        <w:trPr>
          <w:cantSplit w:val="0"/>
          <w:tblHeader w:val="0"/>
        </w:trPr>
        <w:tc>
          <w:tcPr>
            <w:tcBorders>
              <w:top w:color="d1d9e0" w:space="0" w:sz="4" w:val="single"/>
              <w:left w:color="d1d9e0" w:space="0" w:sz="4" w:val="single"/>
              <w:bottom w:color="d1d9e0" w:space="0" w:sz="4" w:val="single"/>
              <w:right w:color="d1d9e0" w:space="0" w:sz="4" w:val="single"/>
            </w:tcBorders>
            <w:shd w:fill="ffffff" w:val="clear"/>
            <w:tcMar>
              <w:top w:w="90.0" w:type="dxa"/>
              <w:left w:w="195.0" w:type="dxa"/>
              <w:bottom w:w="90.0" w:type="dxa"/>
              <w:right w:w="195.0" w:type="dxa"/>
            </w:tcMar>
            <w:vAlign w:val="center"/>
          </w:tcPr>
          <w:p w:rsidR="00000000" w:rsidDel="00000000" w:rsidP="00000000" w:rsidRDefault="00000000" w:rsidRPr="00000000" w14:paraId="000000B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d1d9e0" w:space="0" w:sz="4" w:val="single"/>
              <w:left w:color="d1d9e0" w:space="0" w:sz="4" w:val="single"/>
              <w:bottom w:color="d1d9e0" w:space="0" w:sz="4" w:val="single"/>
              <w:right w:color="d1d9e0" w:space="0" w:sz="4" w:val="single"/>
            </w:tcBorders>
            <w:shd w:fill="ffffff" w:val="clear"/>
            <w:tcMar>
              <w:top w:w="90.0" w:type="dxa"/>
              <w:left w:w="195.0" w:type="dxa"/>
              <w:bottom w:w="90.0" w:type="dxa"/>
              <w:right w:w="195.0" w:type="dxa"/>
            </w:tcMar>
            <w:vAlign w:val="center"/>
          </w:tcPr>
          <w:p w:rsidR="00000000" w:rsidDel="00000000" w:rsidP="00000000" w:rsidRDefault="00000000" w:rsidRPr="00000000" w14:paraId="000000B9">
            <w:pPr>
              <w:spacing w:after="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0.210</w:t>
            </w:r>
          </w:p>
        </w:tc>
        <w:tc>
          <w:tcPr>
            <w:tcBorders>
              <w:top w:color="d1d9e0" w:space="0" w:sz="4" w:val="single"/>
              <w:left w:color="d1d9e0" w:space="0" w:sz="4" w:val="single"/>
              <w:bottom w:color="d1d9e0" w:space="0" w:sz="4" w:val="single"/>
              <w:right w:color="d1d9e0" w:space="0" w:sz="4" w:val="single"/>
            </w:tcBorders>
            <w:shd w:fill="ffffff" w:val="clear"/>
            <w:tcMar>
              <w:top w:w="90.0" w:type="dxa"/>
              <w:left w:w="195.0" w:type="dxa"/>
              <w:bottom w:w="90.0" w:type="dxa"/>
              <w:right w:w="195.0" w:type="dxa"/>
            </w:tcMar>
            <w:vAlign w:val="center"/>
          </w:tcPr>
          <w:p w:rsidR="00000000" w:rsidDel="00000000" w:rsidP="00000000" w:rsidRDefault="00000000" w:rsidRPr="00000000" w14:paraId="000000BA">
            <w:pPr>
              <w:spacing w:after="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0.296</w:t>
            </w:r>
          </w:p>
        </w:tc>
        <w:tc>
          <w:tcPr>
            <w:tcBorders>
              <w:top w:color="d1d9e0" w:space="0" w:sz="4" w:val="single"/>
              <w:left w:color="d1d9e0" w:space="0" w:sz="4" w:val="single"/>
              <w:bottom w:color="d1d9e0" w:space="0" w:sz="4" w:val="single"/>
              <w:right w:color="d1d9e0" w:space="0" w:sz="4" w:val="single"/>
            </w:tcBorders>
            <w:shd w:fill="ffffff" w:val="clear"/>
            <w:tcMar>
              <w:top w:w="90.0" w:type="dxa"/>
              <w:left w:w="195.0" w:type="dxa"/>
              <w:bottom w:w="90.0" w:type="dxa"/>
              <w:right w:w="195.0" w:type="dxa"/>
            </w:tcMar>
            <w:vAlign w:val="center"/>
          </w:tcPr>
          <w:p w:rsidR="00000000" w:rsidDel="00000000" w:rsidP="00000000" w:rsidRDefault="00000000" w:rsidRPr="00000000" w14:paraId="000000BB">
            <w:pPr>
              <w:spacing w:after="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0.922</w:t>
            </w:r>
          </w:p>
        </w:tc>
      </w:tr>
      <w:tr>
        <w:trPr>
          <w:cantSplit w:val="0"/>
          <w:tblHeader w:val="0"/>
        </w:trPr>
        <w:tc>
          <w:tcPr>
            <w:tcBorders>
              <w:top w:color="d1d9e0" w:space="0" w:sz="4" w:val="single"/>
              <w:left w:color="d1d9e0" w:space="0" w:sz="4" w:val="single"/>
              <w:bottom w:color="d1d9e0" w:space="0" w:sz="4" w:val="single"/>
              <w:right w:color="d1d9e0" w:space="0" w:sz="4" w:val="single"/>
            </w:tcBorders>
            <w:shd w:fill="f6f8fa" w:val="clear"/>
            <w:tcMar>
              <w:top w:w="90.0" w:type="dxa"/>
              <w:left w:w="195.0" w:type="dxa"/>
              <w:bottom w:w="90.0" w:type="dxa"/>
              <w:right w:w="195.0" w:type="dxa"/>
            </w:tcMar>
            <w:vAlign w:val="center"/>
          </w:tcPr>
          <w:p w:rsidR="00000000" w:rsidDel="00000000" w:rsidP="00000000" w:rsidRDefault="00000000" w:rsidRPr="00000000" w14:paraId="000000B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d1d9e0" w:space="0" w:sz="4" w:val="single"/>
              <w:left w:color="d1d9e0" w:space="0" w:sz="4" w:val="single"/>
              <w:bottom w:color="d1d9e0" w:space="0" w:sz="4" w:val="single"/>
              <w:right w:color="d1d9e0" w:space="0" w:sz="4" w:val="single"/>
            </w:tcBorders>
            <w:shd w:fill="f6f8fa" w:val="clear"/>
            <w:tcMar>
              <w:top w:w="90.0" w:type="dxa"/>
              <w:left w:w="195.0" w:type="dxa"/>
              <w:bottom w:w="90.0" w:type="dxa"/>
              <w:right w:w="195.0" w:type="dxa"/>
            </w:tcMar>
            <w:vAlign w:val="center"/>
          </w:tcPr>
          <w:p w:rsidR="00000000" w:rsidDel="00000000" w:rsidP="00000000" w:rsidRDefault="00000000" w:rsidRPr="00000000" w14:paraId="000000BD">
            <w:pPr>
              <w:spacing w:after="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0.184</w:t>
            </w:r>
          </w:p>
        </w:tc>
        <w:tc>
          <w:tcPr>
            <w:tcBorders>
              <w:top w:color="d1d9e0" w:space="0" w:sz="4" w:val="single"/>
              <w:left w:color="d1d9e0" w:space="0" w:sz="4" w:val="single"/>
              <w:bottom w:color="d1d9e0" w:space="0" w:sz="4" w:val="single"/>
              <w:right w:color="d1d9e0" w:space="0" w:sz="4" w:val="single"/>
            </w:tcBorders>
            <w:shd w:fill="f6f8fa" w:val="clear"/>
            <w:tcMar>
              <w:top w:w="90.0" w:type="dxa"/>
              <w:left w:w="195.0" w:type="dxa"/>
              <w:bottom w:w="90.0" w:type="dxa"/>
              <w:right w:w="195.0" w:type="dxa"/>
            </w:tcMar>
            <w:vAlign w:val="center"/>
          </w:tcPr>
          <w:p w:rsidR="00000000" w:rsidDel="00000000" w:rsidP="00000000" w:rsidRDefault="00000000" w:rsidRPr="00000000" w14:paraId="000000BE">
            <w:pPr>
              <w:spacing w:after="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0.271</w:t>
            </w:r>
          </w:p>
        </w:tc>
        <w:tc>
          <w:tcPr>
            <w:tcBorders>
              <w:top w:color="d1d9e0" w:space="0" w:sz="4" w:val="single"/>
              <w:left w:color="d1d9e0" w:space="0" w:sz="4" w:val="single"/>
              <w:bottom w:color="d1d9e0" w:space="0" w:sz="4" w:val="single"/>
              <w:right w:color="d1d9e0" w:space="0" w:sz="4" w:val="single"/>
            </w:tcBorders>
            <w:shd w:fill="f6f8fa" w:val="clear"/>
            <w:tcMar>
              <w:top w:w="90.0" w:type="dxa"/>
              <w:left w:w="195.0" w:type="dxa"/>
              <w:bottom w:w="90.0" w:type="dxa"/>
              <w:right w:w="195.0" w:type="dxa"/>
            </w:tcMar>
            <w:vAlign w:val="center"/>
          </w:tcPr>
          <w:p w:rsidR="00000000" w:rsidDel="00000000" w:rsidP="00000000" w:rsidRDefault="00000000" w:rsidRPr="00000000" w14:paraId="000000BF">
            <w:pPr>
              <w:spacing w:after="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0.935</w:t>
            </w:r>
          </w:p>
        </w:tc>
      </w:tr>
    </w:tbl>
    <w:p w:rsidR="00000000" w:rsidDel="00000000" w:rsidP="00000000" w:rsidRDefault="00000000" w:rsidRPr="00000000" w14:paraId="000000C0">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Adults 60+:</w:t>
      </w:r>
    </w:p>
    <w:tbl>
      <w:tblPr>
        <w:tblStyle w:val="Table2"/>
        <w:tblW w:w="4828.0" w:type="dxa"/>
        <w:jc w:val="left"/>
        <w:tblLayout w:type="fixed"/>
        <w:tblLook w:val="0400"/>
      </w:tblPr>
      <w:tblGrid>
        <w:gridCol w:w="1864"/>
        <w:gridCol w:w="950"/>
        <w:gridCol w:w="1084"/>
        <w:gridCol w:w="930"/>
        <w:tblGridChange w:id="0">
          <w:tblGrid>
            <w:gridCol w:w="1864"/>
            <w:gridCol w:w="950"/>
            <w:gridCol w:w="1084"/>
            <w:gridCol w:w="930"/>
          </w:tblGrid>
        </w:tblGridChange>
      </w:tblGrid>
      <w:tr>
        <w:trPr>
          <w:cantSplit w:val="0"/>
          <w:tblHeader w:val="1"/>
        </w:trPr>
        <w:tc>
          <w:tcPr>
            <w:tcBorders>
              <w:top w:color="d1d9e0" w:space="0" w:sz="4" w:val="single"/>
              <w:left w:color="d1d9e0" w:space="0" w:sz="4" w:val="single"/>
              <w:bottom w:color="d1d9e0" w:space="0" w:sz="4" w:val="single"/>
              <w:right w:color="d1d9e0" w:space="0" w:sz="4" w:val="single"/>
            </w:tcBorders>
            <w:shd w:fill="ffffff" w:val="clear"/>
            <w:tcMar>
              <w:top w:w="90.0" w:type="dxa"/>
              <w:left w:w="195.0" w:type="dxa"/>
              <w:bottom w:w="90.0" w:type="dxa"/>
              <w:right w:w="195.0" w:type="dxa"/>
            </w:tcMar>
            <w:vAlign w:val="center"/>
          </w:tcPr>
          <w:p w:rsidR="00000000" w:rsidDel="00000000" w:rsidP="00000000" w:rsidRDefault="00000000" w:rsidRPr="00000000" w14:paraId="000000C1">
            <w:pPr>
              <w:spacing w:after="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d1d9e0" w:space="0" w:sz="4" w:val="single"/>
              <w:left w:color="d1d9e0" w:space="0" w:sz="4" w:val="single"/>
              <w:bottom w:color="d1d9e0" w:space="0" w:sz="4" w:val="single"/>
              <w:right w:color="d1d9e0" w:space="0" w:sz="4" w:val="single"/>
            </w:tcBorders>
            <w:shd w:fill="ffffff" w:val="clear"/>
            <w:tcMar>
              <w:top w:w="90.0" w:type="dxa"/>
              <w:left w:w="195.0" w:type="dxa"/>
              <w:bottom w:w="90.0" w:type="dxa"/>
              <w:right w:w="195.0" w:type="dxa"/>
            </w:tcMar>
            <w:vAlign w:val="center"/>
          </w:tcPr>
          <w:p w:rsidR="00000000" w:rsidDel="00000000" w:rsidP="00000000" w:rsidRDefault="00000000" w:rsidRPr="00000000" w14:paraId="000000C2">
            <w:pPr>
              <w:spacing w:after="24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MAE</w:t>
            </w:r>
          </w:p>
        </w:tc>
        <w:tc>
          <w:tcPr>
            <w:tcBorders>
              <w:top w:color="d1d9e0" w:space="0" w:sz="4" w:val="single"/>
              <w:left w:color="d1d9e0" w:space="0" w:sz="4" w:val="single"/>
              <w:bottom w:color="d1d9e0" w:space="0" w:sz="4" w:val="single"/>
              <w:right w:color="d1d9e0" w:space="0" w:sz="4" w:val="single"/>
            </w:tcBorders>
            <w:shd w:fill="ffffff" w:val="clear"/>
            <w:tcMar>
              <w:top w:w="90.0" w:type="dxa"/>
              <w:left w:w="195.0" w:type="dxa"/>
              <w:bottom w:w="90.0" w:type="dxa"/>
              <w:right w:w="195.0" w:type="dxa"/>
            </w:tcMar>
            <w:vAlign w:val="center"/>
          </w:tcPr>
          <w:p w:rsidR="00000000" w:rsidDel="00000000" w:rsidP="00000000" w:rsidRDefault="00000000" w:rsidRPr="00000000" w14:paraId="000000C3">
            <w:pPr>
              <w:spacing w:after="24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RMSE</w:t>
            </w:r>
          </w:p>
        </w:tc>
        <w:tc>
          <w:tcPr>
            <w:tcBorders>
              <w:top w:color="d1d9e0" w:space="0" w:sz="4" w:val="single"/>
              <w:left w:color="d1d9e0" w:space="0" w:sz="4" w:val="single"/>
              <w:bottom w:color="d1d9e0" w:space="0" w:sz="4" w:val="single"/>
              <w:right w:color="d1d9e0" w:space="0" w:sz="4" w:val="single"/>
            </w:tcBorders>
            <w:shd w:fill="ffffff" w:val="clear"/>
            <w:tcMar>
              <w:top w:w="90.0" w:type="dxa"/>
              <w:left w:w="195.0" w:type="dxa"/>
              <w:bottom w:w="90.0" w:type="dxa"/>
              <w:right w:w="195.0" w:type="dxa"/>
            </w:tcMar>
            <w:vAlign w:val="center"/>
          </w:tcPr>
          <w:p w:rsidR="00000000" w:rsidDel="00000000" w:rsidP="00000000" w:rsidRDefault="00000000" w:rsidRPr="00000000" w14:paraId="000000C4">
            <w:pPr>
              <w:spacing w:after="24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R²</w:t>
            </w:r>
          </w:p>
        </w:tc>
      </w:tr>
      <w:tr>
        <w:trPr>
          <w:cantSplit w:val="0"/>
          <w:tblHeader w:val="0"/>
        </w:trPr>
        <w:tc>
          <w:tcPr>
            <w:tcBorders>
              <w:top w:color="d1d9e0" w:space="0" w:sz="4" w:val="single"/>
              <w:left w:color="d1d9e0" w:space="0" w:sz="4" w:val="single"/>
              <w:bottom w:color="d1d9e0" w:space="0" w:sz="4" w:val="single"/>
              <w:right w:color="d1d9e0" w:space="0" w:sz="4" w:val="single"/>
            </w:tcBorders>
            <w:shd w:fill="ffffff" w:val="clear"/>
            <w:tcMar>
              <w:top w:w="90.0" w:type="dxa"/>
              <w:left w:w="195.0" w:type="dxa"/>
              <w:bottom w:w="90.0" w:type="dxa"/>
              <w:right w:w="195.0" w:type="dxa"/>
            </w:tcMar>
            <w:vAlign w:val="center"/>
          </w:tcPr>
          <w:p w:rsidR="00000000" w:rsidDel="00000000" w:rsidP="00000000" w:rsidRDefault="00000000" w:rsidRPr="00000000" w14:paraId="000000C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d1d9e0" w:space="0" w:sz="4" w:val="single"/>
              <w:left w:color="d1d9e0" w:space="0" w:sz="4" w:val="single"/>
              <w:bottom w:color="d1d9e0" w:space="0" w:sz="4" w:val="single"/>
              <w:right w:color="d1d9e0" w:space="0" w:sz="4" w:val="single"/>
            </w:tcBorders>
            <w:shd w:fill="ffffff" w:val="clear"/>
            <w:tcMar>
              <w:top w:w="90.0" w:type="dxa"/>
              <w:left w:w="195.0" w:type="dxa"/>
              <w:bottom w:w="90.0" w:type="dxa"/>
              <w:right w:w="195.0" w:type="dxa"/>
            </w:tcMar>
            <w:vAlign w:val="center"/>
          </w:tcPr>
          <w:p w:rsidR="00000000" w:rsidDel="00000000" w:rsidP="00000000" w:rsidRDefault="00000000" w:rsidRPr="00000000" w14:paraId="000000C6">
            <w:pPr>
              <w:spacing w:after="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0.107</w:t>
            </w:r>
          </w:p>
        </w:tc>
        <w:tc>
          <w:tcPr>
            <w:tcBorders>
              <w:top w:color="d1d9e0" w:space="0" w:sz="4" w:val="single"/>
              <w:left w:color="d1d9e0" w:space="0" w:sz="4" w:val="single"/>
              <w:bottom w:color="d1d9e0" w:space="0" w:sz="4" w:val="single"/>
              <w:right w:color="d1d9e0" w:space="0" w:sz="4" w:val="single"/>
            </w:tcBorders>
            <w:shd w:fill="ffffff" w:val="clear"/>
            <w:tcMar>
              <w:top w:w="90.0" w:type="dxa"/>
              <w:left w:w="195.0" w:type="dxa"/>
              <w:bottom w:w="90.0" w:type="dxa"/>
              <w:right w:w="195.0" w:type="dxa"/>
            </w:tcMar>
            <w:vAlign w:val="center"/>
          </w:tcPr>
          <w:p w:rsidR="00000000" w:rsidDel="00000000" w:rsidP="00000000" w:rsidRDefault="00000000" w:rsidRPr="00000000" w14:paraId="000000C7">
            <w:pPr>
              <w:spacing w:after="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0.183</w:t>
            </w:r>
          </w:p>
        </w:tc>
        <w:tc>
          <w:tcPr>
            <w:tcBorders>
              <w:top w:color="d1d9e0" w:space="0" w:sz="4" w:val="single"/>
              <w:left w:color="d1d9e0" w:space="0" w:sz="4" w:val="single"/>
              <w:bottom w:color="d1d9e0" w:space="0" w:sz="4" w:val="single"/>
              <w:right w:color="d1d9e0" w:space="0" w:sz="4" w:val="single"/>
            </w:tcBorders>
            <w:shd w:fill="ffffff" w:val="clear"/>
            <w:tcMar>
              <w:top w:w="90.0" w:type="dxa"/>
              <w:left w:w="195.0" w:type="dxa"/>
              <w:bottom w:w="90.0" w:type="dxa"/>
              <w:right w:w="195.0" w:type="dxa"/>
            </w:tcMar>
            <w:vAlign w:val="center"/>
          </w:tcPr>
          <w:p w:rsidR="00000000" w:rsidDel="00000000" w:rsidP="00000000" w:rsidRDefault="00000000" w:rsidRPr="00000000" w14:paraId="000000C8">
            <w:pPr>
              <w:spacing w:after="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0.869</w:t>
            </w:r>
          </w:p>
        </w:tc>
      </w:tr>
      <w:tr>
        <w:trPr>
          <w:cantSplit w:val="0"/>
          <w:tblHeader w:val="0"/>
        </w:trPr>
        <w:tc>
          <w:tcPr>
            <w:tcBorders>
              <w:top w:color="d1d9e0" w:space="0" w:sz="4" w:val="single"/>
              <w:left w:color="d1d9e0" w:space="0" w:sz="4" w:val="single"/>
              <w:bottom w:color="d1d9e0" w:space="0" w:sz="4" w:val="single"/>
              <w:right w:color="d1d9e0" w:space="0" w:sz="4" w:val="single"/>
            </w:tcBorders>
            <w:shd w:fill="f6f8fa" w:val="clear"/>
            <w:tcMar>
              <w:top w:w="90.0" w:type="dxa"/>
              <w:left w:w="195.0" w:type="dxa"/>
              <w:bottom w:w="90.0" w:type="dxa"/>
              <w:right w:w="195.0" w:type="dxa"/>
            </w:tcMar>
            <w:vAlign w:val="center"/>
          </w:tcPr>
          <w:p w:rsidR="00000000" w:rsidDel="00000000" w:rsidP="00000000" w:rsidRDefault="00000000" w:rsidRPr="00000000" w14:paraId="000000C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d1d9e0" w:space="0" w:sz="4" w:val="single"/>
              <w:left w:color="d1d9e0" w:space="0" w:sz="4" w:val="single"/>
              <w:bottom w:color="d1d9e0" w:space="0" w:sz="4" w:val="single"/>
              <w:right w:color="d1d9e0" w:space="0" w:sz="4" w:val="single"/>
            </w:tcBorders>
            <w:shd w:fill="f6f8fa" w:val="clear"/>
            <w:tcMar>
              <w:top w:w="90.0" w:type="dxa"/>
              <w:left w:w="195.0" w:type="dxa"/>
              <w:bottom w:w="90.0" w:type="dxa"/>
              <w:right w:w="195.0" w:type="dxa"/>
            </w:tcMar>
            <w:vAlign w:val="center"/>
          </w:tcPr>
          <w:p w:rsidR="00000000" w:rsidDel="00000000" w:rsidP="00000000" w:rsidRDefault="00000000" w:rsidRPr="00000000" w14:paraId="000000CA">
            <w:pPr>
              <w:spacing w:after="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0.097</w:t>
            </w:r>
          </w:p>
        </w:tc>
        <w:tc>
          <w:tcPr>
            <w:tcBorders>
              <w:top w:color="d1d9e0" w:space="0" w:sz="4" w:val="single"/>
              <w:left w:color="d1d9e0" w:space="0" w:sz="4" w:val="single"/>
              <w:bottom w:color="d1d9e0" w:space="0" w:sz="4" w:val="single"/>
              <w:right w:color="d1d9e0" w:space="0" w:sz="4" w:val="single"/>
            </w:tcBorders>
            <w:shd w:fill="f6f8fa" w:val="clear"/>
            <w:tcMar>
              <w:top w:w="90.0" w:type="dxa"/>
              <w:left w:w="195.0" w:type="dxa"/>
              <w:bottom w:w="90.0" w:type="dxa"/>
              <w:right w:w="195.0" w:type="dxa"/>
            </w:tcMar>
            <w:vAlign w:val="center"/>
          </w:tcPr>
          <w:p w:rsidR="00000000" w:rsidDel="00000000" w:rsidP="00000000" w:rsidRDefault="00000000" w:rsidRPr="00000000" w14:paraId="000000CB">
            <w:pPr>
              <w:spacing w:after="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0.168</w:t>
            </w:r>
          </w:p>
        </w:tc>
        <w:tc>
          <w:tcPr>
            <w:tcBorders>
              <w:top w:color="d1d9e0" w:space="0" w:sz="4" w:val="single"/>
              <w:left w:color="d1d9e0" w:space="0" w:sz="4" w:val="single"/>
              <w:bottom w:color="d1d9e0" w:space="0" w:sz="4" w:val="single"/>
              <w:right w:color="d1d9e0" w:space="0" w:sz="4" w:val="single"/>
            </w:tcBorders>
            <w:shd w:fill="f6f8fa" w:val="clear"/>
            <w:tcMar>
              <w:top w:w="90.0" w:type="dxa"/>
              <w:left w:w="195.0" w:type="dxa"/>
              <w:bottom w:w="90.0" w:type="dxa"/>
              <w:right w:w="195.0" w:type="dxa"/>
            </w:tcMar>
            <w:vAlign w:val="center"/>
          </w:tcPr>
          <w:p w:rsidR="00000000" w:rsidDel="00000000" w:rsidP="00000000" w:rsidRDefault="00000000" w:rsidRPr="00000000" w14:paraId="000000CC">
            <w:pPr>
              <w:spacing w:after="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0.890</w:t>
            </w:r>
          </w:p>
        </w:tc>
      </w:tr>
    </w:tbl>
    <w:p w:rsidR="00000000" w:rsidDel="00000000" w:rsidP="00000000" w:rsidRDefault="00000000" w:rsidRPr="00000000" w14:paraId="000000CD">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XGBoost performed best for both national children and national adult cases.</w:t>
      </w:r>
    </w:p>
    <w:p w:rsidR="00000000" w:rsidDel="00000000" w:rsidP="00000000" w:rsidRDefault="00000000" w:rsidRPr="00000000" w14:paraId="000000CE">
      <w:pPr>
        <w:spacing w:after="360" w:before="36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hd w:fill="ffffff" w:val="clear"/>
        <w:spacing w:after="240" w:before="360" w:line="240" w:lineRule="auto"/>
        <w:rPr>
          <w:rFonts w:ascii="Quattrocento Sans" w:cs="Quattrocento Sans" w:eastAsia="Quattrocento Sans" w:hAnsi="Quattrocento Sans"/>
          <w:b w:val="1"/>
          <w:bCs w:val="1"/>
          <w:color w:val="1f2328"/>
          <w:sz w:val="36"/>
          <w:szCs w:val="36"/>
        </w:rPr>
      </w:pPr>
      <w:r w:rsidDel="00000000" w:rsidR="00000000" w:rsidRPr="00000000">
        <w:rPr>
          <w:rFonts w:ascii="Quattrocento Sans" w:cs="Quattrocento Sans" w:eastAsia="Quattrocento Sans" w:hAnsi="Quattrocento Sans"/>
          <w:b w:val="1"/>
          <w:bCs w:val="1"/>
          <w:color w:val="1f2328"/>
          <w:sz w:val="36"/>
          <w:szCs w:val="36"/>
          <w:rtl w:val="0"/>
        </w:rPr>
        <w:t xml:space="preserve">Key Findings</w:t>
      </w:r>
    </w:p>
    <w:p w:rsidR="00000000" w:rsidDel="00000000" w:rsidP="00000000" w:rsidRDefault="00000000" w:rsidRPr="00000000" w14:paraId="000000D0">
      <w:pPr>
        <w:numPr>
          <w:ilvl w:val="0"/>
          <w:numId w:val="4"/>
        </w:numPr>
        <w:shd w:fill="ffffff" w:val="clear"/>
        <w:spacing w:after="0" w:before="28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Children under 5 show a long-term decline in IRA incidence.</w:t>
      </w:r>
    </w:p>
    <w:p w:rsidR="00000000" w:rsidDel="00000000" w:rsidP="00000000" w:rsidRDefault="00000000" w:rsidRPr="00000000" w14:paraId="000000D1">
      <w:pPr>
        <w:numPr>
          <w:ilvl w:val="0"/>
          <w:numId w:val="4"/>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Adults 60+ show increasing or more variable incidence patterns in later years.</w:t>
      </w:r>
    </w:p>
    <w:p w:rsidR="00000000" w:rsidDel="00000000" w:rsidP="00000000" w:rsidRDefault="00000000" w:rsidRPr="00000000" w14:paraId="000000D2">
      <w:pPr>
        <w:numPr>
          <w:ilvl w:val="0"/>
          <w:numId w:val="4"/>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Children’s incidence has stronger and more consistent seasonality.</w:t>
      </w:r>
    </w:p>
    <w:p w:rsidR="00000000" w:rsidDel="00000000" w:rsidP="00000000" w:rsidRDefault="00000000" w:rsidRPr="00000000" w14:paraId="000000D3">
      <w:pPr>
        <w:numPr>
          <w:ilvl w:val="0"/>
          <w:numId w:val="4"/>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Adult incidence is more irregular and harder to forecast.</w:t>
      </w:r>
    </w:p>
    <w:p w:rsidR="00000000" w:rsidDel="00000000" w:rsidP="00000000" w:rsidRDefault="00000000" w:rsidRPr="00000000" w14:paraId="000000D4">
      <w:pPr>
        <w:numPr>
          <w:ilvl w:val="0"/>
          <w:numId w:val="4"/>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Machine learning models, especially XGBoost and Random Forest, performed best in short-term forecasting.</w:t>
      </w:r>
    </w:p>
    <w:p w:rsidR="00000000" w:rsidDel="00000000" w:rsidP="00000000" w:rsidRDefault="00000000" w:rsidRPr="00000000" w14:paraId="000000D5">
      <w:pPr>
        <w:numPr>
          <w:ilvl w:val="0"/>
          <w:numId w:val="4"/>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LSTM models captured broad temporal structure but often smoothed extreme peaks.</w:t>
      </w:r>
    </w:p>
    <w:p w:rsidR="00000000" w:rsidDel="00000000" w:rsidP="00000000" w:rsidRDefault="00000000" w:rsidRPr="00000000" w14:paraId="000000D6">
      <w:pPr>
        <w:numPr>
          <w:ilvl w:val="0"/>
          <w:numId w:val="4"/>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National models performed strongly because national series are smoother than regional series.</w:t>
      </w:r>
    </w:p>
    <w:p w:rsidR="00000000" w:rsidDel="00000000" w:rsidP="00000000" w:rsidRDefault="00000000" w:rsidRPr="00000000" w14:paraId="000000D7">
      <w:pPr>
        <w:numPr>
          <w:ilvl w:val="0"/>
          <w:numId w:val="4"/>
        </w:numPr>
        <w:shd w:fill="ffffff" w:val="clear"/>
        <w:spacing w:after="28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Regional forecasts are more challenging due to local spikes and higher variability.</w:t>
      </w:r>
    </w:p>
    <w:p w:rsidR="00000000" w:rsidDel="00000000" w:rsidP="00000000" w:rsidRDefault="00000000" w:rsidRPr="00000000" w14:paraId="000000D8">
      <w:pPr>
        <w:spacing w:after="360" w:before="36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hd w:fill="ffffff" w:val="clear"/>
        <w:spacing w:after="240" w:before="360" w:line="240" w:lineRule="auto"/>
        <w:rPr>
          <w:rFonts w:ascii="Quattrocento Sans" w:cs="Quattrocento Sans" w:eastAsia="Quattrocento Sans" w:hAnsi="Quattrocento Sans"/>
          <w:b w:val="1"/>
          <w:bCs w:val="1"/>
          <w:color w:val="1f2328"/>
          <w:sz w:val="36"/>
          <w:szCs w:val="36"/>
        </w:rPr>
      </w:pPr>
      <w:r w:rsidDel="00000000" w:rsidR="00000000" w:rsidRPr="00000000">
        <w:rPr>
          <w:rFonts w:ascii="Quattrocento Sans" w:cs="Quattrocento Sans" w:eastAsia="Quattrocento Sans" w:hAnsi="Quattrocento Sans"/>
          <w:b w:val="1"/>
          <w:bCs w:val="1"/>
          <w:color w:val="1f2328"/>
          <w:sz w:val="36"/>
          <w:szCs w:val="36"/>
          <w:rtl w:val="0"/>
        </w:rPr>
        <w:t xml:space="preserve">Project Structure</w:t>
      </w:r>
    </w:p>
    <w:p w:rsidR="00000000" w:rsidDel="00000000" w:rsidP="00000000" w:rsidRDefault="00000000" w:rsidRPr="00000000" w14:paraId="000000DA">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Thummalapally_OUDSA5900-main/</w:t>
      </w:r>
    </w:p>
    <w:p w:rsidR="00000000" w:rsidDel="00000000" w:rsidP="00000000" w:rsidRDefault="00000000" w:rsidRPr="00000000" w14:paraId="000000DB">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00DC">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data/</w:t>
      </w:r>
    </w:p>
    <w:p w:rsidR="00000000" w:rsidDel="00000000" w:rsidP="00000000" w:rsidRDefault="00000000" w:rsidRPr="00000000" w14:paraId="000000DD">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external/</w:t>
      </w:r>
    </w:p>
    <w:p w:rsidR="00000000" w:rsidDel="00000000" w:rsidP="00000000" w:rsidRDefault="00000000" w:rsidRPr="00000000" w14:paraId="000000DE">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processed/</w:t>
      </w:r>
    </w:p>
    <w:p w:rsidR="00000000" w:rsidDel="00000000" w:rsidP="00000000" w:rsidRDefault="00000000" w:rsidRPr="00000000" w14:paraId="000000DF">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 annual_disease_measures_dept_2000_2023.csv</w:t>
      </w:r>
    </w:p>
    <w:p w:rsidR="00000000" w:rsidDel="00000000" w:rsidP="00000000" w:rsidRDefault="00000000" w:rsidRPr="00000000" w14:paraId="000000E0">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 dept_updated_census.xlsx</w:t>
      </w:r>
    </w:p>
    <w:p w:rsidR="00000000" w:rsidDel="00000000" w:rsidP="00000000" w:rsidRDefault="00000000" w:rsidRPr="00000000" w14:paraId="000000E1">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 deptPopulationInterpolated_2000-2023.csv</w:t>
      </w:r>
    </w:p>
    <w:p w:rsidR="00000000" w:rsidDel="00000000" w:rsidP="00000000" w:rsidRDefault="00000000" w:rsidRPr="00000000" w14:paraId="000000E2">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0E3">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raw/</w:t>
      </w:r>
    </w:p>
    <w:p w:rsidR="00000000" w:rsidDel="00000000" w:rsidP="00000000" w:rsidRDefault="00000000" w:rsidRPr="00000000" w14:paraId="000000E4">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dept_updated.xlsx</w:t>
      </w:r>
    </w:p>
    <w:p w:rsidR="00000000" w:rsidDel="00000000" w:rsidP="00000000" w:rsidRDefault="00000000" w:rsidRPr="00000000" w14:paraId="000000E5">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district_updated.xlsx</w:t>
      </w:r>
    </w:p>
    <w:p w:rsidR="00000000" w:rsidDel="00000000" w:rsidP="00000000" w:rsidRDefault="00000000" w:rsidRPr="00000000" w14:paraId="000000E6">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iras_updated.csv</w:t>
      </w:r>
    </w:p>
    <w:p w:rsidR="00000000" w:rsidDel="00000000" w:rsidP="00000000" w:rsidRDefault="00000000" w:rsidRPr="00000000" w14:paraId="000000E7">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iras_updated.csv.zip</w:t>
      </w:r>
    </w:p>
    <w:p w:rsidR="00000000" w:rsidDel="00000000" w:rsidP="00000000" w:rsidRDefault="00000000" w:rsidRPr="00000000" w14:paraId="000000E8">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province_updated.xlsx</w:t>
      </w:r>
    </w:p>
    <w:p w:rsidR="00000000" w:rsidDel="00000000" w:rsidP="00000000" w:rsidRDefault="00000000" w:rsidRPr="00000000" w14:paraId="000000E9">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00EA">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docs/</w:t>
      </w:r>
    </w:p>
    <w:p w:rsidR="00000000" w:rsidDel="00000000" w:rsidP="00000000" w:rsidRDefault="00000000" w:rsidRPr="00000000" w14:paraId="000000EB">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00EC">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outputs/</w:t>
      </w:r>
    </w:p>
    <w:p w:rsidR="00000000" w:rsidDel="00000000" w:rsidP="00000000" w:rsidRDefault="00000000" w:rsidRPr="00000000" w14:paraId="000000ED">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adults_cases_baseline_stat_optimized/</w:t>
      </w:r>
    </w:p>
    <w:p w:rsidR="00000000" w:rsidDel="00000000" w:rsidP="00000000" w:rsidRDefault="00000000" w:rsidRPr="00000000" w14:paraId="000000EE">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adults_cases_lstm_top3/</w:t>
      </w:r>
    </w:p>
    <w:p w:rsidR="00000000" w:rsidDel="00000000" w:rsidP="00000000" w:rsidRDefault="00000000" w:rsidRPr="00000000" w14:paraId="000000EF">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adults_cases_ml_optimized/</w:t>
      </w:r>
    </w:p>
    <w:p w:rsidR="00000000" w:rsidDel="00000000" w:rsidP="00000000" w:rsidRDefault="00000000" w:rsidRPr="00000000" w14:paraId="000000F0">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adults_cases_top3_models_final/</w:t>
      </w:r>
    </w:p>
    <w:p w:rsidR="00000000" w:rsidDel="00000000" w:rsidP="00000000" w:rsidRDefault="00000000" w:rsidRPr="00000000" w14:paraId="000000F1">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adults_feature_importance_ci/</w:t>
      </w:r>
    </w:p>
    <w:p w:rsidR="00000000" w:rsidDel="00000000" w:rsidP="00000000" w:rsidRDefault="00000000" w:rsidRPr="00000000" w14:paraId="000000F2">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children_cases_baseline_stat_updated/</w:t>
      </w:r>
    </w:p>
    <w:p w:rsidR="00000000" w:rsidDel="00000000" w:rsidP="00000000" w:rsidRDefault="00000000" w:rsidRPr="00000000" w14:paraId="000000F3">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children_cases_lstm_improved/</w:t>
      </w:r>
    </w:p>
    <w:p w:rsidR="00000000" w:rsidDel="00000000" w:rsidP="00000000" w:rsidRDefault="00000000" w:rsidRPr="00000000" w14:paraId="000000F4">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children_cases_ml_simulation_recursive/</w:t>
      </w:r>
    </w:p>
    <w:p w:rsidR="00000000" w:rsidDel="00000000" w:rsidP="00000000" w:rsidRDefault="00000000" w:rsidRPr="00000000" w14:paraId="000000F5">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children_cases_top3_model_plots/</w:t>
      </w:r>
    </w:p>
    <w:p w:rsidR="00000000" w:rsidDel="00000000" w:rsidP="00000000" w:rsidRDefault="00000000" w:rsidRPr="00000000" w14:paraId="000000F6">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children_deaths_top3_baseline_stat_simulation/</w:t>
      </w:r>
    </w:p>
    <w:p w:rsidR="00000000" w:rsidDel="00000000" w:rsidP="00000000" w:rsidRDefault="00000000" w:rsidRPr="00000000" w14:paraId="000000F7">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children_deaths_top3_lstm/</w:t>
      </w:r>
    </w:p>
    <w:p w:rsidR="00000000" w:rsidDel="00000000" w:rsidP="00000000" w:rsidRDefault="00000000" w:rsidRPr="00000000" w14:paraId="000000F8">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children_deaths_top3_ml/</w:t>
      </w:r>
    </w:p>
    <w:p w:rsidR="00000000" w:rsidDel="00000000" w:rsidP="00000000" w:rsidRDefault="00000000" w:rsidRPr="00000000" w14:paraId="000000F9">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children_feature_importance_ci/</w:t>
      </w:r>
    </w:p>
    <w:p w:rsidR="00000000" w:rsidDel="00000000" w:rsidP="00000000" w:rsidRDefault="00000000" w:rsidRPr="00000000" w14:paraId="000000FA">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figures/</w:t>
      </w:r>
    </w:p>
    <w:p w:rsidR="00000000" w:rsidDel="00000000" w:rsidP="00000000" w:rsidRDefault="00000000" w:rsidRPr="00000000" w14:paraId="000000FB">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national_adults_cases_ml/</w:t>
      </w:r>
    </w:p>
    <w:p w:rsidR="00000000" w:rsidDel="00000000" w:rsidP="00000000" w:rsidRDefault="00000000" w:rsidRPr="00000000" w14:paraId="000000FC">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national_children_cases_ml/</w:t>
      </w:r>
    </w:p>
    <w:p w:rsidR="00000000" w:rsidDel="00000000" w:rsidP="00000000" w:rsidRDefault="00000000" w:rsidRPr="00000000" w14:paraId="000000FD">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summary_stats_final_report_tables/</w:t>
      </w:r>
    </w:p>
    <w:p w:rsidR="00000000" w:rsidDel="00000000" w:rsidP="00000000" w:rsidRDefault="00000000" w:rsidRPr="00000000" w14:paraId="000000FE">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tables/</w:t>
      </w:r>
    </w:p>
    <w:p w:rsidR="00000000" w:rsidDel="00000000" w:rsidP="00000000" w:rsidRDefault="00000000" w:rsidRPr="00000000" w14:paraId="000000FF">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0100">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src/</w:t>
      </w:r>
    </w:p>
    <w:p w:rsidR="00000000" w:rsidDel="00000000" w:rsidP="00000000" w:rsidRDefault="00000000" w:rsidRPr="00000000" w14:paraId="00000101">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data_preparation/</w:t>
      </w:r>
    </w:p>
    <w:p w:rsidR="00000000" w:rsidDel="00000000" w:rsidP="00000000" w:rsidRDefault="00000000" w:rsidRPr="00000000" w14:paraId="00000102">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 Incidence.py</w:t>
      </w:r>
    </w:p>
    <w:p w:rsidR="00000000" w:rsidDel="00000000" w:rsidP="00000000" w:rsidRDefault="00000000" w:rsidRPr="00000000" w14:paraId="00000103">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 Interpolation.py</w:t>
      </w:r>
    </w:p>
    <w:p w:rsidR="00000000" w:rsidDel="00000000" w:rsidP="00000000" w:rsidRDefault="00000000" w:rsidRPr="00000000" w14:paraId="00000104">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 ranking_updated.py</w:t>
      </w:r>
    </w:p>
    <w:p w:rsidR="00000000" w:rsidDel="00000000" w:rsidP="00000000" w:rsidRDefault="00000000" w:rsidRPr="00000000" w14:paraId="00000105">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106">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eda/</w:t>
      </w:r>
    </w:p>
    <w:p w:rsidR="00000000" w:rsidDel="00000000" w:rsidP="00000000" w:rsidRDefault="00000000" w:rsidRPr="00000000" w14:paraId="00000107">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 Annual_Variation.py</w:t>
      </w:r>
    </w:p>
    <w:p w:rsidR="00000000" w:rsidDel="00000000" w:rsidP="00000000" w:rsidRDefault="00000000" w:rsidRPr="00000000" w14:paraId="00000108">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 Disease_Severity_Analysis.py</w:t>
      </w:r>
    </w:p>
    <w:p w:rsidR="00000000" w:rsidDel="00000000" w:rsidP="00000000" w:rsidRDefault="00000000" w:rsidRPr="00000000" w14:paraId="00000109">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 Regional_Analysis.py</w:t>
      </w:r>
    </w:p>
    <w:p w:rsidR="00000000" w:rsidDel="00000000" w:rsidP="00000000" w:rsidRDefault="00000000" w:rsidRPr="00000000" w14:paraId="0000010A">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 seasonality_analysis.py</w:t>
      </w:r>
    </w:p>
    <w:p w:rsidR="00000000" w:rsidDel="00000000" w:rsidP="00000000" w:rsidRDefault="00000000" w:rsidRPr="00000000" w14:paraId="0000010B">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 Top_regions_analysis.py</w:t>
      </w:r>
    </w:p>
    <w:p w:rsidR="00000000" w:rsidDel="00000000" w:rsidP="00000000" w:rsidRDefault="00000000" w:rsidRPr="00000000" w14:paraId="0000010C">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10D">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modeling/</w:t>
      </w:r>
    </w:p>
    <w:p w:rsidR="00000000" w:rsidDel="00000000" w:rsidP="00000000" w:rsidRDefault="00000000" w:rsidRPr="00000000" w14:paraId="0000010E">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adults_cases_baseline_stats_final.py</w:t>
      </w:r>
    </w:p>
    <w:p w:rsidR="00000000" w:rsidDel="00000000" w:rsidP="00000000" w:rsidRDefault="00000000" w:rsidRPr="00000000" w14:paraId="0000010F">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adults_cases_lstm_updated.py</w:t>
      </w:r>
    </w:p>
    <w:p w:rsidR="00000000" w:rsidDel="00000000" w:rsidP="00000000" w:rsidRDefault="00000000" w:rsidRPr="00000000" w14:paraId="00000110">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adults_cases_ml_final.py</w:t>
      </w:r>
    </w:p>
    <w:p w:rsidR="00000000" w:rsidDel="00000000" w:rsidP="00000000" w:rsidRDefault="00000000" w:rsidRPr="00000000" w14:paraId="00000111">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adults_feature_impotance_ci.py</w:t>
      </w:r>
    </w:p>
    <w:p w:rsidR="00000000" w:rsidDel="00000000" w:rsidP="00000000" w:rsidRDefault="00000000" w:rsidRPr="00000000" w14:paraId="00000112">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baseline_stat_children_cases_final.py</w:t>
      </w:r>
    </w:p>
    <w:p w:rsidR="00000000" w:rsidDel="00000000" w:rsidP="00000000" w:rsidRDefault="00000000" w:rsidRPr="00000000" w14:paraId="00000113">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childran_feature_importance_ci.py</w:t>
      </w:r>
    </w:p>
    <w:p w:rsidR="00000000" w:rsidDel="00000000" w:rsidP="00000000" w:rsidRDefault="00000000" w:rsidRPr="00000000" w14:paraId="00000114">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modeling_adults_cases_lstm_final.py</w:t>
      </w:r>
    </w:p>
    <w:p w:rsidR="00000000" w:rsidDel="00000000" w:rsidP="00000000" w:rsidRDefault="00000000" w:rsidRPr="00000000" w14:paraId="00000115">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modeling_children_cases_lstm_updated_final.py</w:t>
      </w:r>
    </w:p>
    <w:p w:rsidR="00000000" w:rsidDel="00000000" w:rsidP="00000000" w:rsidRDefault="00000000" w:rsidRPr="00000000" w14:paraId="00000116">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modeling_children_cases_ml_updated_final.py</w:t>
      </w:r>
    </w:p>
    <w:p w:rsidR="00000000" w:rsidDel="00000000" w:rsidP="00000000" w:rsidRDefault="00000000" w:rsidRPr="00000000" w14:paraId="00000117">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modeling_national_adults_cases_ml.py</w:t>
      </w:r>
    </w:p>
    <w:p w:rsidR="00000000" w:rsidDel="00000000" w:rsidP="00000000" w:rsidRDefault="00000000" w:rsidRPr="00000000" w14:paraId="00000118">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Modeling_national_children_cases_ml.py</w:t>
      </w:r>
    </w:p>
    <w:p w:rsidR="00000000" w:rsidDel="00000000" w:rsidP="00000000" w:rsidRDefault="00000000" w:rsidRPr="00000000" w14:paraId="00000119">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summary_stats_table.py</w:t>
      </w:r>
    </w:p>
    <w:p w:rsidR="00000000" w:rsidDel="00000000" w:rsidP="00000000" w:rsidRDefault="00000000" w:rsidRPr="00000000" w14:paraId="0000011A">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top3_regions_adults_cases_final.py</w:t>
      </w:r>
    </w:p>
    <w:p w:rsidR="00000000" w:rsidDel="00000000" w:rsidP="00000000" w:rsidRDefault="00000000" w:rsidRPr="00000000" w14:paraId="0000011B">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Top3_regions_models_children_cases_final.py</w:t>
      </w:r>
    </w:p>
    <w:p w:rsidR="00000000" w:rsidDel="00000000" w:rsidP="00000000" w:rsidRDefault="00000000" w:rsidRPr="00000000" w14:paraId="0000011C">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011D">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README.md</w:t>
      </w:r>
    </w:p>
    <w:p w:rsidR="00000000" w:rsidDel="00000000" w:rsidP="00000000" w:rsidRDefault="00000000" w:rsidRPr="00000000" w14:paraId="0000011E">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requirements.txt</w:t>
      </w:r>
    </w:p>
    <w:p w:rsidR="00000000" w:rsidDel="00000000" w:rsidP="00000000" w:rsidRDefault="00000000" w:rsidRPr="00000000" w14:paraId="0000011F">
      <w:pPr>
        <w:spacing w:after="360" w:before="36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hd w:fill="ffffff" w:val="clear"/>
        <w:spacing w:after="240" w:before="360" w:line="240" w:lineRule="auto"/>
        <w:rPr>
          <w:rFonts w:ascii="Quattrocento Sans" w:cs="Quattrocento Sans" w:eastAsia="Quattrocento Sans" w:hAnsi="Quattrocento Sans"/>
          <w:b w:val="1"/>
          <w:bCs w:val="1"/>
          <w:color w:val="1f2328"/>
          <w:sz w:val="36"/>
          <w:szCs w:val="36"/>
        </w:rPr>
      </w:pPr>
      <w:r w:rsidDel="00000000" w:rsidR="00000000" w:rsidRPr="00000000">
        <w:rPr>
          <w:rFonts w:ascii="Quattrocento Sans" w:cs="Quattrocento Sans" w:eastAsia="Quattrocento Sans" w:hAnsi="Quattrocento Sans"/>
          <w:b w:val="1"/>
          <w:bCs w:val="1"/>
          <w:color w:val="1f2328"/>
          <w:sz w:val="36"/>
          <w:szCs w:val="36"/>
          <w:rtl w:val="0"/>
        </w:rPr>
        <w:t xml:space="preserve">Requirements</w:t>
      </w:r>
    </w:p>
    <w:p w:rsidR="00000000" w:rsidDel="00000000" w:rsidP="00000000" w:rsidRDefault="00000000" w:rsidRPr="00000000" w14:paraId="00000121">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Install dependencies using:</w:t>
      </w:r>
    </w:p>
    <w:p w:rsidR="00000000" w:rsidDel="00000000" w:rsidP="00000000" w:rsidRDefault="00000000" w:rsidRPr="00000000" w14:paraId="00000122">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pip install -r requirements.txt</w:t>
      </w:r>
    </w:p>
    <w:p w:rsidR="00000000" w:rsidDel="00000000" w:rsidP="00000000" w:rsidRDefault="00000000" w:rsidRPr="00000000" w14:paraId="00000123">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Main Python libraries used:</w:t>
      </w:r>
    </w:p>
    <w:p w:rsidR="00000000" w:rsidDel="00000000" w:rsidP="00000000" w:rsidRDefault="00000000" w:rsidRPr="00000000" w14:paraId="00000124">
      <w:pPr>
        <w:numPr>
          <w:ilvl w:val="0"/>
          <w:numId w:val="5"/>
        </w:numPr>
        <w:shd w:fill="ffffff" w:val="clear"/>
        <w:spacing w:after="0" w:before="28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pandas</w:t>
      </w:r>
    </w:p>
    <w:p w:rsidR="00000000" w:rsidDel="00000000" w:rsidP="00000000" w:rsidRDefault="00000000" w:rsidRPr="00000000" w14:paraId="00000125">
      <w:pPr>
        <w:numPr>
          <w:ilvl w:val="0"/>
          <w:numId w:val="5"/>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numpy</w:t>
      </w:r>
    </w:p>
    <w:p w:rsidR="00000000" w:rsidDel="00000000" w:rsidP="00000000" w:rsidRDefault="00000000" w:rsidRPr="00000000" w14:paraId="00000126">
      <w:pPr>
        <w:numPr>
          <w:ilvl w:val="0"/>
          <w:numId w:val="5"/>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matplotlib</w:t>
      </w:r>
    </w:p>
    <w:p w:rsidR="00000000" w:rsidDel="00000000" w:rsidP="00000000" w:rsidRDefault="00000000" w:rsidRPr="00000000" w14:paraId="00000127">
      <w:pPr>
        <w:numPr>
          <w:ilvl w:val="0"/>
          <w:numId w:val="5"/>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seaborn</w:t>
      </w:r>
    </w:p>
    <w:p w:rsidR="00000000" w:rsidDel="00000000" w:rsidP="00000000" w:rsidRDefault="00000000" w:rsidRPr="00000000" w14:paraId="00000128">
      <w:pPr>
        <w:numPr>
          <w:ilvl w:val="0"/>
          <w:numId w:val="5"/>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scikit-learn</w:t>
      </w:r>
    </w:p>
    <w:p w:rsidR="00000000" w:rsidDel="00000000" w:rsidP="00000000" w:rsidRDefault="00000000" w:rsidRPr="00000000" w14:paraId="00000129">
      <w:pPr>
        <w:numPr>
          <w:ilvl w:val="0"/>
          <w:numId w:val="5"/>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statsmodels</w:t>
      </w:r>
    </w:p>
    <w:p w:rsidR="00000000" w:rsidDel="00000000" w:rsidP="00000000" w:rsidRDefault="00000000" w:rsidRPr="00000000" w14:paraId="0000012A">
      <w:pPr>
        <w:numPr>
          <w:ilvl w:val="0"/>
          <w:numId w:val="5"/>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xgboost</w:t>
      </w:r>
    </w:p>
    <w:p w:rsidR="00000000" w:rsidDel="00000000" w:rsidP="00000000" w:rsidRDefault="00000000" w:rsidRPr="00000000" w14:paraId="0000012B">
      <w:pPr>
        <w:numPr>
          <w:ilvl w:val="0"/>
          <w:numId w:val="5"/>
        </w:numPr>
        <w:shd w:fill="ffffff" w:val="clear"/>
        <w:spacing w:after="28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tensorflow / keras</w:t>
      </w:r>
    </w:p>
    <w:p w:rsidR="00000000" w:rsidDel="00000000" w:rsidP="00000000" w:rsidRDefault="00000000" w:rsidRPr="00000000" w14:paraId="0000012C">
      <w:pPr>
        <w:spacing w:after="360" w:before="36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hd w:fill="ffffff" w:val="clear"/>
        <w:spacing w:after="240" w:before="360" w:line="240" w:lineRule="auto"/>
        <w:rPr>
          <w:rFonts w:ascii="Quattrocento Sans" w:cs="Quattrocento Sans" w:eastAsia="Quattrocento Sans" w:hAnsi="Quattrocento Sans"/>
          <w:b w:val="1"/>
          <w:bCs w:val="1"/>
          <w:color w:val="1f2328"/>
          <w:sz w:val="36"/>
          <w:szCs w:val="36"/>
        </w:rPr>
      </w:pPr>
      <w:r w:rsidDel="00000000" w:rsidR="00000000" w:rsidRPr="00000000">
        <w:rPr>
          <w:rFonts w:ascii="Quattrocento Sans" w:cs="Quattrocento Sans" w:eastAsia="Quattrocento Sans" w:hAnsi="Quattrocento Sans"/>
          <w:b w:val="1"/>
          <w:bCs w:val="1"/>
          <w:color w:val="1f2328"/>
          <w:sz w:val="36"/>
          <w:szCs w:val="36"/>
          <w:rtl w:val="0"/>
        </w:rPr>
        <w:t xml:space="preserve">Notes</w:t>
      </w:r>
    </w:p>
    <w:p w:rsidR="00000000" w:rsidDel="00000000" w:rsidP="00000000" w:rsidRDefault="00000000" w:rsidRPr="00000000" w14:paraId="0000012E">
      <w:pPr>
        <w:numPr>
          <w:ilvl w:val="0"/>
          <w:numId w:val="6"/>
        </w:numPr>
        <w:shd w:fill="ffffff" w:val="clear"/>
        <w:spacing w:after="0" w:before="28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Regional modeling is the primary focus.</w:t>
      </w:r>
    </w:p>
    <w:p w:rsidR="00000000" w:rsidDel="00000000" w:rsidP="00000000" w:rsidRDefault="00000000" w:rsidRPr="00000000" w14:paraId="0000012F">
      <w:pPr>
        <w:numPr>
          <w:ilvl w:val="0"/>
          <w:numId w:val="6"/>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National modeling is an extension using aggregated national data.</w:t>
      </w:r>
    </w:p>
    <w:p w:rsidR="00000000" w:rsidDel="00000000" w:rsidP="00000000" w:rsidRDefault="00000000" w:rsidRPr="00000000" w14:paraId="00000130">
      <w:pPr>
        <w:numPr>
          <w:ilvl w:val="0"/>
          <w:numId w:val="6"/>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National incidence is computed from total cases and total population.</w:t>
      </w:r>
    </w:p>
    <w:p w:rsidR="00000000" w:rsidDel="00000000" w:rsidP="00000000" w:rsidRDefault="00000000" w:rsidRPr="00000000" w14:paraId="00000131">
      <w:pPr>
        <w:numPr>
          <w:ilvl w:val="0"/>
          <w:numId w:val="6"/>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Regional incidence is computed separately by department.</w:t>
      </w:r>
    </w:p>
    <w:p w:rsidR="00000000" w:rsidDel="00000000" w:rsidP="00000000" w:rsidRDefault="00000000" w:rsidRPr="00000000" w14:paraId="00000132">
      <w:pPr>
        <w:numPr>
          <w:ilvl w:val="0"/>
          <w:numId w:val="6"/>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Forecasts should be interpreted as public health monitoring support, not exact predictions.</w:t>
      </w:r>
    </w:p>
    <w:p w:rsidR="00000000" w:rsidDel="00000000" w:rsidP="00000000" w:rsidRDefault="00000000" w:rsidRPr="00000000" w14:paraId="00000133">
      <w:pPr>
        <w:numPr>
          <w:ilvl w:val="0"/>
          <w:numId w:val="6"/>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Feature importance explains model behavior but does not imply causality.</w:t>
      </w:r>
    </w:p>
    <w:p w:rsidR="00000000" w:rsidDel="00000000" w:rsidP="00000000" w:rsidRDefault="00000000" w:rsidRPr="00000000" w14:paraId="00000134">
      <w:pPr>
        <w:numPr>
          <w:ilvl w:val="0"/>
          <w:numId w:val="6"/>
        </w:numPr>
        <w:shd w:fill="ffffff" w:val="clear"/>
        <w:spacing w:after="28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Confidence intervals communicate uncertainty around future projections.</w:t>
      </w:r>
    </w:p>
    <w:p w:rsidR="00000000" w:rsidDel="00000000" w:rsidP="00000000" w:rsidRDefault="00000000" w:rsidRPr="00000000" w14:paraId="000001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nsola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0"/>
      <w:numFmt w:val="bullet"/>
      <w:lvlText w:val=""/>
      <w:lvlJc w:val="left"/>
      <w:pPr>
        <w:ind w:left="1440" w:hanging="360"/>
      </w:pPr>
      <w:rPr>
        <w:rFonts w:ascii="Arial" w:cs="Arial" w:eastAsia="Arial" w:hAnsi="Arial"/>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4406B3"/>
    <w:rPr>
      <w:rFonts w:ascii="Times New Roman" w:cs="Times New Roman" w:eastAsia="Times New Roman" w:hAnsi="Times New Roman"/>
      <w:b w:val="1"/>
      <w:bCs w:val="1"/>
      <w:kern w:val="36"/>
      <w:sz w:val="48"/>
      <w:szCs w:val="48"/>
    </w:rPr>
  </w:style>
  <w:style w:type="character" w:styleId="Ttulo2Car" w:customStyle="1">
    <w:name w:val="Título 2 Car"/>
    <w:basedOn w:val="Fuentedeprrafopredeter"/>
    <w:link w:val="Ttulo2"/>
    <w:uiPriority w:val="9"/>
    <w:rsid w:val="004406B3"/>
    <w:rPr>
      <w:rFonts w:ascii="Times New Roman" w:cs="Times New Roman" w:eastAsia="Times New Roman" w:hAnsi="Times New Roman"/>
      <w:b w:val="1"/>
      <w:bCs w:val="1"/>
      <w:sz w:val="36"/>
      <w:szCs w:val="36"/>
    </w:rPr>
  </w:style>
  <w:style w:type="character" w:styleId="Ttulo3Car" w:customStyle="1">
    <w:name w:val="Título 3 Car"/>
    <w:basedOn w:val="Fuentedeprrafopredeter"/>
    <w:link w:val="Ttulo3"/>
    <w:uiPriority w:val="9"/>
    <w:rsid w:val="004406B3"/>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4406B3"/>
    <w:pPr>
      <w:spacing w:after="100" w:afterAutospacing="1" w:before="100" w:beforeAutospacing="1" w:line="240" w:lineRule="auto"/>
    </w:pPr>
    <w:rPr>
      <w:rFonts w:ascii="Times New Roman" w:cs="Times New Roman" w:eastAsia="Times New Roman" w:hAnsi="Times New Roman"/>
      <w:sz w:val="24"/>
      <w:szCs w:val="24"/>
    </w:rPr>
  </w:style>
  <w:style w:type="paragraph" w:styleId="HTMLconformatoprevio">
    <w:name w:val="HTML Preformatted"/>
    <w:basedOn w:val="Normal"/>
    <w:link w:val="HTMLconformatoprevioCar"/>
    <w:uiPriority w:val="99"/>
    <w:semiHidden w:val="1"/>
    <w:unhideWhenUsed w:val="1"/>
    <w:rsid w:val="00440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conformatoprevioCar" w:customStyle="1">
    <w:name w:val="HTML con formato previo Car"/>
    <w:basedOn w:val="Fuentedeprrafopredeter"/>
    <w:link w:val="HTMLconformatoprevio"/>
    <w:uiPriority w:val="99"/>
    <w:semiHidden w:val="1"/>
    <w:rsid w:val="004406B3"/>
    <w:rPr>
      <w:rFonts w:ascii="Courier New" w:cs="Courier New" w:eastAsia="Times New Roman" w:hAnsi="Courier New"/>
      <w:sz w:val="20"/>
      <w:szCs w:val="20"/>
    </w:rPr>
  </w:style>
  <w:style w:type="character" w:styleId="CdigoHTML">
    <w:name w:val="HTML Code"/>
    <w:basedOn w:val="Fuentedeprrafopredeter"/>
    <w:uiPriority w:val="99"/>
    <w:semiHidden w:val="1"/>
    <w:unhideWhenUsed w:val="1"/>
    <w:rsid w:val="004406B3"/>
    <w:rPr>
      <w:rFonts w:ascii="Courier New" w:cs="Courier New" w:eastAsia="Times New Roman" w:hAnsi="Courier New"/>
      <w:sz w:val="20"/>
      <w:szCs w:val="20"/>
    </w:rPr>
  </w:style>
  <w:style w:type="paragraph" w:styleId="Prrafodelista">
    <w:name w:val="List Paragraph"/>
    <w:basedOn w:val="Normal"/>
    <w:uiPriority w:val="34"/>
    <w:qFormat w:val="1"/>
    <w:rsid w:val="00F01909"/>
    <w:pPr>
      <w:ind w:left="720"/>
      <w:contextualSpacing w:val="1"/>
    </w:pPr>
  </w:style>
  <w:style w:type="character" w:styleId="inqyif" w:customStyle="1">
    <w:name w:val="inqyif"/>
    <w:basedOn w:val="Fuentedeprrafopredeter"/>
    <w:rsid w:val="00002E72"/>
  </w:style>
  <w:style w:type="character" w:styleId="Textoennegrita">
    <w:name w:val="Strong"/>
    <w:basedOn w:val="Fuentedeprrafopredeter"/>
    <w:uiPriority w:val="22"/>
    <w:qFormat w:val="1"/>
    <w:rsid w:val="00002E72"/>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k2NDBt87PiDL4tJ5y+ZTIwJHeA==">CgMxLjA4AHIhMWxEMDR6SE5ZbVE1aTFTeW9GV05jSTNKMlAxNnhDYld1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2026-07-08T02:36:00Z</dcterms:created>
  <dc:creator>JESUS MARTIN SILVA FERNANDEZ</dc:creator>
</cp:coreProperties>
</file>