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4DAF" w14:textId="77777777" w:rsidR="007C30B9" w:rsidRDefault="007C30B9" w:rsidP="006B4A73">
      <w:pPr>
        <w:spacing w:after="0" w:line="276" w:lineRule="auto"/>
      </w:pPr>
    </w:p>
    <w:p w14:paraId="5BEF3433" w14:textId="77777777" w:rsidR="00AE66B6" w:rsidRDefault="00AE66B6" w:rsidP="006B4A73">
      <w:pPr>
        <w:spacing w:after="0" w:line="276" w:lineRule="auto"/>
      </w:pPr>
    </w:p>
    <w:p w14:paraId="02B26BA9" w14:textId="77777777" w:rsidR="00AE66B6" w:rsidRDefault="00AE66B6" w:rsidP="006B4A73">
      <w:pPr>
        <w:spacing w:after="0" w:line="276" w:lineRule="auto"/>
      </w:pPr>
    </w:p>
    <w:p w14:paraId="11D8F1C9" w14:textId="77777777" w:rsidR="001A55F3" w:rsidRDefault="001A55F3" w:rsidP="006B4A73">
      <w:pPr>
        <w:spacing w:after="0" w:line="276" w:lineRule="auto"/>
      </w:pPr>
    </w:p>
    <w:tbl>
      <w:tblPr>
        <w:tblStyle w:val="Tablaconcuadrcula"/>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54"/>
      </w:tblGrid>
      <w:tr w:rsidR="001A55F3" w14:paraId="508686D0" w14:textId="77777777" w:rsidTr="00173C2B">
        <w:tc>
          <w:tcPr>
            <w:tcW w:w="3969" w:type="dxa"/>
          </w:tcPr>
          <w:p w14:paraId="4AC0791F" w14:textId="77777777" w:rsidR="001A55F3" w:rsidRDefault="001A55F3" w:rsidP="006B4A73">
            <w:pPr>
              <w:spacing w:line="276" w:lineRule="auto"/>
            </w:pPr>
            <w:r>
              <w:rPr>
                <w:noProof/>
                <w:lang w:eastAsia="es-PE"/>
              </w:rPr>
              <w:drawing>
                <wp:anchor distT="0" distB="0" distL="114300" distR="114300" simplePos="0" relativeHeight="251658240" behindDoc="0" locked="0" layoutInCell="1" allowOverlap="1" wp14:anchorId="21C8415F" wp14:editId="1A8097EF">
                  <wp:simplePos x="0" y="0"/>
                  <wp:positionH relativeFrom="column">
                    <wp:posOffset>635</wp:posOffset>
                  </wp:positionH>
                  <wp:positionV relativeFrom="paragraph">
                    <wp:posOffset>111125</wp:posOffset>
                  </wp:positionV>
                  <wp:extent cx="2343785" cy="781050"/>
                  <wp:effectExtent l="0" t="0" r="0" b="0"/>
                  <wp:wrapThrough wrapText="bothSides">
                    <wp:wrapPolygon edited="0">
                      <wp:start x="0" y="0"/>
                      <wp:lineTo x="0" y="21073"/>
                      <wp:lineTo x="21419" y="21073"/>
                      <wp:lineTo x="2141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785" cy="781050"/>
                          </a:xfrm>
                          <a:prstGeom prst="rect">
                            <a:avLst/>
                          </a:prstGeom>
                          <a:noFill/>
                        </pic:spPr>
                      </pic:pic>
                    </a:graphicData>
                  </a:graphic>
                  <wp14:sizeRelH relativeFrom="margin">
                    <wp14:pctWidth>0</wp14:pctWidth>
                  </wp14:sizeRelH>
                  <wp14:sizeRelV relativeFrom="margin">
                    <wp14:pctHeight>0</wp14:pctHeight>
                  </wp14:sizeRelV>
                </wp:anchor>
              </w:drawing>
            </w:r>
          </w:p>
          <w:p w14:paraId="54F38795" w14:textId="77777777" w:rsidR="001A55F3" w:rsidRDefault="001A55F3" w:rsidP="006B4A73">
            <w:pPr>
              <w:spacing w:line="276" w:lineRule="auto"/>
            </w:pPr>
          </w:p>
        </w:tc>
        <w:tc>
          <w:tcPr>
            <w:tcW w:w="5954" w:type="dxa"/>
          </w:tcPr>
          <w:p w14:paraId="1DA5397F" w14:textId="77777777" w:rsidR="001A55F3" w:rsidRPr="001A55F3" w:rsidRDefault="001A55F3" w:rsidP="001A55F3">
            <w:pPr>
              <w:spacing w:line="276" w:lineRule="auto"/>
              <w:jc w:val="center"/>
              <w:rPr>
                <w:b/>
              </w:rPr>
            </w:pPr>
            <w:r w:rsidRPr="001A55F3">
              <w:rPr>
                <w:b/>
              </w:rPr>
              <w:t>UNIVERSIDAD NACIONAL DE SAN AGUSTÍN</w:t>
            </w:r>
          </w:p>
          <w:p w14:paraId="669B72DC" w14:textId="77777777" w:rsidR="001A55F3" w:rsidRPr="001A55F3" w:rsidRDefault="001A55F3" w:rsidP="001A55F3">
            <w:pPr>
              <w:spacing w:line="276" w:lineRule="auto"/>
              <w:jc w:val="center"/>
              <w:rPr>
                <w:b/>
              </w:rPr>
            </w:pPr>
            <w:r w:rsidRPr="001A55F3">
              <w:rPr>
                <w:b/>
              </w:rPr>
              <w:t>ESCUELA PROFESIONAL DE INGENIERÍA DE SISTEMAS</w:t>
            </w:r>
          </w:p>
          <w:p w14:paraId="749244D3" w14:textId="77777777" w:rsidR="001A55F3" w:rsidRPr="001A55F3" w:rsidRDefault="001A55F3" w:rsidP="001A55F3">
            <w:pPr>
              <w:spacing w:line="276" w:lineRule="auto"/>
              <w:jc w:val="center"/>
              <w:rPr>
                <w:b/>
              </w:rPr>
            </w:pPr>
          </w:p>
          <w:p w14:paraId="2A6749DD" w14:textId="77777777" w:rsidR="001A55F3" w:rsidRPr="001A55F3" w:rsidRDefault="001A55F3" w:rsidP="001A55F3">
            <w:pPr>
              <w:spacing w:line="276" w:lineRule="auto"/>
              <w:jc w:val="center"/>
              <w:rPr>
                <w:b/>
              </w:rPr>
            </w:pPr>
            <w:r w:rsidRPr="001A55F3">
              <w:rPr>
                <w:b/>
              </w:rPr>
              <w:t xml:space="preserve">CURSO: </w:t>
            </w:r>
            <w:r w:rsidR="004076B8">
              <w:rPr>
                <w:b/>
              </w:rPr>
              <w:t>DISEÑO Y ARQUITECTURA DE SOFTWARE</w:t>
            </w:r>
          </w:p>
          <w:p w14:paraId="57897CD3" w14:textId="01E3079A" w:rsidR="001A55F3" w:rsidRDefault="001A55F3" w:rsidP="004076B8">
            <w:pPr>
              <w:spacing w:line="276" w:lineRule="auto"/>
              <w:jc w:val="center"/>
            </w:pPr>
            <w:r w:rsidRPr="001A55F3">
              <w:rPr>
                <w:b/>
              </w:rPr>
              <w:t>SEMESTRE: 20</w:t>
            </w:r>
            <w:r w:rsidR="004076B8">
              <w:rPr>
                <w:b/>
              </w:rPr>
              <w:t>2</w:t>
            </w:r>
            <w:r w:rsidR="00837D3C">
              <w:rPr>
                <w:b/>
              </w:rPr>
              <w:t>5</w:t>
            </w:r>
            <w:r w:rsidRPr="001A55F3">
              <w:rPr>
                <w:b/>
              </w:rPr>
              <w:t>-B</w:t>
            </w:r>
          </w:p>
        </w:tc>
      </w:tr>
      <w:tr w:rsidR="001A55F3" w14:paraId="0267F85A" w14:textId="77777777" w:rsidTr="00173C2B">
        <w:tc>
          <w:tcPr>
            <w:tcW w:w="3969" w:type="dxa"/>
          </w:tcPr>
          <w:p w14:paraId="53EEC36F" w14:textId="77777777" w:rsidR="001A55F3" w:rsidRDefault="001A55F3" w:rsidP="006B4A73">
            <w:pPr>
              <w:spacing w:line="276" w:lineRule="auto"/>
            </w:pPr>
          </w:p>
        </w:tc>
        <w:tc>
          <w:tcPr>
            <w:tcW w:w="5954" w:type="dxa"/>
          </w:tcPr>
          <w:p w14:paraId="09CC6C6B" w14:textId="77777777" w:rsidR="001A55F3" w:rsidRDefault="001A55F3" w:rsidP="006B4A73">
            <w:pPr>
              <w:spacing w:line="276" w:lineRule="auto"/>
            </w:pPr>
          </w:p>
        </w:tc>
      </w:tr>
      <w:tr w:rsidR="00AE66B6" w14:paraId="7995B457" w14:textId="77777777" w:rsidTr="00173C2B">
        <w:tc>
          <w:tcPr>
            <w:tcW w:w="3969" w:type="dxa"/>
          </w:tcPr>
          <w:p w14:paraId="69AF4000" w14:textId="77777777" w:rsidR="00AE66B6" w:rsidRDefault="00AE66B6" w:rsidP="006B4A73">
            <w:pPr>
              <w:spacing w:line="276" w:lineRule="auto"/>
            </w:pPr>
          </w:p>
        </w:tc>
        <w:tc>
          <w:tcPr>
            <w:tcW w:w="5954" w:type="dxa"/>
          </w:tcPr>
          <w:p w14:paraId="03373FC2" w14:textId="77777777" w:rsidR="00AE66B6" w:rsidRDefault="00AE66B6" w:rsidP="006B4A73">
            <w:pPr>
              <w:spacing w:line="276" w:lineRule="auto"/>
            </w:pPr>
          </w:p>
        </w:tc>
      </w:tr>
      <w:tr w:rsidR="00AE66B6" w14:paraId="4BF91F6E" w14:textId="77777777" w:rsidTr="00173C2B">
        <w:tc>
          <w:tcPr>
            <w:tcW w:w="3969" w:type="dxa"/>
          </w:tcPr>
          <w:p w14:paraId="7F3456A7" w14:textId="77777777" w:rsidR="00AE66B6" w:rsidRDefault="00AE66B6" w:rsidP="006B4A73">
            <w:pPr>
              <w:spacing w:line="276" w:lineRule="auto"/>
            </w:pPr>
          </w:p>
        </w:tc>
        <w:tc>
          <w:tcPr>
            <w:tcW w:w="5954" w:type="dxa"/>
          </w:tcPr>
          <w:p w14:paraId="15ED4EEA" w14:textId="77777777" w:rsidR="00AE66B6" w:rsidRDefault="00AE66B6" w:rsidP="006B4A73">
            <w:pPr>
              <w:spacing w:line="276" w:lineRule="auto"/>
            </w:pPr>
          </w:p>
        </w:tc>
      </w:tr>
      <w:tr w:rsidR="00212B53" w:rsidRPr="00212B53" w14:paraId="6C9C4D67" w14:textId="77777777" w:rsidTr="00827E59">
        <w:tc>
          <w:tcPr>
            <w:tcW w:w="9923" w:type="dxa"/>
            <w:gridSpan w:val="2"/>
          </w:tcPr>
          <w:p>
            <w:pPr>
              <w:spacing w:before="60" w:after="60"/>
              <w:jc w:val="center"/>
            </w:pPr>
            <w:r/>
            <w:r>
              <w:rPr>
                <w:rFonts w:ascii="Arial" w:hAnsi="Arial"/>
                <w:b/>
                <w:color w:val="0F2942"/>
                <w:sz w:val="22"/>
              </w:rPr>
              <w:t>RESULTADO DEL ESTUDIANTE A MEDIR: 2.3</w:t>
            </w:r>
          </w:p>
        </w:tc>
      </w:tr>
      <w:tr w:rsidR="001A55F3" w14:paraId="48BA5099" w14:textId="77777777" w:rsidTr="00173C2B">
        <w:tc>
          <w:tcPr>
            <w:tcW w:w="9923" w:type="dxa"/>
            <w:gridSpan w:val="2"/>
          </w:tcPr>
          <w:p>
            <w:pPr>
              <w:spacing w:before="60" w:after="60"/>
              <w:jc w:val="center"/>
            </w:pPr>
            <w:r/>
            <w:r>
              <w:rPr>
                <w:rFonts w:ascii="Arial" w:hAnsi="Arial"/>
                <w:b/>
                <w:color w:val="0F2942"/>
                <w:sz w:val="23"/>
              </w:rPr>
              <w:t>SISTEMA DE GESTIÓN INTEGRAL DE SALUD — NEXOVITALIS360 (RUWAYLABS PERÚ)</w:t>
            </w:r>
          </w:p>
        </w:tc>
      </w:tr>
      <w:tr w:rsidR="007F132D" w14:paraId="20CDBB94" w14:textId="77777777" w:rsidTr="00173C2B">
        <w:tc>
          <w:tcPr>
            <w:tcW w:w="9923" w:type="dxa"/>
            <w:gridSpan w:val="2"/>
            <w:vAlign w:val="center"/>
          </w:tcPr>
          <w:p>
            <w:pPr>
              <w:spacing w:before="60" w:after="60"/>
              <w:jc w:val="center"/>
            </w:pPr>
            <w:r/>
            <w:r>
              <w:rPr>
                <w:rFonts w:ascii="Arial" w:hAnsi="Arial"/>
                <w:b/>
                <w:color w:val="1E3A8A"/>
                <w:sz w:val="26"/>
              </w:rPr>
              <w:t>VISTA DE PROCESOS</w:t>
            </w:r>
          </w:p>
        </w:tc>
      </w:tr>
      <w:tr w:rsidR="001A55F3" w14:paraId="4E822367" w14:textId="77777777" w:rsidTr="00173C2B">
        <w:tc>
          <w:tcPr>
            <w:tcW w:w="9923" w:type="dxa"/>
            <w:gridSpan w:val="2"/>
          </w:tcPr>
          <w:p>
            <w:pPr>
              <w:spacing w:before="60" w:after="60"/>
              <w:jc w:val="center"/>
            </w:pPr>
            <w:r/>
            <w:r>
              <w:rPr>
                <w:rFonts w:ascii="Arial" w:hAnsi="Arial"/>
                <w:b/>
                <w:color w:val="0F2942"/>
                <w:sz w:val="22"/>
              </w:rPr>
              <w:t>VERSIÓN V01.00</w:t>
            </w:r>
          </w:p>
        </w:tc>
      </w:tr>
      <w:tr w:rsidR="001A55F3" w14:paraId="37B17868" w14:textId="77777777" w:rsidTr="00173C2B">
        <w:tc>
          <w:tcPr>
            <w:tcW w:w="3969" w:type="dxa"/>
          </w:tcPr>
          <w:p w14:paraId="7194F41E" w14:textId="77777777" w:rsidR="001A55F3" w:rsidRDefault="001A55F3" w:rsidP="006B4A73">
            <w:pPr>
              <w:spacing w:line="276" w:lineRule="auto"/>
            </w:pPr>
          </w:p>
        </w:tc>
        <w:tc>
          <w:tcPr>
            <w:tcW w:w="5954" w:type="dxa"/>
          </w:tcPr>
          <w:p w14:paraId="7A660A99" w14:textId="77777777" w:rsidR="001A55F3" w:rsidRDefault="001A55F3" w:rsidP="006B4A73">
            <w:pPr>
              <w:spacing w:line="276" w:lineRule="auto"/>
            </w:pPr>
          </w:p>
        </w:tc>
      </w:tr>
      <w:tr w:rsidR="00AE66B6" w14:paraId="7CE9BD26" w14:textId="77777777" w:rsidTr="00173C2B">
        <w:tc>
          <w:tcPr>
            <w:tcW w:w="3969" w:type="dxa"/>
          </w:tcPr>
          <w:p w14:paraId="2E650C1E" w14:textId="77777777" w:rsidR="00AE66B6" w:rsidRDefault="00AE66B6" w:rsidP="006B4A73">
            <w:pPr>
              <w:spacing w:line="276" w:lineRule="auto"/>
            </w:pPr>
          </w:p>
        </w:tc>
        <w:tc>
          <w:tcPr>
            <w:tcW w:w="5954" w:type="dxa"/>
          </w:tcPr>
          <w:p w14:paraId="758EA8AC" w14:textId="77777777" w:rsidR="00AE66B6" w:rsidRDefault="00AE66B6" w:rsidP="006B4A73">
            <w:pPr>
              <w:spacing w:line="276" w:lineRule="auto"/>
            </w:pPr>
          </w:p>
        </w:tc>
      </w:tr>
      <w:tr w:rsidR="00AE66B6" w14:paraId="75CFBF59" w14:textId="77777777" w:rsidTr="00173C2B">
        <w:tc>
          <w:tcPr>
            <w:tcW w:w="3969" w:type="dxa"/>
          </w:tcPr>
          <w:p w14:paraId="2E0A65F3" w14:textId="77777777" w:rsidR="00AE66B6" w:rsidRDefault="00AE66B6" w:rsidP="006B4A73">
            <w:pPr>
              <w:spacing w:line="276" w:lineRule="auto"/>
            </w:pPr>
          </w:p>
        </w:tc>
        <w:tc>
          <w:tcPr>
            <w:tcW w:w="5954" w:type="dxa"/>
          </w:tcPr>
          <w:p w14:paraId="5FF5DA97" w14:textId="77777777" w:rsidR="00AE66B6" w:rsidRDefault="00AE66B6" w:rsidP="006B4A73">
            <w:pPr>
              <w:spacing w:line="276" w:lineRule="auto"/>
            </w:pPr>
          </w:p>
        </w:tc>
      </w:tr>
      <w:tr w:rsidR="001A55F3" w14:paraId="3DAD8D7B" w14:textId="77777777" w:rsidTr="00173C2B">
        <w:tc>
          <w:tcPr>
            <w:tcW w:w="9923" w:type="dxa"/>
            <w:gridSpan w:val="2"/>
            <w:vAlign w:val="center"/>
          </w:tcPr>
          <w:p w14:paraId="3DECBA22" w14:textId="77777777" w:rsidR="001A55F3" w:rsidRDefault="001A55F3" w:rsidP="001A55F3">
            <w:pPr>
              <w:spacing w:line="276" w:lineRule="auto"/>
              <w:jc w:val="center"/>
            </w:pPr>
            <w:r>
              <w:t>INTEGRANTES</w:t>
            </w:r>
          </w:p>
        </w:tc>
      </w:tr>
      <w:tr w:rsidR="00AE66B6" w14:paraId="5D53CECA" w14:textId="77777777" w:rsidTr="00173C2B">
        <w:tc>
          <w:tcPr>
            <w:tcW w:w="9923" w:type="dxa"/>
            <w:gridSpan w:val="2"/>
            <w:vAlign w:val="center"/>
          </w:tcPr>
          <w:p w14:paraId="46198D70" w14:textId="77777777" w:rsidR="00AE66B6" w:rsidRDefault="00AE66B6" w:rsidP="001A55F3">
            <w:pPr>
              <w:spacing w:line="276" w:lineRule="auto"/>
              <w:jc w:val="center"/>
            </w:pPr>
          </w:p>
        </w:tc>
      </w:tr>
      <w:tr w:rsidR="001A55F3" w14:paraId="3FE9BAD8" w14:textId="77777777" w:rsidTr="00173C2B">
        <w:tc>
          <w:tcPr>
            <w:tcW w:w="3969" w:type="dxa"/>
          </w:tcPr>
          <w:p>
            <w:pPr>
              <w:spacing w:before="60" w:after="60"/>
              <w:jc w:val="center"/>
            </w:pPr>
            <w:r/>
            <w:r>
              <w:rPr>
                <w:rFonts w:ascii="Arial" w:hAnsi="Arial"/>
                <w:b w:val="0"/>
                <w:color w:val="1E293B"/>
                <w:sz w:val="19"/>
              </w:rPr>
              <w:t>Marquez Herrera Marco Antonio (Líder)</w:t>
            </w:r>
          </w:p>
        </w:tc>
        <w:tc>
          <w:tcPr>
            <w:tcW w:w="5954" w:type="dxa"/>
          </w:tcPr>
          <w:p>
            <w:pPr>
              <w:spacing w:before="60" w:after="60"/>
              <w:jc w:val="center"/>
            </w:pPr>
            <w:r/>
            <w:r>
              <w:rPr>
                <w:rFonts w:ascii="Arial" w:hAnsi="Arial"/>
                <w:b w:val="0"/>
                <w:color w:val="1E293B"/>
                <w:sz w:val="19"/>
              </w:rPr>
              <w:t>Venero Guevara Christian Henry</w:t>
            </w:r>
          </w:p>
        </w:tc>
      </w:tr>
      <w:tr w:rsidR="001A55F3" w14:paraId="5408DE60" w14:textId="77777777" w:rsidTr="00173C2B">
        <w:tc>
          <w:tcPr>
            <w:tcW w:w="3969" w:type="dxa"/>
          </w:tcPr>
          <w:p>
            <w:pPr>
              <w:spacing w:before="60" w:after="60"/>
              <w:jc w:val="center"/>
            </w:pPr>
            <w:r/>
            <w:r>
              <w:rPr>
                <w:rFonts w:ascii="Arial" w:hAnsi="Arial"/>
                <w:b w:val="0"/>
                <w:color w:val="1E293B"/>
                <w:sz w:val="19"/>
              </w:rPr>
              <w:t>Alfonso Huacasi Alejandro Sebastián</w:t>
            </w:r>
          </w:p>
        </w:tc>
        <w:tc>
          <w:tcPr>
            <w:tcW w:w="5954" w:type="dxa"/>
          </w:tcPr>
          <w:p>
            <w:pPr>
              <w:spacing w:before="60" w:after="60"/>
              <w:jc w:val="center"/>
            </w:pPr>
            <w:r/>
            <w:r>
              <w:rPr>
                <w:rFonts w:ascii="Arial" w:hAnsi="Arial"/>
                <w:b w:val="0"/>
                <w:color w:val="1E293B"/>
                <w:sz w:val="19"/>
              </w:rPr>
              <w:t>Payehuanca Riquelme Jhastyn Jefferson</w:t>
            </w:r>
          </w:p>
        </w:tc>
      </w:tr>
      <w:tr w:rsidR="001A55F3" w14:paraId="5894A514" w14:textId="77777777" w:rsidTr="00173C2B">
        <w:tc>
          <w:tcPr>
            <w:tcW w:w="3969" w:type="dxa"/>
          </w:tcPr>
          <w:p>
            <w:pPr>
              <w:spacing w:before="60" w:after="60"/>
              <w:jc w:val="center"/>
            </w:pPr>
            <w:r/>
            <w:r>
              <w:rPr>
                <w:rFonts w:ascii="Arial" w:hAnsi="Arial"/>
                <w:b w:val="0"/>
                <w:color w:val="1E293B"/>
                <w:sz w:val="19"/>
              </w:rPr>
              <w:t>Turpo Huanca Wilson Josue</w:t>
            </w:r>
          </w:p>
        </w:tc>
        <w:tc>
          <w:tcPr>
            <w:tcW w:w="5954" w:type="dxa"/>
          </w:tcPr>
          <w:p>
            <w:pPr>
              <w:spacing w:before="60" w:after="60"/>
              <w:jc w:val="center"/>
            </w:pPr>
            <w:r/>
            <w:r>
              <w:rPr>
                <w:rFonts w:ascii="Arial" w:hAnsi="Arial"/>
                <w:b w:val="0"/>
                <w:color w:val="1E293B"/>
                <w:sz w:val="19"/>
              </w:rPr>
              <w:t>Arce Mayhua Leonardo Rubén</w:t>
            </w:r>
          </w:p>
        </w:tc>
      </w:tr>
      <w:tr w:rsidR="001A55F3" w14:paraId="0DD6AE90" w14:textId="77777777" w:rsidTr="00173C2B">
        <w:tc>
          <w:tcPr>
            <w:tcW w:w="3969" w:type="dxa"/>
          </w:tcPr>
          <w:p>
            <w:pPr>
              <w:spacing w:before="60" w:after="60"/>
              <w:jc w:val="center"/>
            </w:pPr>
            <w:r/>
            <w:r>
              <w:rPr>
                <w:rFonts w:ascii="Arial" w:hAnsi="Arial"/>
                <w:b w:val="0"/>
                <w:color w:val="1E293B"/>
                <w:sz w:val="19"/>
              </w:rPr>
              <w:t>Gallegos Condori Anette Isabel</w:t>
            </w:r>
          </w:p>
        </w:tc>
        <w:tc>
          <w:tcPr>
            <w:tcW w:w="5954" w:type="dxa"/>
          </w:tcPr>
          <w:p>
            <w:pPr>
              <w:spacing w:before="60" w:after="60"/>
              <w:jc w:val="center"/>
            </w:pPr>
            <w:r/>
            <w:r>
              <w:rPr>
                <w:rFonts w:ascii="Arial" w:hAnsi="Arial"/>
                <w:b w:val="0"/>
                <w:color w:val="1E293B"/>
                <w:sz w:val="19"/>
              </w:rPr>
              <w:t>Huamani Condori Jeanpiero Sixto</w:t>
            </w:r>
          </w:p>
        </w:tc>
      </w:tr>
      <w:tr w:rsidR="001A55F3" w14:paraId="2095E700" w14:textId="77777777" w:rsidTr="00173C2B">
        <w:tc>
          <w:tcPr>
            <w:tcW w:w="3969" w:type="dxa"/>
          </w:tcPr>
          <w:p w14:paraId="7FF37ACA" w14:textId="77777777" w:rsidR="001A55F3" w:rsidRDefault="001A55F3" w:rsidP="006B4A73">
            <w:pPr>
              <w:spacing w:line="276" w:lineRule="auto"/>
            </w:pPr>
          </w:p>
        </w:tc>
        <w:tc>
          <w:tcPr>
            <w:tcW w:w="5954" w:type="dxa"/>
          </w:tcPr>
          <w:p w14:paraId="3ABA853A" w14:textId="77777777" w:rsidR="001A55F3" w:rsidRDefault="001A55F3" w:rsidP="006B4A73">
            <w:pPr>
              <w:spacing w:line="276" w:lineRule="auto"/>
            </w:pPr>
          </w:p>
        </w:tc>
      </w:tr>
      <w:tr w:rsidR="001A55F3" w14:paraId="2211ED2A" w14:textId="77777777" w:rsidTr="00173C2B">
        <w:tc>
          <w:tcPr>
            <w:tcW w:w="3969" w:type="dxa"/>
          </w:tcPr>
          <w:p w14:paraId="31CBB82D" w14:textId="77777777" w:rsidR="001A55F3" w:rsidRDefault="001A55F3" w:rsidP="006B4A73">
            <w:pPr>
              <w:spacing w:line="276" w:lineRule="auto"/>
            </w:pPr>
          </w:p>
        </w:tc>
        <w:tc>
          <w:tcPr>
            <w:tcW w:w="5954" w:type="dxa"/>
          </w:tcPr>
          <w:p w14:paraId="6F6573A1" w14:textId="77777777" w:rsidR="001A55F3" w:rsidRDefault="001A55F3" w:rsidP="006B4A73">
            <w:pPr>
              <w:spacing w:line="276" w:lineRule="auto"/>
            </w:pPr>
          </w:p>
        </w:tc>
      </w:tr>
      <w:tr w:rsidR="00AE66B6" w14:paraId="312EE8DC" w14:textId="77777777" w:rsidTr="00173C2B">
        <w:tc>
          <w:tcPr>
            <w:tcW w:w="3969" w:type="dxa"/>
          </w:tcPr>
          <w:p w14:paraId="24C41989" w14:textId="77777777" w:rsidR="00AE66B6" w:rsidRDefault="00AE66B6" w:rsidP="006B4A73">
            <w:pPr>
              <w:spacing w:line="276" w:lineRule="auto"/>
            </w:pPr>
          </w:p>
        </w:tc>
        <w:tc>
          <w:tcPr>
            <w:tcW w:w="5954" w:type="dxa"/>
          </w:tcPr>
          <w:p w14:paraId="121455DE" w14:textId="77777777" w:rsidR="00AE66B6" w:rsidRDefault="00AE66B6" w:rsidP="006B4A73">
            <w:pPr>
              <w:spacing w:line="276" w:lineRule="auto"/>
            </w:pPr>
          </w:p>
        </w:tc>
      </w:tr>
      <w:tr w:rsidR="00AE66B6" w14:paraId="0FB243E2" w14:textId="77777777" w:rsidTr="00173C2B">
        <w:tc>
          <w:tcPr>
            <w:tcW w:w="3969" w:type="dxa"/>
          </w:tcPr>
          <w:p w14:paraId="6FA81723" w14:textId="77777777" w:rsidR="00AE66B6" w:rsidRDefault="00AE66B6" w:rsidP="006B4A73">
            <w:pPr>
              <w:spacing w:line="276" w:lineRule="auto"/>
            </w:pPr>
          </w:p>
        </w:tc>
        <w:tc>
          <w:tcPr>
            <w:tcW w:w="5954" w:type="dxa"/>
          </w:tcPr>
          <w:p w14:paraId="1E8C840A" w14:textId="77777777" w:rsidR="00AE66B6" w:rsidRDefault="00AE66B6" w:rsidP="006B4A73">
            <w:pPr>
              <w:spacing w:line="276" w:lineRule="auto"/>
            </w:pPr>
          </w:p>
        </w:tc>
      </w:tr>
      <w:tr w:rsidR="00AE66B6" w14:paraId="51C22D02" w14:textId="77777777" w:rsidTr="00173C2B">
        <w:tc>
          <w:tcPr>
            <w:tcW w:w="3969" w:type="dxa"/>
          </w:tcPr>
          <w:p w14:paraId="44E2FD2F" w14:textId="77777777" w:rsidR="00AE66B6" w:rsidRDefault="00AE66B6" w:rsidP="006B4A73">
            <w:pPr>
              <w:spacing w:line="276" w:lineRule="auto"/>
            </w:pPr>
          </w:p>
        </w:tc>
        <w:tc>
          <w:tcPr>
            <w:tcW w:w="5954" w:type="dxa"/>
          </w:tcPr>
          <w:p w14:paraId="5317C3DF" w14:textId="77777777" w:rsidR="00AE66B6" w:rsidRDefault="00AE66B6" w:rsidP="006B4A73">
            <w:pPr>
              <w:spacing w:line="276" w:lineRule="auto"/>
            </w:pPr>
          </w:p>
        </w:tc>
      </w:tr>
      <w:tr w:rsidR="00397DA7" w14:paraId="046F1601" w14:textId="77777777" w:rsidTr="00173C2B">
        <w:tc>
          <w:tcPr>
            <w:tcW w:w="9923" w:type="dxa"/>
            <w:gridSpan w:val="2"/>
            <w:vAlign w:val="center"/>
          </w:tcPr>
          <w:p>
            <w:pPr>
              <w:spacing w:before="60" w:after="60"/>
              <w:jc w:val="center"/>
            </w:pPr>
            <w:r/>
            <w:r>
              <w:rPr>
                <w:rFonts w:ascii="Arial" w:hAnsi="Arial"/>
                <w:b/>
                <w:color w:val="0F2942"/>
                <w:sz w:val="21"/>
              </w:rPr>
              <w:t>OCTUBRE 2026</w:t>
            </w:r>
          </w:p>
        </w:tc>
      </w:tr>
      <w:tr w:rsidR="001A55F3" w14:paraId="3F22692D" w14:textId="77777777" w:rsidTr="00173C2B">
        <w:tc>
          <w:tcPr>
            <w:tcW w:w="9923" w:type="dxa"/>
            <w:gridSpan w:val="2"/>
            <w:vAlign w:val="center"/>
          </w:tcPr>
          <w:p>
            <w:pPr>
              <w:spacing w:before="60" w:after="60"/>
              <w:jc w:val="center"/>
            </w:pPr>
            <w:r/>
            <w:r>
              <w:rPr>
                <w:rFonts w:ascii="Arial" w:hAnsi="Arial"/>
                <w:b/>
                <w:color w:val="0F2942"/>
                <w:sz w:val="21"/>
              </w:rPr>
              <w:t>AREQUIPA — PERÚ</w:t>
            </w:r>
          </w:p>
        </w:tc>
      </w:tr>
    </w:tbl>
    <w:p w14:paraId="2629AF67" w14:textId="77777777" w:rsidR="001A55F3" w:rsidRDefault="001A55F3" w:rsidP="006B4A73">
      <w:pPr>
        <w:spacing w:after="0" w:line="276" w:lineRule="auto"/>
      </w:pPr>
    </w:p>
    <w:p w14:paraId="283AC3E8" w14:textId="77777777" w:rsidR="006B4A73" w:rsidRDefault="006B4A73" w:rsidP="006B4A73">
      <w:pPr>
        <w:spacing w:after="0" w:line="276" w:lineRule="auto"/>
      </w:pPr>
    </w:p>
    <w:p w14:paraId="717A6BAD" w14:textId="77777777" w:rsidR="006B4A73" w:rsidRDefault="006B4A73" w:rsidP="006B4A73">
      <w:pPr>
        <w:spacing w:after="0" w:line="276" w:lineRule="auto"/>
      </w:pPr>
    </w:p>
    <w:p w14:paraId="0081C83C" w14:textId="77777777" w:rsidR="006B4A73" w:rsidRDefault="006B4A73" w:rsidP="006B4A73">
      <w:pPr>
        <w:spacing w:after="0" w:line="276" w:lineRule="auto"/>
      </w:pPr>
    </w:p>
    <w:p w14:paraId="0DEB46FE" w14:textId="77777777" w:rsidR="00AE66B6" w:rsidRDefault="00AE66B6" w:rsidP="006B4A73">
      <w:pPr>
        <w:spacing w:after="0" w:line="276" w:lineRule="auto"/>
        <w:sectPr w:rsidR="00AE66B6">
          <w:pgSz w:w="11906" w:h="16838"/>
          <w:pgMar w:top="1417" w:right="1701" w:bottom="1417" w:left="1701" w:header="708" w:footer="708" w:gutter="0"/>
          <w:cols w:space="708"/>
          <w:docGrid w:linePitch="360"/>
        </w:sectPr>
      </w:pPr>
    </w:p>
    <w:p w14:paraId="160F43A9" w14:textId="77777777" w:rsidR="006B4A73" w:rsidRDefault="006B4A73" w:rsidP="006B4A73">
      <w:pPr>
        <w:spacing w:after="0" w:line="276" w:lineRule="auto"/>
      </w:pPr>
    </w:p>
    <w:tbl>
      <w:tblPr>
        <w:tblStyle w:val="Tablaconcuadrcula"/>
        <w:tblW w:w="10206" w:type="dxa"/>
        <w:jc w:val="center"/>
        <w:tblLook w:val="04A0" w:firstRow="1" w:lastRow="0" w:firstColumn="1" w:lastColumn="0" w:noHBand="0" w:noVBand="1"/>
      </w:tblPr>
      <w:tblGrid>
        <w:gridCol w:w="1560"/>
        <w:gridCol w:w="5528"/>
        <w:gridCol w:w="1134"/>
        <w:gridCol w:w="992"/>
        <w:gridCol w:w="992"/>
      </w:tblGrid>
      <w:tr w:rsidR="00AE66B6" w:rsidRPr="00AE66B6" w14:paraId="580E92FD" w14:textId="77777777" w:rsidTr="003C333D">
        <w:trPr>
          <w:jc w:val="center"/>
        </w:trPr>
        <w:tc>
          <w:tcPr>
            <w:tcW w:w="9214" w:type="dxa"/>
            <w:gridSpan w:val="4"/>
            <w:tcBorders>
              <w:top w:val="nil"/>
              <w:left w:val="nil"/>
              <w:bottom w:val="nil"/>
              <w:right w:val="nil"/>
            </w:tcBorders>
          </w:tcPr>
          <w:p w14:paraId="62A37103" w14:textId="77777777" w:rsidR="00AE66B6" w:rsidRPr="00AE66B6" w:rsidRDefault="003C333D" w:rsidP="00AE66B6">
            <w:pPr>
              <w:spacing w:line="276" w:lineRule="auto"/>
              <w:jc w:val="center"/>
              <w:rPr>
                <w:b/>
              </w:rPr>
            </w:pPr>
            <w:r>
              <w:rPr>
                <w:b/>
              </w:rPr>
              <w:t xml:space="preserve">HISTORIAL DE </w:t>
            </w:r>
            <w:r w:rsidR="00AE66B6" w:rsidRPr="00AE66B6">
              <w:rPr>
                <w:b/>
              </w:rPr>
              <w:t>REVISIONES</w:t>
            </w:r>
          </w:p>
        </w:tc>
        <w:tc>
          <w:tcPr>
            <w:tcW w:w="992" w:type="dxa"/>
            <w:tcBorders>
              <w:top w:val="nil"/>
              <w:left w:val="nil"/>
              <w:bottom w:val="nil"/>
              <w:right w:val="nil"/>
            </w:tcBorders>
          </w:tcPr>
          <w:p w14:paraId="333374A4" w14:textId="77777777" w:rsidR="00AE66B6" w:rsidRPr="00AE66B6" w:rsidRDefault="00AE66B6" w:rsidP="00AE66B6">
            <w:pPr>
              <w:spacing w:line="276" w:lineRule="auto"/>
              <w:jc w:val="center"/>
              <w:rPr>
                <w:b/>
              </w:rPr>
            </w:pPr>
          </w:p>
        </w:tc>
      </w:tr>
      <w:tr w:rsidR="003C333D" w:rsidRPr="00AE66B6" w14:paraId="14853EF3" w14:textId="77777777" w:rsidTr="00AE66B6">
        <w:trPr>
          <w:jc w:val="center"/>
        </w:trPr>
        <w:tc>
          <w:tcPr>
            <w:tcW w:w="9214" w:type="dxa"/>
            <w:gridSpan w:val="4"/>
            <w:tcBorders>
              <w:top w:val="nil"/>
              <w:left w:val="nil"/>
              <w:right w:val="nil"/>
            </w:tcBorders>
          </w:tcPr>
          <w:p w14:paraId="4229E4D4" w14:textId="77777777" w:rsidR="003C333D" w:rsidRPr="00AE66B6" w:rsidRDefault="003C333D" w:rsidP="00AE66B6">
            <w:pPr>
              <w:spacing w:line="276" w:lineRule="auto"/>
              <w:jc w:val="center"/>
              <w:rPr>
                <w:b/>
              </w:rPr>
            </w:pPr>
          </w:p>
        </w:tc>
        <w:tc>
          <w:tcPr>
            <w:tcW w:w="992" w:type="dxa"/>
            <w:tcBorders>
              <w:top w:val="nil"/>
              <w:left w:val="nil"/>
              <w:right w:val="nil"/>
            </w:tcBorders>
          </w:tcPr>
          <w:p w14:paraId="5C3C6897" w14:textId="77777777" w:rsidR="003C333D" w:rsidRPr="00AE66B6" w:rsidRDefault="003C333D" w:rsidP="00AE66B6">
            <w:pPr>
              <w:spacing w:line="276" w:lineRule="auto"/>
              <w:jc w:val="center"/>
              <w:rPr>
                <w:b/>
              </w:rPr>
            </w:pPr>
          </w:p>
        </w:tc>
      </w:tr>
      <w:tr w:rsidR="00AE66B6" w:rsidRPr="00AE66B6" w14:paraId="6773A3E7" w14:textId="77777777" w:rsidTr="003C333D">
        <w:trPr>
          <w:jc w:val="center"/>
        </w:trPr>
        <w:tc>
          <w:tcPr>
            <w:tcW w:w="1560" w:type="dxa"/>
          </w:tcPr>
          <w:p w14:paraId="56CCBECD" w14:textId="77777777" w:rsidR="00AE66B6" w:rsidRPr="00AE66B6" w:rsidRDefault="00AE66B6" w:rsidP="00AE66B6">
            <w:pPr>
              <w:spacing w:line="276" w:lineRule="auto"/>
              <w:jc w:val="center"/>
              <w:rPr>
                <w:b/>
              </w:rPr>
            </w:pPr>
            <w:r>
              <w:rPr>
                <w:b/>
              </w:rPr>
              <w:t>FECHA</w:t>
            </w:r>
          </w:p>
        </w:tc>
        <w:tc>
          <w:tcPr>
            <w:tcW w:w="5528" w:type="dxa"/>
          </w:tcPr>
          <w:p w14:paraId="07C0A61A" w14:textId="77777777" w:rsidR="00AE66B6" w:rsidRPr="00AE66B6" w:rsidRDefault="00AE66B6" w:rsidP="00AE66B6">
            <w:pPr>
              <w:spacing w:line="276" w:lineRule="auto"/>
              <w:jc w:val="center"/>
              <w:rPr>
                <w:b/>
              </w:rPr>
            </w:pPr>
            <w:r w:rsidRPr="00AE66B6">
              <w:rPr>
                <w:b/>
              </w:rPr>
              <w:t>OBSERVACIONES</w:t>
            </w:r>
          </w:p>
        </w:tc>
        <w:tc>
          <w:tcPr>
            <w:tcW w:w="1134" w:type="dxa"/>
          </w:tcPr>
          <w:p w14:paraId="04B0EEF1" w14:textId="77777777" w:rsidR="00AE66B6" w:rsidRPr="00AE66B6" w:rsidRDefault="00AE66B6" w:rsidP="00AE66B6">
            <w:pPr>
              <w:spacing w:line="276" w:lineRule="auto"/>
              <w:jc w:val="center"/>
              <w:rPr>
                <w:b/>
              </w:rPr>
            </w:pPr>
            <w:r w:rsidRPr="00AE66B6">
              <w:rPr>
                <w:b/>
              </w:rPr>
              <w:t>VERSIÓN</w:t>
            </w:r>
          </w:p>
        </w:tc>
        <w:tc>
          <w:tcPr>
            <w:tcW w:w="992" w:type="dxa"/>
          </w:tcPr>
          <w:p w14:paraId="12CB4F92" w14:textId="77777777" w:rsidR="00AE66B6" w:rsidRPr="00AE66B6" w:rsidRDefault="00AE66B6" w:rsidP="00AE66B6">
            <w:pPr>
              <w:spacing w:line="276" w:lineRule="auto"/>
              <w:jc w:val="center"/>
              <w:rPr>
                <w:b/>
              </w:rPr>
            </w:pPr>
            <w:r w:rsidRPr="00AE66B6">
              <w:rPr>
                <w:b/>
              </w:rPr>
              <w:t>NOTA</w:t>
            </w:r>
          </w:p>
        </w:tc>
        <w:tc>
          <w:tcPr>
            <w:tcW w:w="992" w:type="dxa"/>
          </w:tcPr>
          <w:p w14:paraId="1CB85A79" w14:textId="77777777" w:rsidR="00AE66B6" w:rsidRPr="00AE66B6" w:rsidRDefault="00AE66B6" w:rsidP="00AE66B6">
            <w:pPr>
              <w:spacing w:line="276" w:lineRule="auto"/>
              <w:jc w:val="center"/>
              <w:rPr>
                <w:b/>
              </w:rPr>
            </w:pPr>
            <w:proofErr w:type="spellStart"/>
            <w:r>
              <w:rPr>
                <w:b/>
              </w:rPr>
              <w:t>V°B°</w:t>
            </w:r>
            <w:proofErr w:type="spellEnd"/>
          </w:p>
        </w:tc>
      </w:tr>
      <w:tr w:rsidR="00AE66B6" w14:paraId="66FFF908" w14:textId="77777777" w:rsidTr="003C333D">
        <w:trPr>
          <w:jc w:val="center"/>
        </w:trPr>
        <w:tc>
          <w:tcPr>
            <w:tcW w:w="1560" w:type="dxa"/>
          </w:tcPr>
          <w:p>
            <w:pPr>
              <w:spacing w:before="60" w:after="60"/>
              <w:jc w:val="center"/>
            </w:pPr>
            <w:r/>
            <w:r>
              <w:rPr>
                <w:rFonts w:ascii="Arial" w:hAnsi="Arial"/>
                <w:b/>
                <w:color w:val="1E293B"/>
                <w:sz w:val="17"/>
              </w:rPr>
              <w:t>04/10/2026</w:t>
            </w:r>
          </w:p>
        </w:tc>
        <w:tc>
          <w:tcPr>
            <w:tcW w:w="5528" w:type="dxa"/>
          </w:tcPr>
          <w:p>
            <w:pPr>
              <w:spacing w:before="60" w:after="60"/>
              <w:jc w:val="left"/>
            </w:pPr>
            <w:r/>
            <w:r>
              <w:rPr>
                <w:rFonts w:ascii="Arial" w:hAnsi="Arial"/>
                <w:b w:val="0"/>
                <w:color w:val="1E293B"/>
                <w:sz w:val="17"/>
              </w:rPr>
              <w:t>Formulación inicial del artefacto por el subgrupo responsable y verificación contra el Catálogo de Requisitos.</w:t>
            </w:r>
          </w:p>
        </w:tc>
        <w:tc>
          <w:tcPr>
            <w:tcW w:w="1134" w:type="dxa"/>
          </w:tcPr>
          <w:p>
            <w:pPr>
              <w:spacing w:before="60" w:after="60"/>
              <w:jc w:val="center"/>
            </w:pPr>
            <w:r/>
            <w:r>
              <w:rPr>
                <w:rFonts w:ascii="Arial" w:hAnsi="Arial"/>
                <w:b/>
                <w:color w:val="1E293B"/>
                <w:sz w:val="17"/>
              </w:rPr>
              <w:t>v00.10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En revisión</w:t>
            </w:r>
          </w:p>
        </w:tc>
      </w:tr>
      <w:tr w:rsidR="00AE66B6" w14:paraId="342444F7" w14:textId="77777777" w:rsidTr="003C333D">
        <w:trPr>
          <w:jc w:val="center"/>
        </w:trPr>
        <w:tc>
          <w:tcPr>
            <w:tcW w:w="1560" w:type="dxa"/>
          </w:tcPr>
          <w:p>
            <w:pPr>
              <w:spacing w:before="60" w:after="60"/>
              <w:jc w:val="center"/>
            </w:pPr>
            <w:r/>
            <w:r>
              <w:rPr>
                <w:rFonts w:ascii="Arial" w:hAnsi="Arial"/>
                <w:b/>
                <w:color w:val="1E293B"/>
                <w:sz w:val="17"/>
              </w:rPr>
              <w:t>11/10/2026</w:t>
            </w:r>
          </w:p>
        </w:tc>
        <w:tc>
          <w:tcPr>
            <w:tcW w:w="5528" w:type="dxa"/>
          </w:tcPr>
          <w:p>
            <w:pPr>
              <w:spacing w:before="60" w:after="60"/>
              <w:jc w:val="left"/>
            </w:pPr>
            <w:r/>
            <w:r>
              <w:rPr>
                <w:rFonts w:ascii="Arial" w:hAnsi="Arial"/>
                <w:b w:val="0"/>
                <w:color w:val="1E293B"/>
                <w:sz w:val="17"/>
              </w:rPr>
              <w:t>Rotación colegiada de vistas (Giro de Vistas): revisión cruzada e incorporación de aportes de los 8 integrantes.</w:t>
            </w:r>
          </w:p>
        </w:tc>
        <w:tc>
          <w:tcPr>
            <w:tcW w:w="1134" w:type="dxa"/>
          </w:tcPr>
          <w:p>
            <w:pPr>
              <w:spacing w:before="60" w:after="60"/>
              <w:jc w:val="center"/>
            </w:pPr>
            <w:r/>
            <w:r>
              <w:rPr>
                <w:rFonts w:ascii="Arial" w:hAnsi="Arial"/>
                <w:b/>
                <w:color w:val="1E293B"/>
                <w:sz w:val="17"/>
              </w:rPr>
              <w:t>v00.20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Conforme</w:t>
            </w:r>
          </w:p>
        </w:tc>
      </w:tr>
      <w:tr w:rsidR="00AE66B6" w14:paraId="1D994813" w14:textId="77777777" w:rsidTr="003C333D">
        <w:trPr>
          <w:jc w:val="center"/>
        </w:trPr>
        <w:tc>
          <w:tcPr>
            <w:tcW w:w="1560" w:type="dxa"/>
          </w:tcPr>
          <w:p>
            <w:pPr>
              <w:spacing w:before="60" w:after="60"/>
              <w:jc w:val="center"/>
            </w:pPr>
            <w:r/>
            <w:r>
              <w:rPr>
                <w:rFonts w:ascii="Arial" w:hAnsi="Arial"/>
                <w:b/>
                <w:color w:val="1E293B"/>
                <w:sz w:val="17"/>
              </w:rPr>
              <w:t>18/10/2026</w:t>
            </w:r>
          </w:p>
        </w:tc>
        <w:tc>
          <w:tcPr>
            <w:tcW w:w="5528" w:type="dxa"/>
          </w:tcPr>
          <w:p>
            <w:pPr>
              <w:spacing w:before="60" w:after="60"/>
              <w:jc w:val="left"/>
            </w:pPr>
            <w:r/>
            <w:r>
              <w:rPr>
                <w:rFonts w:ascii="Arial" w:hAnsi="Arial"/>
                <w:b w:val="0"/>
                <w:color w:val="1E293B"/>
                <w:sz w:val="17"/>
              </w:rPr>
              <w:t>Consolidación definitiva del entregable de Hito 2 sincronizado al 100% con el Catálogo Actualizado v02.00.</w:t>
            </w:r>
          </w:p>
        </w:tc>
        <w:tc>
          <w:tcPr>
            <w:tcW w:w="1134" w:type="dxa"/>
          </w:tcPr>
          <w:p>
            <w:pPr>
              <w:spacing w:before="60" w:after="60"/>
              <w:jc w:val="center"/>
            </w:pPr>
            <w:r/>
            <w:r>
              <w:rPr>
                <w:rFonts w:ascii="Arial" w:hAnsi="Arial"/>
                <w:b/>
                <w:color w:val="1E293B"/>
                <w:sz w:val="17"/>
              </w:rPr>
              <w:t>v01.00</w:t>
            </w:r>
          </w:p>
        </w:tc>
        <w:tc>
          <w:tcPr>
            <w:tcW w:w="992" w:type="dxa"/>
          </w:tcPr>
          <w:p>
            <w:pPr>
              <w:spacing w:before="60" w:after="60"/>
              <w:jc w:val="center"/>
            </w:pPr>
            <w:r/>
            <w:r>
              <w:rPr>
                <w:rFonts w:ascii="Arial" w:hAnsi="Arial"/>
                <w:b w:val="0"/>
                <w:color w:val="1E293B"/>
                <w:sz w:val="17"/>
              </w:rPr>
              <w:t>20</w:t>
            </w:r>
          </w:p>
        </w:tc>
        <w:tc>
          <w:tcPr>
            <w:tcW w:w="992" w:type="dxa"/>
          </w:tcPr>
          <w:p>
            <w:pPr>
              <w:spacing w:before="60" w:after="60"/>
              <w:jc w:val="center"/>
            </w:pPr>
            <w:r/>
            <w:r>
              <w:rPr>
                <w:rFonts w:ascii="Arial" w:hAnsi="Arial"/>
                <w:b w:val="0"/>
                <w:color w:val="1E293B"/>
                <w:sz w:val="17"/>
              </w:rPr>
              <w:t>Aprobado</w:t>
            </w:r>
          </w:p>
        </w:tc>
      </w:tr>
    </w:tbl>
    <w:p w14:paraId="1C6EC397" w14:textId="77777777" w:rsidR="00AE66B6" w:rsidRDefault="00AE66B6" w:rsidP="006B4A73">
      <w:pPr>
        <w:spacing w:after="0" w:line="276" w:lineRule="auto"/>
      </w:pPr>
    </w:p>
    <w:p w14:paraId="605244A8" w14:textId="77777777" w:rsidR="006B4A73" w:rsidRDefault="006B4A73" w:rsidP="006B4A73">
      <w:pPr>
        <w:spacing w:after="0" w:line="276" w:lineRule="auto"/>
      </w:pPr>
    </w:p>
    <w:p w14:paraId="4F20C1D7" w14:textId="77777777" w:rsidR="00537DF0" w:rsidRDefault="00537DF0" w:rsidP="006B4A73">
      <w:pPr>
        <w:spacing w:after="0" w:line="276" w:lineRule="auto"/>
      </w:pPr>
    </w:p>
    <w:p w14:paraId="36B922A8" w14:textId="77777777" w:rsidR="00537DF0" w:rsidRDefault="00537DF0" w:rsidP="006B4A73">
      <w:pPr>
        <w:spacing w:after="0" w:line="276" w:lineRule="auto"/>
        <w:sectPr w:rsidR="00537DF0">
          <w:pgSz w:w="11906" w:h="16838"/>
          <w:pgMar w:top="1417" w:right="1701" w:bottom="1417" w:left="1701" w:header="708" w:footer="708" w:gutter="0"/>
          <w:cols w:space="708"/>
          <w:docGrid w:linePitch="360"/>
        </w:sectPr>
      </w:pPr>
    </w:p>
    <w:p w14:paraId="777360CB" w14:textId="77777777" w:rsidR="00537DF0" w:rsidRDefault="00537DF0" w:rsidP="006B4A73">
      <w:pPr>
        <w:spacing w:after="0" w:line="276" w:lineRule="auto"/>
      </w:pPr>
    </w:p>
    <w:tbl>
      <w:tblPr>
        <w:tblStyle w:val="Tablaconcuadrcula"/>
        <w:tblW w:w="10065" w:type="dxa"/>
        <w:jc w:val="center"/>
        <w:tblLook w:val="04A0" w:firstRow="1" w:lastRow="0" w:firstColumn="1" w:lastColumn="0" w:noHBand="0" w:noVBand="1"/>
      </w:tblPr>
      <w:tblGrid>
        <w:gridCol w:w="1272"/>
        <w:gridCol w:w="1034"/>
        <w:gridCol w:w="5349"/>
        <w:gridCol w:w="2410"/>
      </w:tblGrid>
      <w:tr w:rsidR="00537DF0" w:rsidRPr="00AE66B6" w14:paraId="010AD527" w14:textId="77777777" w:rsidTr="00537DF0">
        <w:trPr>
          <w:jc w:val="center"/>
        </w:trPr>
        <w:tc>
          <w:tcPr>
            <w:tcW w:w="10065" w:type="dxa"/>
            <w:gridSpan w:val="4"/>
            <w:tcBorders>
              <w:top w:val="nil"/>
              <w:left w:val="nil"/>
              <w:bottom w:val="nil"/>
              <w:right w:val="nil"/>
            </w:tcBorders>
          </w:tcPr>
          <w:p w14:paraId="20553CD1" w14:textId="77777777" w:rsidR="00537DF0" w:rsidRPr="00AE66B6" w:rsidRDefault="00537DF0" w:rsidP="00537DF0">
            <w:pPr>
              <w:spacing w:line="276" w:lineRule="auto"/>
              <w:jc w:val="center"/>
              <w:rPr>
                <w:b/>
              </w:rPr>
            </w:pPr>
            <w:r>
              <w:rPr>
                <w:b/>
              </w:rPr>
              <w:t>HISTORIAL DE VERSIONES</w:t>
            </w:r>
          </w:p>
        </w:tc>
      </w:tr>
      <w:tr w:rsidR="00537DF0" w:rsidRPr="00AE66B6" w14:paraId="6C85B047" w14:textId="77777777" w:rsidTr="00537DF0">
        <w:trPr>
          <w:jc w:val="center"/>
        </w:trPr>
        <w:tc>
          <w:tcPr>
            <w:tcW w:w="10065" w:type="dxa"/>
            <w:gridSpan w:val="4"/>
            <w:tcBorders>
              <w:top w:val="nil"/>
              <w:left w:val="nil"/>
              <w:right w:val="nil"/>
            </w:tcBorders>
          </w:tcPr>
          <w:p w14:paraId="179FE7A0" w14:textId="77777777" w:rsidR="00537DF0" w:rsidRPr="00AE66B6" w:rsidRDefault="00537DF0" w:rsidP="00397A62">
            <w:pPr>
              <w:spacing w:line="276" w:lineRule="auto"/>
              <w:jc w:val="center"/>
              <w:rPr>
                <w:b/>
              </w:rPr>
            </w:pPr>
          </w:p>
        </w:tc>
      </w:tr>
      <w:tr w:rsidR="00537DF0" w:rsidRPr="00AE66B6" w14:paraId="5D193540" w14:textId="77777777" w:rsidTr="00537DF0">
        <w:trPr>
          <w:jc w:val="center"/>
        </w:trPr>
        <w:tc>
          <w:tcPr>
            <w:tcW w:w="1272" w:type="dxa"/>
          </w:tcPr>
          <w:p w14:paraId="5FC88040" w14:textId="77777777" w:rsidR="00537DF0" w:rsidRPr="00AE66B6" w:rsidRDefault="00537DF0" w:rsidP="00397A62">
            <w:pPr>
              <w:spacing w:line="276" w:lineRule="auto"/>
              <w:jc w:val="center"/>
              <w:rPr>
                <w:b/>
              </w:rPr>
            </w:pPr>
            <w:r>
              <w:rPr>
                <w:b/>
              </w:rPr>
              <w:t>FECHA</w:t>
            </w:r>
          </w:p>
        </w:tc>
        <w:tc>
          <w:tcPr>
            <w:tcW w:w="1034" w:type="dxa"/>
          </w:tcPr>
          <w:p w14:paraId="29ED016D" w14:textId="77777777" w:rsidR="00537DF0" w:rsidRPr="00AE66B6" w:rsidRDefault="00537DF0" w:rsidP="00537DF0">
            <w:pPr>
              <w:spacing w:line="276" w:lineRule="auto"/>
              <w:jc w:val="center"/>
              <w:rPr>
                <w:b/>
              </w:rPr>
            </w:pPr>
            <w:r>
              <w:rPr>
                <w:b/>
              </w:rPr>
              <w:t>VERSIÓN</w:t>
            </w:r>
          </w:p>
        </w:tc>
        <w:tc>
          <w:tcPr>
            <w:tcW w:w="5349" w:type="dxa"/>
          </w:tcPr>
          <w:p w14:paraId="045C74D7" w14:textId="77777777" w:rsidR="00537DF0" w:rsidRPr="00AE66B6" w:rsidRDefault="00537DF0" w:rsidP="00537DF0">
            <w:pPr>
              <w:spacing w:line="276" w:lineRule="auto"/>
              <w:jc w:val="center"/>
              <w:rPr>
                <w:b/>
              </w:rPr>
            </w:pPr>
            <w:r>
              <w:rPr>
                <w:b/>
              </w:rPr>
              <w:t>DESCRIPCIÓN</w:t>
            </w:r>
          </w:p>
        </w:tc>
        <w:tc>
          <w:tcPr>
            <w:tcW w:w="2410" w:type="dxa"/>
          </w:tcPr>
          <w:p w14:paraId="69FAFF18" w14:textId="77777777" w:rsidR="00537DF0" w:rsidRPr="00AE66B6" w:rsidRDefault="00537DF0" w:rsidP="00537DF0">
            <w:pPr>
              <w:spacing w:line="276" w:lineRule="auto"/>
              <w:jc w:val="center"/>
              <w:rPr>
                <w:b/>
              </w:rPr>
            </w:pPr>
            <w:r>
              <w:rPr>
                <w:b/>
              </w:rPr>
              <w:t>AUTORES</w:t>
            </w:r>
          </w:p>
        </w:tc>
      </w:tr>
      <w:tr w:rsidR="00537DF0" w14:paraId="2B5ED48C" w14:textId="77777777" w:rsidTr="00537DF0">
        <w:trPr>
          <w:jc w:val="center"/>
        </w:trPr>
        <w:tc>
          <w:tcPr>
            <w:tcW w:w="1272" w:type="dxa"/>
          </w:tcPr>
          <w:p>
            <w:pPr>
              <w:spacing w:before="60" w:after="60"/>
              <w:jc w:val="center"/>
            </w:pPr>
            <w:r/>
            <w:r>
              <w:rPr>
                <w:rFonts w:ascii="Arial" w:hAnsi="Arial"/>
                <w:b/>
                <w:color w:val="1E293B"/>
                <w:sz w:val="17"/>
              </w:rPr>
              <w:t>04/10/2026</w:t>
            </w:r>
          </w:p>
        </w:tc>
        <w:tc>
          <w:tcPr>
            <w:tcW w:w="1034" w:type="dxa"/>
          </w:tcPr>
          <w:p>
            <w:pPr>
              <w:spacing w:before="60" w:after="60"/>
              <w:jc w:val="center"/>
            </w:pPr>
            <w:r/>
            <w:r>
              <w:rPr>
                <w:rFonts w:ascii="Arial" w:hAnsi="Arial"/>
                <w:b/>
                <w:color w:val="1E293B"/>
                <w:sz w:val="17"/>
              </w:rPr>
              <w:t>v00.10</w:t>
            </w:r>
          </w:p>
        </w:tc>
        <w:tc>
          <w:tcPr>
            <w:tcW w:w="5349" w:type="dxa"/>
          </w:tcPr>
          <w:p>
            <w:pPr>
              <w:spacing w:before="60" w:after="60"/>
              <w:jc w:val="left"/>
            </w:pPr>
            <w:r/>
            <w:r>
              <w:rPr>
                <w:rFonts w:ascii="Arial" w:hAnsi="Arial"/>
                <w:b w:val="0"/>
                <w:color w:val="1E293B"/>
                <w:sz w:val="17"/>
              </w:rPr>
              <w:t>Borrador estructural de la VISTA DE PROCESOS asignado por subgrupo.</w:t>
            </w:r>
          </w:p>
        </w:tc>
        <w:tc>
          <w:tcPr>
            <w:tcW w:w="2410" w:type="dxa"/>
          </w:tcPr>
          <w:p>
            <w:pPr>
              <w:spacing w:before="60" w:after="60"/>
              <w:jc w:val="left"/>
            </w:pPr>
            <w:r/>
            <w:r>
              <w:rPr>
                <w:rFonts w:ascii="Arial" w:hAnsi="Arial"/>
                <w:b w:val="0"/>
                <w:color w:val="1E293B"/>
                <w:sz w:val="17"/>
              </w:rPr>
              <w:t>Subgrupo Responsable RuwayLabs</w:t>
            </w:r>
          </w:p>
        </w:tc>
      </w:tr>
      <w:tr w:rsidR="00537DF0" w14:paraId="7087F8F8" w14:textId="77777777" w:rsidTr="00537DF0">
        <w:trPr>
          <w:jc w:val="center"/>
        </w:trPr>
        <w:tc>
          <w:tcPr>
            <w:tcW w:w="1272" w:type="dxa"/>
          </w:tcPr>
          <w:p>
            <w:pPr>
              <w:spacing w:before="60" w:after="60"/>
              <w:jc w:val="center"/>
            </w:pPr>
            <w:r/>
            <w:r>
              <w:rPr>
                <w:rFonts w:ascii="Arial" w:hAnsi="Arial"/>
                <w:b/>
                <w:color w:val="1E293B"/>
                <w:sz w:val="17"/>
              </w:rPr>
              <w:t>11/10/2026</w:t>
            </w:r>
          </w:p>
        </w:tc>
        <w:tc>
          <w:tcPr>
            <w:tcW w:w="1034" w:type="dxa"/>
          </w:tcPr>
          <w:p>
            <w:pPr>
              <w:spacing w:before="60" w:after="60"/>
              <w:jc w:val="center"/>
            </w:pPr>
            <w:r/>
            <w:r>
              <w:rPr>
                <w:rFonts w:ascii="Arial" w:hAnsi="Arial"/>
                <w:b/>
                <w:color w:val="1E293B"/>
                <w:sz w:val="17"/>
              </w:rPr>
              <w:t>v00.20</w:t>
            </w:r>
          </w:p>
        </w:tc>
        <w:tc>
          <w:tcPr>
            <w:tcW w:w="5349" w:type="dxa"/>
          </w:tcPr>
          <w:p>
            <w:pPr>
              <w:spacing w:before="60" w:after="60"/>
              <w:jc w:val="left"/>
            </w:pPr>
            <w:r/>
            <w:r>
              <w:rPr>
                <w:rFonts w:ascii="Arial" w:hAnsi="Arial"/>
                <w:b w:val="0"/>
                <w:color w:val="1E293B"/>
                <w:sz w:val="17"/>
              </w:rPr>
              <w:t>Integración de observaciones tras la rotación cruzada entre subgrupos (Vista Lógica -&gt; Procesos -&gt; Física).</w:t>
            </w:r>
          </w:p>
        </w:tc>
        <w:tc>
          <w:tcPr>
            <w:tcW w:w="2410" w:type="dxa"/>
          </w:tcPr>
          <w:p>
            <w:pPr>
              <w:spacing w:before="60" w:after="60"/>
              <w:jc w:val="left"/>
            </w:pPr>
            <w:r/>
            <w:r>
              <w:rPr>
                <w:rFonts w:ascii="Arial" w:hAnsi="Arial"/>
                <w:b w:val="0"/>
                <w:color w:val="1E293B"/>
                <w:sz w:val="17"/>
              </w:rPr>
              <w:t>Equipo Completo RuwayLabs Perú</w:t>
            </w:r>
          </w:p>
        </w:tc>
      </w:tr>
      <w:tr w:rsidR="00537DF0" w14:paraId="7496AB95" w14:textId="77777777" w:rsidTr="00537DF0">
        <w:trPr>
          <w:jc w:val="center"/>
        </w:trPr>
        <w:tc>
          <w:tcPr>
            <w:tcW w:w="1272" w:type="dxa"/>
          </w:tcPr>
          <w:p>
            <w:pPr>
              <w:spacing w:before="60" w:after="60"/>
              <w:jc w:val="center"/>
            </w:pPr>
            <w:r/>
            <w:r>
              <w:rPr>
                <w:rFonts w:ascii="Arial" w:hAnsi="Arial"/>
                <w:b/>
                <w:color w:val="1E293B"/>
                <w:sz w:val="17"/>
              </w:rPr>
              <w:t>18/10/2026</w:t>
            </w:r>
          </w:p>
        </w:tc>
        <w:tc>
          <w:tcPr>
            <w:tcW w:w="1034" w:type="dxa"/>
          </w:tcPr>
          <w:p>
            <w:pPr>
              <w:spacing w:before="60" w:after="60"/>
              <w:jc w:val="center"/>
            </w:pPr>
            <w:r/>
            <w:r>
              <w:rPr>
                <w:rFonts w:ascii="Arial" w:hAnsi="Arial"/>
                <w:b/>
                <w:color w:val="1E293B"/>
                <w:sz w:val="17"/>
              </w:rPr>
              <w:t>v01.00</w:t>
            </w:r>
          </w:p>
        </w:tc>
        <w:tc>
          <w:tcPr>
            <w:tcW w:w="5349" w:type="dxa"/>
          </w:tcPr>
          <w:p>
            <w:pPr>
              <w:spacing w:before="60" w:after="60"/>
              <w:jc w:val="left"/>
            </w:pPr>
            <w:r/>
            <w:r>
              <w:rPr>
                <w:rFonts w:ascii="Arial" w:hAnsi="Arial"/>
                <w:b w:val="0"/>
                <w:color w:val="1E293B"/>
                <w:sz w:val="17"/>
              </w:rPr>
              <w:t>Consolidación de la Vista de Procesos en Bonita BPM v2024.1 (BPMN 2.0) sobre las 3 ilaciones críticas (ILA-0017, ILA-0062, ILA-0106), con saltos condicionales, control de concurrencia y prevención de deadlock.</w:t>
            </w:r>
          </w:p>
        </w:tc>
        <w:tc>
          <w:tcPr>
            <w:tcW w:w="2410" w:type="dxa"/>
          </w:tcPr>
          <w:p>
            <w:pPr>
              <w:spacing w:before="60" w:after="60"/>
              <w:jc w:val="left"/>
            </w:pPr>
            <w:r/>
            <w:r>
              <w:rPr>
                <w:rFonts w:ascii="Arial" w:hAnsi="Arial"/>
                <w:b w:val="0"/>
                <w:color w:val="1E293B"/>
                <w:sz w:val="17"/>
              </w:rPr>
              <w:t>Marquez H. Marco (Líder) y Equipo RuwayLabs</w:t>
            </w:r>
          </w:p>
        </w:tc>
      </w:tr>
    </w:tbl>
    <w:p w14:paraId="534172A8" w14:textId="77777777" w:rsidR="00537DF0" w:rsidRDefault="00537DF0" w:rsidP="006B4A73">
      <w:pPr>
        <w:spacing w:after="0" w:line="276" w:lineRule="auto"/>
      </w:pPr>
    </w:p>
    <w:p w14:paraId="10D876DE" w14:textId="77777777" w:rsidR="00537DF0" w:rsidRDefault="00537DF0" w:rsidP="006B4A73">
      <w:pPr>
        <w:spacing w:after="0" w:line="276" w:lineRule="auto"/>
      </w:pPr>
    </w:p>
    <w:p w14:paraId="5B54E256" w14:textId="77777777" w:rsidR="008B1D0A" w:rsidRDefault="008B1D0A" w:rsidP="006B4A73">
      <w:pPr>
        <w:spacing w:after="0" w:line="276" w:lineRule="auto"/>
        <w:sectPr w:rsidR="008B1D0A">
          <w:pgSz w:w="11906" w:h="16838"/>
          <w:pgMar w:top="1417" w:right="1701" w:bottom="1417" w:left="1701" w:header="708" w:footer="708" w:gutter="0"/>
          <w:cols w:space="708"/>
          <w:docGrid w:linePitch="360"/>
        </w:sectPr>
      </w:pPr>
    </w:p>
    <w:p w14:paraId="627BE637" w14:textId="77777777" w:rsidR="008B1D0A" w:rsidRDefault="008B1D0A" w:rsidP="006B4A73">
      <w:pPr>
        <w:spacing w:after="0" w:line="276" w:lineRule="auto"/>
      </w:pPr>
    </w:p>
    <w:p w14:paraId="463BB82D" w14:textId="77777777" w:rsidR="008B1D0A" w:rsidRPr="008B1D0A" w:rsidRDefault="008B1D0A" w:rsidP="008B1D0A">
      <w:pPr>
        <w:spacing w:after="0" w:line="276" w:lineRule="auto"/>
        <w:jc w:val="center"/>
        <w:rPr>
          <w:b/>
        </w:rPr>
      </w:pPr>
      <w:r w:rsidRPr="008B1D0A">
        <w:rPr>
          <w:b/>
        </w:rPr>
        <w:t>INDICE GENERAL</w:t>
      </w:r>
    </w:p>
    <w:p w14:paraId="7C157B46" w14:textId="77777777" w:rsidR="008B1D0A" w:rsidRDefault="008B1D0A" w:rsidP="006B4A73">
      <w:pPr>
        <w:spacing w:after="0" w:line="276"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702"/>
      </w:tblGrid>
      <w:tr w:rsidR="00E218FE" w:rsidRPr="00E218FE" w14:paraId="21F20A4A" w14:textId="77777777" w:rsidTr="00E218FE">
        <w:tc>
          <w:tcPr>
            <w:tcW w:w="7792" w:type="dxa"/>
          </w:tcPr>
          <w:p w14:paraId="5F271FF8" w14:textId="77777777" w:rsidR="00E218FE" w:rsidRPr="00E218FE" w:rsidRDefault="00E218FE" w:rsidP="00E218FE">
            <w:pPr>
              <w:spacing w:line="276" w:lineRule="auto"/>
              <w:jc w:val="center"/>
              <w:rPr>
                <w:b/>
              </w:rPr>
            </w:pPr>
          </w:p>
        </w:tc>
        <w:tc>
          <w:tcPr>
            <w:tcW w:w="702" w:type="dxa"/>
          </w:tcPr>
          <w:p w14:paraId="7B024A87" w14:textId="77777777" w:rsidR="00E218FE" w:rsidRPr="00E218FE" w:rsidRDefault="00E218FE" w:rsidP="00E218FE">
            <w:pPr>
              <w:spacing w:line="276" w:lineRule="auto"/>
              <w:jc w:val="center"/>
              <w:rPr>
                <w:b/>
              </w:rPr>
            </w:pPr>
            <w:proofErr w:type="spellStart"/>
            <w:r w:rsidRPr="00E218FE">
              <w:rPr>
                <w:b/>
              </w:rPr>
              <w:t>P</w:t>
            </w:r>
            <w:r>
              <w:rPr>
                <w:b/>
              </w:rPr>
              <w:t>ag</w:t>
            </w:r>
            <w:r w:rsidRPr="00E218FE">
              <w:rPr>
                <w:b/>
              </w:rPr>
              <w:t>.</w:t>
            </w:r>
            <w:proofErr w:type="spellEnd"/>
          </w:p>
        </w:tc>
      </w:tr>
      <w:tr w:rsidR="00E218FE" w14:paraId="4FCF9650" w14:textId="77777777" w:rsidTr="00E218FE">
        <w:tc>
          <w:tcPr>
            <w:tcW w:w="7792" w:type="dxa"/>
          </w:tcPr>
          <w:p>
            <w:pPr>
              <w:spacing w:before="60" w:after="60"/>
              <w:jc w:val="left"/>
            </w:pPr>
            <w:r/>
            <w:r>
              <w:rPr>
                <w:rFonts w:ascii="Arial" w:hAnsi="Arial"/>
                <w:b/>
                <w:color w:val="1E293B"/>
                <w:sz w:val="18"/>
              </w:rPr>
              <w:t>1. DESCRIPCIÓN DEL TEMA A TRATAR</w:t>
            </w:r>
          </w:p>
        </w:tc>
        <w:tc>
          <w:tcPr>
            <w:tcW w:w="702" w:type="dxa"/>
          </w:tcPr>
          <w:p>
            <w:pPr>
              <w:spacing w:before="60" w:after="60"/>
              <w:jc w:val="right"/>
            </w:pPr>
            <w:r/>
            <w:r>
              <w:rPr>
                <w:rFonts w:ascii="Arial" w:hAnsi="Arial"/>
                <w:b/>
                <w:color w:val="1E293B"/>
                <w:sz w:val="18"/>
              </w:rPr>
              <w:t>3</w:t>
            </w:r>
          </w:p>
        </w:tc>
      </w:tr>
      <w:tr w:rsidR="00E218FE" w14:paraId="0740B223" w14:textId="77777777" w:rsidTr="00E218FE">
        <w:tc>
          <w:tcPr>
            <w:tcW w:w="7792" w:type="dxa"/>
          </w:tcPr>
          <w:p>
            <w:pPr>
              <w:spacing w:before="60" w:after="60"/>
              <w:jc w:val="left"/>
            </w:pPr>
            <w:r/>
            <w:r>
              <w:rPr>
                <w:rFonts w:ascii="Arial" w:hAnsi="Arial"/>
                <w:b/>
                <w:color w:val="1E293B"/>
                <w:sz w:val="18"/>
              </w:rPr>
              <w:t>2. METODOLOGÍA DEL PROCESO Y SU RELACIÓN CON LA METODOLOGÍA PROPUESTA</w:t>
            </w:r>
          </w:p>
        </w:tc>
        <w:tc>
          <w:tcPr>
            <w:tcW w:w="702" w:type="dxa"/>
          </w:tcPr>
          <w:p>
            <w:pPr>
              <w:spacing w:before="60" w:after="60"/>
              <w:jc w:val="right"/>
            </w:pPr>
            <w:r/>
            <w:r>
              <w:rPr>
                <w:rFonts w:ascii="Arial" w:hAnsi="Arial"/>
                <w:b/>
                <w:color w:val="1E293B"/>
                <w:sz w:val="18"/>
              </w:rPr>
              <w:t>4</w:t>
            </w:r>
          </w:p>
        </w:tc>
      </w:tr>
      <w:tr w:rsidR="00E218FE" w14:paraId="57B68F89" w14:textId="77777777" w:rsidTr="00E218FE">
        <w:tc>
          <w:tcPr>
            <w:tcW w:w="7792" w:type="dxa"/>
          </w:tcPr>
          <w:p>
            <w:pPr>
              <w:spacing w:before="60" w:after="60"/>
              <w:jc w:val="left"/>
            </w:pPr>
            <w:r/>
            <w:r>
              <w:rPr>
                <w:rFonts w:ascii="Arial" w:hAnsi="Arial"/>
                <w:b/>
                <w:color w:val="1E293B"/>
                <w:sz w:val="18"/>
              </w:rPr>
              <w:t>3. ACTAS DE TRABAJO (SUBGRUPOS Y GIRO CRUZADO DE VISTAS)</w:t>
            </w:r>
          </w:p>
        </w:tc>
        <w:tc>
          <w:tcPr>
            <w:tcW w:w="702" w:type="dxa"/>
          </w:tcPr>
          <w:p>
            <w:pPr>
              <w:spacing w:before="60" w:after="60"/>
              <w:jc w:val="right"/>
            </w:pPr>
            <w:r/>
            <w:r>
              <w:rPr>
                <w:rFonts w:ascii="Arial" w:hAnsi="Arial"/>
                <w:b/>
                <w:color w:val="1E293B"/>
                <w:sz w:val="18"/>
              </w:rPr>
              <w:t>5</w:t>
            </w:r>
          </w:p>
        </w:tc>
      </w:tr>
      <w:tr w:rsidR="00E218FE" w14:paraId="5AA80A40" w14:textId="77777777" w:rsidTr="00E218FE">
        <w:tc>
          <w:tcPr>
            <w:tcW w:w="7792" w:type="dxa"/>
          </w:tcPr>
          <w:p>
            <w:pPr>
              <w:spacing w:before="60" w:after="60"/>
              <w:jc w:val="left"/>
            </w:pPr>
            <w:r/>
            <w:r>
              <w:rPr>
                <w:rFonts w:ascii="Arial" w:hAnsi="Arial"/>
                <w:b/>
                <w:color w:val="1E293B"/>
                <w:sz w:val="18"/>
              </w:rPr>
              <w:t>4. TABLA RESUMEN DE LAS CALIFICACIONES DE LOS ESTUDIANTES</w:t>
            </w:r>
          </w:p>
        </w:tc>
        <w:tc>
          <w:tcPr>
            <w:tcW w:w="702" w:type="dxa"/>
          </w:tcPr>
          <w:p>
            <w:pPr>
              <w:spacing w:before="60" w:after="60"/>
              <w:jc w:val="right"/>
            </w:pPr>
            <w:r/>
            <w:r>
              <w:rPr>
                <w:rFonts w:ascii="Arial" w:hAnsi="Arial"/>
                <w:b/>
                <w:color w:val="1E293B"/>
                <w:sz w:val="18"/>
              </w:rPr>
              <w:t>7</w:t>
            </w:r>
          </w:p>
        </w:tc>
      </w:tr>
      <w:tr w:rsidR="00E218FE" w14:paraId="04F4D659" w14:textId="77777777" w:rsidTr="00E218FE">
        <w:tc>
          <w:tcPr>
            <w:tcW w:w="7792" w:type="dxa"/>
          </w:tcPr>
          <w:p>
            <w:pPr>
              <w:spacing w:before="60" w:after="60"/>
              <w:jc w:val="left"/>
            </w:pPr>
            <w:r/>
            <w:r>
              <w:rPr>
                <w:rFonts w:ascii="Arial" w:hAnsi="Arial"/>
                <w:b/>
                <w:color w:val="1E293B"/>
                <w:sz w:val="18"/>
              </w:rPr>
              <w:t>5. TABLA RESUMEN DE LA CALIFICACIÓN OBTENIDA POR EL JEFE DE PROYECTO</w:t>
            </w:r>
          </w:p>
        </w:tc>
        <w:tc>
          <w:tcPr>
            <w:tcW w:w="702" w:type="dxa"/>
          </w:tcPr>
          <w:p>
            <w:pPr>
              <w:spacing w:before="60" w:after="60"/>
              <w:jc w:val="right"/>
            </w:pPr>
            <w:r/>
            <w:r>
              <w:rPr>
                <w:rFonts w:ascii="Arial" w:hAnsi="Arial"/>
                <w:b/>
                <w:color w:val="1E293B"/>
                <w:sz w:val="18"/>
              </w:rPr>
              <w:t>8</w:t>
            </w:r>
          </w:p>
        </w:tc>
      </w:tr>
      <w:tr w:rsidR="00E218FE" w14:paraId="37895D49" w14:textId="77777777" w:rsidTr="00E218FE">
        <w:tc>
          <w:tcPr>
            <w:tcW w:w="7792" w:type="dxa"/>
          </w:tcPr>
          <w:p>
            <w:pPr>
              <w:spacing w:before="60" w:after="60"/>
              <w:jc w:val="left"/>
            </w:pPr>
            <w:r/>
            <w:r>
              <w:rPr>
                <w:rFonts w:ascii="Arial" w:hAnsi="Arial"/>
                <w:b/>
                <w:color w:val="1E293B"/>
                <w:sz w:val="18"/>
              </w:rPr>
              <w:t>6. ESTADO DEL ARTE</w:t>
            </w:r>
          </w:p>
        </w:tc>
        <w:tc>
          <w:tcPr>
            <w:tcW w:w="702" w:type="dxa"/>
          </w:tcPr>
          <w:p>
            <w:pPr>
              <w:spacing w:before="60" w:after="60"/>
              <w:jc w:val="right"/>
            </w:pPr>
            <w:r/>
            <w:r>
              <w:rPr>
                <w:rFonts w:ascii="Arial" w:hAnsi="Arial"/>
                <w:b/>
                <w:color w:val="1E293B"/>
                <w:sz w:val="18"/>
              </w:rPr>
              <w:t>9</w:t>
            </w:r>
          </w:p>
        </w:tc>
      </w:tr>
      <w:tr w:rsidR="00E218FE" w14:paraId="6EA60A6D" w14:textId="77777777" w:rsidTr="00E218FE">
        <w:tc>
          <w:tcPr>
            <w:tcW w:w="7792" w:type="dxa"/>
          </w:tcPr>
          <w:p>
            <w:pPr>
              <w:spacing w:before="60" w:after="60"/>
              <w:jc w:val="left"/>
            </w:pPr>
            <w:r/>
            <w:r>
              <w:rPr>
                <w:rFonts w:ascii="Arial" w:hAnsi="Arial"/>
                <w:b/>
                <w:color w:val="1E293B"/>
                <w:sz w:val="18"/>
              </w:rPr>
              <w:t>7. DESCRIPCIÓN DEL ARTEFACTO (VISTA DE PROCESOS BASADA EN ILACIONES)</w:t>
            </w:r>
          </w:p>
        </w:tc>
        <w:tc>
          <w:tcPr>
            <w:tcW w:w="702" w:type="dxa"/>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7.1. Naturaleza de la Vista de Procesos y Criterio de Selección de las 3 Ilaciones Complejas</w:t>
            </w:r>
          </w:p>
        </w:tc>
        <w:tc>
          <w:tcPr>
            <w:tcW w:type="dxa" w:w="702"/>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7.2. Herramienta de Modelado BPMN 2.0 (Bonita BPM v2024.1) y su Trazabilidad en RNF-0021</w:t>
            </w:r>
          </w:p>
        </w:tc>
        <w:tc>
          <w:tcPr>
            <w:tcW w:type="dxa" w:w="702"/>
          </w:tcPr>
          <w:p>
            <w:pPr>
              <w:spacing w:before="60" w:after="60"/>
              <w:jc w:val="right"/>
            </w:pPr>
            <w:r/>
            <w:r>
              <w:rPr>
                <w:rFonts w:ascii="Arial" w:hAnsi="Arial"/>
                <w:b/>
                <w:color w:val="1E293B"/>
                <w:sz w:val="18"/>
              </w:rPr>
              <w:t>12</w:t>
            </w:r>
          </w:p>
        </w:tc>
      </w:tr>
      <w:tr>
        <w:tc>
          <w:tcPr>
            <w:tcW w:type="dxa" w:w="7792"/>
          </w:tcPr>
          <w:p>
            <w:pPr>
              <w:spacing w:before="60" w:after="60"/>
              <w:jc w:val="left"/>
            </w:pPr>
            <w:r/>
            <w:r>
              <w:rPr>
                <w:rFonts w:ascii="Arial" w:hAnsi="Arial"/>
                <w:b w:val="0"/>
                <w:color w:val="1E293B"/>
                <w:sz w:val="18"/>
              </w:rPr>
              <w:t xml:space="preserve">   7.3. Proceso 01: Ilación ILA-0017 — Crear Registro de Cita Médica (EDU-0012)</w:t>
            </w:r>
          </w:p>
        </w:tc>
        <w:tc>
          <w:tcPr>
            <w:tcW w:type="dxa" w:w="702"/>
          </w:tcPr>
          <w:p>
            <w:pPr>
              <w:spacing w:before="60" w:after="60"/>
              <w:jc w:val="right"/>
            </w:pPr>
            <w:r/>
            <w:r>
              <w:rPr>
                <w:rFonts w:ascii="Arial" w:hAnsi="Arial"/>
                <w:b/>
                <w:color w:val="1E293B"/>
                <w:sz w:val="18"/>
              </w:rPr>
              <w:t>13</w:t>
            </w:r>
          </w:p>
        </w:tc>
      </w:tr>
      <w:tr>
        <w:tc>
          <w:tcPr>
            <w:tcW w:type="dxa" w:w="7792"/>
          </w:tcPr>
          <w:p>
            <w:pPr>
              <w:spacing w:before="60" w:after="60"/>
              <w:jc w:val="left"/>
            </w:pPr>
            <w:r/>
            <w:r>
              <w:rPr>
                <w:rFonts w:ascii="Arial" w:hAnsi="Arial"/>
                <w:b w:val="0"/>
                <w:color w:val="1E293B"/>
                <w:sz w:val="18"/>
              </w:rPr>
              <w:t xml:space="preserve">   7.4. Proceso 02: Ilación ILA-0062 — Crear Pre-Triaje Clínico y Alerta Roja (EDU-0023)</w:t>
            </w:r>
          </w:p>
        </w:tc>
        <w:tc>
          <w:tcPr>
            <w:tcW w:type="dxa" w:w="702"/>
          </w:tcPr>
          <w:p>
            <w:pPr>
              <w:spacing w:before="60" w:after="60"/>
              <w:jc w:val="right"/>
            </w:pPr>
            <w:r/>
            <w:r>
              <w:rPr>
                <w:rFonts w:ascii="Arial" w:hAnsi="Arial"/>
                <w:b/>
                <w:color w:val="1E293B"/>
                <w:sz w:val="18"/>
              </w:rPr>
              <w:t>16</w:t>
            </w:r>
          </w:p>
        </w:tc>
      </w:tr>
      <w:tr>
        <w:tc>
          <w:tcPr>
            <w:tcW w:type="dxa" w:w="7792"/>
          </w:tcPr>
          <w:p>
            <w:pPr>
              <w:spacing w:before="60" w:after="60"/>
              <w:jc w:val="left"/>
            </w:pPr>
            <w:r/>
            <w:r>
              <w:rPr>
                <w:rFonts w:ascii="Arial" w:hAnsi="Arial"/>
                <w:b w:val="0"/>
                <w:color w:val="1E293B"/>
                <w:sz w:val="18"/>
              </w:rPr>
              <w:t xml:space="preserve">   7.5. Proceso 03: Ilación ILA-0106 — Crear Comprobante de Pago Electrónico SUNAT (EDU-0037)</w:t>
            </w:r>
          </w:p>
        </w:tc>
        <w:tc>
          <w:tcPr>
            <w:tcW w:type="dxa" w:w="702"/>
          </w:tcPr>
          <w:p>
            <w:pPr>
              <w:spacing w:before="60" w:after="60"/>
              <w:jc w:val="right"/>
            </w:pPr>
            <w:r/>
            <w:r>
              <w:rPr>
                <w:rFonts w:ascii="Arial" w:hAnsi="Arial"/>
                <w:b/>
                <w:color w:val="1E293B"/>
                <w:sz w:val="18"/>
              </w:rPr>
              <w:t>19</w:t>
            </w:r>
          </w:p>
        </w:tc>
      </w:tr>
      <w:tr>
        <w:tc>
          <w:tcPr>
            <w:tcW w:type="dxa" w:w="7792"/>
          </w:tcPr>
          <w:p>
            <w:pPr>
              <w:spacing w:before="60" w:after="60"/>
              <w:jc w:val="left"/>
            </w:pPr>
            <w:r/>
            <w:r>
              <w:rPr>
                <w:rFonts w:ascii="Arial" w:hAnsi="Arial"/>
                <w:b w:val="0"/>
                <w:color w:val="1E293B"/>
                <w:sz w:val="18"/>
              </w:rPr>
              <w:t xml:space="preserve">   7.6. Análisis de Concurrencia, Tiempo de Respuesta, Punto Muerto (Deadlock), Rendimiento, Tolerancia a Errores y Escalabilidad</w:t>
            </w:r>
          </w:p>
        </w:tc>
        <w:tc>
          <w:tcPr>
            <w:tcW w:type="dxa" w:w="702"/>
          </w:tcPr>
          <w:p>
            <w:pPr>
              <w:spacing w:before="60" w:after="60"/>
              <w:jc w:val="right"/>
            </w:pPr>
            <w:r/>
            <w:r>
              <w:rPr>
                <w:rFonts w:ascii="Arial" w:hAnsi="Arial"/>
                <w:b/>
                <w:color w:val="1E293B"/>
                <w:sz w:val="18"/>
              </w:rPr>
              <w:t>22</w:t>
            </w:r>
          </w:p>
        </w:tc>
      </w:tr>
      <w:tr>
        <w:tc>
          <w:tcPr>
            <w:tcW w:type="dxa" w:w="7792"/>
          </w:tcPr>
          <w:p>
            <w:pPr>
              <w:spacing w:before="60" w:after="60"/>
              <w:jc w:val="left"/>
            </w:pPr>
            <w:r/>
            <w:r>
              <w:rPr>
                <w:rFonts w:ascii="Arial" w:hAnsi="Arial"/>
                <w:b/>
                <w:color w:val="1E293B"/>
                <w:sz w:val="18"/>
              </w:rPr>
              <w:t>8. CONCLUSIONES (DEL MARCO CONCEPTUAL Y DEL PRODUCTO)</w:t>
            </w:r>
          </w:p>
        </w:tc>
        <w:tc>
          <w:tcPr>
            <w:tcW w:type="dxa" w:w="702"/>
          </w:tcPr>
          <w:p>
            <w:pPr>
              <w:spacing w:before="60" w:after="60"/>
              <w:jc w:val="right"/>
            </w:pPr>
            <w:r/>
            <w:r>
              <w:rPr>
                <w:rFonts w:ascii="Arial" w:hAnsi="Arial"/>
                <w:b/>
                <w:color w:val="1E293B"/>
                <w:sz w:val="18"/>
              </w:rPr>
              <w:t>24</w:t>
            </w:r>
          </w:p>
        </w:tc>
      </w:tr>
      <w:tr>
        <w:tc>
          <w:tcPr>
            <w:tcW w:type="dxa" w:w="7792"/>
          </w:tcPr>
          <w:p>
            <w:pPr>
              <w:spacing w:before="60" w:after="60"/>
              <w:jc w:val="left"/>
            </w:pPr>
            <w:r/>
            <w:r>
              <w:rPr>
                <w:rFonts w:ascii="Arial" w:hAnsi="Arial"/>
                <w:b/>
                <w:color w:val="1E293B"/>
                <w:sz w:val="18"/>
              </w:rPr>
              <w:t>9. OBSERVACIONES</w:t>
            </w:r>
          </w:p>
        </w:tc>
        <w:tc>
          <w:tcPr>
            <w:tcW w:type="dxa" w:w="702"/>
          </w:tcPr>
          <w:p>
            <w:pPr>
              <w:spacing w:before="60" w:after="60"/>
              <w:jc w:val="right"/>
            </w:pPr>
            <w:r/>
            <w:r>
              <w:rPr>
                <w:rFonts w:ascii="Arial" w:hAnsi="Arial"/>
                <w:b/>
                <w:color w:val="1E293B"/>
                <w:sz w:val="18"/>
              </w:rPr>
              <w:t>25</w:t>
            </w:r>
          </w:p>
        </w:tc>
      </w:tr>
      <w:tr>
        <w:tc>
          <w:tcPr>
            <w:tcW w:type="dxa" w:w="7792"/>
          </w:tcPr>
          <w:p>
            <w:pPr>
              <w:spacing w:before="60" w:after="60"/>
              <w:jc w:val="left"/>
            </w:pPr>
            <w:r/>
            <w:r>
              <w:rPr>
                <w:rFonts w:ascii="Arial" w:hAnsi="Arial"/>
                <w:b/>
                <w:color w:val="1E293B"/>
                <w:sz w:val="18"/>
              </w:rPr>
              <w:t>10. BIBLIOGRAFÍA (FORMATO IEEE)</w:t>
            </w:r>
          </w:p>
        </w:tc>
        <w:tc>
          <w:tcPr>
            <w:tcW w:type="dxa" w:w="702"/>
          </w:tcPr>
          <w:p>
            <w:pPr>
              <w:spacing w:before="60" w:after="60"/>
              <w:jc w:val="right"/>
            </w:pPr>
            <w:r/>
            <w:r>
              <w:rPr>
                <w:rFonts w:ascii="Arial" w:hAnsi="Arial"/>
                <w:b/>
                <w:color w:val="1E293B"/>
                <w:sz w:val="18"/>
              </w:rPr>
              <w:t>26</w:t>
            </w:r>
          </w:p>
        </w:tc>
      </w:tr>
      <w:tr>
        <w:tc>
          <w:tcPr>
            <w:tcW w:type="dxa" w:w="7792"/>
          </w:tcPr>
          <w:p>
            <w:pPr>
              <w:spacing w:before="60" w:after="60"/>
              <w:jc w:val="left"/>
            </w:pPr>
            <w:r/>
            <w:r>
              <w:rPr>
                <w:rFonts w:ascii="Arial" w:hAnsi="Arial"/>
                <w:b/>
                <w:color w:val="1E293B"/>
                <w:sz w:val="18"/>
              </w:rPr>
              <w:t>11. ANEXOS (VERSIONAMIENTO DE LA VISTA DE PROCESOS)</w:t>
            </w:r>
          </w:p>
        </w:tc>
        <w:tc>
          <w:tcPr>
            <w:tcW w:type="dxa" w:w="702"/>
          </w:tcPr>
          <w:p>
            <w:pPr>
              <w:spacing w:before="60" w:after="60"/>
              <w:jc w:val="right"/>
            </w:pPr>
            <w:r/>
            <w:r>
              <w:rPr>
                <w:rFonts w:ascii="Arial" w:hAnsi="Arial"/>
                <w:b/>
                <w:color w:val="1E293B"/>
                <w:sz w:val="18"/>
              </w:rPr>
              <w:t>27</w:t>
            </w:r>
          </w:p>
        </w:tc>
      </w:tr>
    </w:tbl>
    <w:p>
      <w:r>
        <w:br w:type="page"/>
      </w:r>
    </w:p>
    <w:p>
      <w:pPr>
        <w:keepNext/>
        <w:spacing w:before="280" w:after="120"/>
      </w:pPr>
      <w:r>
        <w:rPr>
          <w:rFonts w:ascii="Arial" w:hAnsi="Arial"/>
          <w:b/>
          <w:color w:val="0F2942"/>
          <w:sz w:val="27"/>
        </w:rPr>
        <w:t>1. DESCRIPCIÓN DEL TEMA A TRATAR</w:t>
      </w:r>
    </w:p>
    <w:p>
      <w:pPr>
        <w:keepNext/>
        <w:spacing w:before="200" w:after="80"/>
      </w:pPr>
      <w:r>
        <w:rPr>
          <w:rFonts w:ascii="Arial" w:hAnsi="Arial"/>
          <w:b/>
          <w:color w:val="1E3A8A"/>
          <w:sz w:val="23"/>
        </w:rPr>
        <w:t>1.1. Fundamentación de la Vista de Procesos y su Vínculo Directo con la Ilación</w:t>
      </w:r>
    </w:p>
    <w:p>
      <w:pPr>
        <w:spacing w:before="40" w:after="100" w:line="276" w:lineRule="auto"/>
        <w:jc w:val="both"/>
      </w:pPr>
      <w:r>
        <w:rPr>
          <w:rFonts w:ascii="Arial" w:hAnsi="Arial"/>
          <w:i w:val="0"/>
          <w:color w:val="1E293B"/>
          <w:sz w:val="20"/>
        </w:rPr>
        <w:t>En la metodología de Ingeniería de Requisitos y Arquitectura de Software impartida por el M.Sc. Percy Oscar Huertas Niquén, los procesos del sistema se encuentran formalizados dentro de la etapa de Ilación del Catálogo de Requisitos. Cada ilación contiene un Procedimiento estructurado mediante pasos numerados secuencialmente (1, 2, 3, ...) que incorporan bifurcaciones condicionales y saltos lógicos entre números de paso según las reglas del negocio. La Vista de Procesos traduce algorítmica y visualmente dichos procedimientos en diagramas de flujo / diagramas de actividades bajo notación BPMN 2.0.</w:t>
      </w:r>
    </w:p>
    <w:p>
      <w:pPr>
        <w:keepNext/>
        <w:spacing w:before="200" w:after="80"/>
      </w:pPr>
      <w:r>
        <w:rPr>
          <w:rFonts w:ascii="Arial" w:hAnsi="Arial"/>
          <w:b/>
          <w:color w:val="1E3A8A"/>
          <w:sz w:val="23"/>
        </w:rPr>
        <w:t>1.2. Criterio de Selección Ejemplar y Atributos Dinámicos de Calidad</w:t>
      </w:r>
    </w:p>
    <w:p>
      <w:pPr>
        <w:spacing w:before="40" w:after="100" w:line="276" w:lineRule="auto"/>
        <w:jc w:val="both"/>
      </w:pPr>
      <w:r>
        <w:rPr>
          <w:rFonts w:ascii="Arial" w:hAnsi="Arial"/>
          <w:i w:val="0"/>
          <w:color w:val="1E293B"/>
          <w:sz w:val="20"/>
        </w:rPr>
        <w:t>Tal como precisó la cátedra, cuando las 108 ilaciones del Catálogo de Requisitos están redactadas con absoluta claridad procedimental, la Vista de Procesos se elabora de forma focalizada sobre aquellas ilaciones de mayor criticidad algorítmica o concurrencial. Siguiendo la instrucción expresa del docente ('Ustedes me escogen 3 ilaciones y quiero que representen un diagrama de flujo o un diagrama de proceso dependiendo de la herramienta que quieran escoger'), se seleccionaron las tres ilaciones más representativas y de mayor complejidad transaccional de NexoVitalis360: ILA-0017 (Crear registro de cita médica), ILA-0062 (Crear pre-triaje clínico con evaluación de alerta roja) e ILA-0106 (Crear comprobante de pago electrónico con validación tributaria SUNAT). Asimismo, conforme exige la plantilla oficial, el diseño evalúa rigurosamente la concurrencia, el tiempo de respuesta, la prevención del punto muerto (deadlock), el rendimiento, la tolerancia a errores y la escalabilidad.</w:t>
      </w:r>
    </w:p>
    <w:p>
      <w:pPr>
        <w:keepNext/>
        <w:spacing w:before="280" w:after="120"/>
      </w:pPr>
      <w:r>
        <w:rPr>
          <w:rFonts w:ascii="Arial" w:hAnsi="Arial"/>
          <w:b/>
          <w:color w:val="0F2942"/>
          <w:sz w:val="27"/>
        </w:rPr>
        <w:t>2. METODOLOGÍA DEL PROCESO Y SU RELACIÓN CON LA METODOLOGÍA PROPUESTA</w:t>
      </w:r>
    </w:p>
    <w:p>
      <w:pPr>
        <w:spacing w:before="40" w:after="100" w:line="276" w:lineRule="auto"/>
        <w:jc w:val="both"/>
      </w:pPr>
      <w:r>
        <w:rPr>
          <w:rFonts w:ascii="Arial" w:hAnsi="Arial"/>
          <w:i w:val="0"/>
          <w:color w:val="1E293B"/>
          <w:sz w:val="20"/>
        </w:rPr>
        <w:t>El desarrollo de la Vista de Procesos se ejecutó a través de cinco fases metodológicas alineadas con el Catálogo Actualizado (v02.00):</w:t>
      </w:r>
    </w:p>
    <w:p>
      <w:pPr>
        <w:spacing w:before="40" w:after="100" w:line="276" w:lineRule="auto"/>
        <w:jc w:val="both"/>
      </w:pPr>
      <w:r>
        <w:rPr>
          <w:rFonts w:ascii="Arial" w:hAnsi="Arial"/>
          <w:b/>
          <w:color w:val="0F2942"/>
          <w:sz w:val="20"/>
        </w:rPr>
        <w:t xml:space="preserve">Fase 1 — Refinamiento Algorítmico de las 108 Ilaciones (ILA-0001 a ILA-0113): </w:t>
      </w:r>
      <w:r>
        <w:rPr>
          <w:rFonts w:ascii="Arial" w:hAnsi="Arial"/>
          <w:i w:val="0"/>
          <w:color w:val="1E293B"/>
          <w:sz w:val="20"/>
        </w:rPr>
        <w:t>Se verificó que las 108 tablas de ilación del catálogo posean pasos numerados secuencialmente (1., 2., 3...), aperturas explícitas de Vitalis_BD en la Precondición, saltos condicionales explícitos ('Si ..., continúa en el paso X; en caso contrario, salta al paso Y') y cierre formal de las tablas TB_* en la Postcondición.</w:t>
      </w:r>
    </w:p>
    <w:p>
      <w:pPr>
        <w:spacing w:before="40" w:after="100" w:line="276" w:lineRule="auto"/>
        <w:jc w:val="both"/>
      </w:pPr>
      <w:r>
        <w:rPr>
          <w:rFonts w:ascii="Arial" w:hAnsi="Arial"/>
          <w:b/>
          <w:color w:val="0F2942"/>
          <w:sz w:val="20"/>
        </w:rPr>
        <w:t xml:space="preserve">Fase 2 — Selección y Registro de la Herramienta de Modelado en los RNF (RNF-0021): </w:t>
      </w:r>
      <w:r>
        <w:rPr>
          <w:rFonts w:ascii="Arial" w:hAnsi="Arial"/>
          <w:i w:val="0"/>
          <w:color w:val="1E293B"/>
          <w:sz w:val="20"/>
        </w:rPr>
        <w:t>En cumplimiento de la regla de doble sentido indicada en clase ('Si dicen que van a trabajar un diagrama de procesos con Bonita, el nombre de la herramienta tiene que aparecer en los Requisitos No Funcionales'), se registró oficialmente Bonita BPM Community Edition v2024.1 (estándar OMG BPMN 2.0) dentro del requisito no funcional RNF-0021 del Catálogo Actualizado.</w:t>
      </w:r>
    </w:p>
    <w:p>
      <w:pPr>
        <w:spacing w:before="40" w:after="100" w:line="276" w:lineRule="auto"/>
        <w:jc w:val="both"/>
      </w:pPr>
      <w:r>
        <w:rPr>
          <w:rFonts w:ascii="Arial" w:hAnsi="Arial"/>
          <w:b/>
          <w:color w:val="0F2942"/>
          <w:sz w:val="20"/>
        </w:rPr>
        <w:t xml:space="preserve">Fase 3 — Partición en Carriles de Responsabilidad (Swimlanes BPMN 2.0): </w:t>
      </w:r>
      <w:r>
        <w:rPr>
          <w:rFonts w:ascii="Arial" w:hAnsi="Arial"/>
          <w:i w:val="0"/>
          <w:color w:val="1E293B"/>
          <w:sz w:val="20"/>
        </w:rPr>
        <w:t>Para cada una de las 3 ilaciones seleccionadas se definieron cuatro carriles horizontales: (1) Carril del Actor (ACT-0001/0002), (2) Carril de Presentación (GUI y Modal MDL), (3) Carril de Lógica de Negocio y Concurrencia (Backend Django 5 / Redis 7.2), y (4) Carril de Persistencia y Servicios Externos (Vitalis_BD PostgreSQL 16 / APIs externas).</w:t>
      </w:r>
    </w:p>
    <w:p>
      <w:pPr>
        <w:spacing w:before="40" w:after="100" w:line="276" w:lineRule="auto"/>
        <w:jc w:val="both"/>
      </w:pPr>
      <w:r>
        <w:rPr>
          <w:rFonts w:ascii="Arial" w:hAnsi="Arial"/>
          <w:b/>
          <w:color w:val="0F2942"/>
          <w:sz w:val="20"/>
        </w:rPr>
        <w:t xml:space="preserve">Fase 4 — Modelado de Compuertas Exclusivas (XOR) y Saltos de Paso: </w:t>
      </w:r>
      <w:r>
        <w:rPr>
          <w:rFonts w:ascii="Arial" w:hAnsi="Arial"/>
          <w:i w:val="0"/>
          <w:color w:val="1E293B"/>
          <w:sz w:val="20"/>
        </w:rPr>
        <w:t>Cada condición de validación de negocio, cancelación de modal o conflicto de concurrencia se representó mediante compuertas de decisión BPMN con etiquetas que indican exactamente el número de paso destino.</w:t>
      </w:r>
    </w:p>
    <w:p>
      <w:pPr>
        <w:spacing w:before="40" w:after="100" w:line="276" w:lineRule="auto"/>
        <w:jc w:val="both"/>
      </w:pPr>
      <w:r>
        <w:rPr>
          <w:rFonts w:ascii="Arial" w:hAnsi="Arial"/>
          <w:b/>
          <w:color w:val="0F2942"/>
          <w:sz w:val="20"/>
        </w:rPr>
        <w:t xml:space="preserve">Fase 5 — Evaluación de Propiedades de Concurrencia, Deadlock y Giro de Vistas: </w:t>
      </w:r>
      <w:r>
        <w:rPr>
          <w:rFonts w:ascii="Arial" w:hAnsi="Arial"/>
          <w:i w:val="0"/>
          <w:color w:val="1E293B"/>
          <w:sz w:val="20"/>
        </w:rPr>
        <w:t>El Subgrupo de Vista de Procesos entregó el artefacto al Subgrupo de Vista Física para auditar la correspondencia de bloqueos (SELECT FOR UPDATE NOWAIT, Redis TTL 600s) y tiempos de respuesta (&lt; 1.5s / &lt; 3.0s).</w:t>
      </w:r>
    </w:p>
    <w:p>
      <w:pPr>
        <w:keepNext/>
        <w:spacing w:before="280" w:after="120"/>
      </w:pPr>
      <w:r>
        <w:rPr>
          <w:rFonts w:ascii="Arial" w:hAnsi="Arial"/>
          <w:b/>
          <w:color w:val="0F2942"/>
          <w:sz w:val="27"/>
        </w:rPr>
        <w:t>3. ACTAS DE TRABAJO</w:t>
      </w:r>
    </w:p>
    <w:p>
      <w:pPr>
        <w:spacing w:before="40" w:after="100" w:line="276" w:lineRule="auto"/>
        <w:jc w:val="both"/>
      </w:pPr>
      <w:r>
        <w:rPr>
          <w:rFonts w:ascii="Arial" w:hAnsi="Arial"/>
          <w:i w:val="0"/>
          <w:color w:val="1E293B"/>
          <w:sz w:val="20"/>
        </w:rPr>
        <w:t>En estricto cumplimiento de la dinámica metodológica dispuesta por la cátedra para el Hito 2, el equipo de RuwayLabs Perú se organizó en tres subgrupos especializados (Vista Lógica, Vista de Procesos y Vista Física) y ejecutó posteriormente el protocolo de rotación cruzada ('Giro de Vistas'), garantizando que los ocho integrantes auditen, retroalimenten y validen la coherencia integral de cada artefacto frente al Catálogo de Requisitos actualizado (v02.00).</w:t>
      </w:r>
    </w:p>
    <w:p>
      <w:pPr>
        <w:keepNext/>
        <w:spacing w:before="200" w:after="80"/>
      </w:pPr>
      <w:r>
        <w:rPr>
          <w:rFonts w:ascii="Arial" w:hAnsi="Arial"/>
          <w:b/>
          <w:color w:val="1E3A8A"/>
          <w:sz w:val="23"/>
        </w:rPr>
        <w:t>3.1. Acta de Trabajo N° 04-A: Diseño Inicial por Subgrupo Especializado</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05/10/2026   |   HORA: 21:00 - 23:30   |   LUGAR: Sesión Sincrónica Google Meet</w:t>
      </w:r>
    </w:p>
    <w:p>
      <w:pPr>
        <w:spacing w:before="40" w:after="100" w:line="276" w:lineRule="auto"/>
        <w:jc w:val="both"/>
      </w:pPr>
      <w:r>
        <w:rPr>
          <w:rFonts w:ascii="Arial" w:hAnsi="Arial"/>
          <w:b/>
          <w:color w:val="0F2942"/>
          <w:sz w:val="20"/>
        </w:rPr>
        <w:t xml:space="preserve">OBJETIVO Y ASIGNACIÓN DE SUBGRUPOS: </w:t>
      </w:r>
      <w:r>
        <w:rPr>
          <w:rFonts w:ascii="Arial" w:hAnsi="Arial"/>
          <w:i w:val="0"/>
          <w:color w:val="1E293B"/>
          <w:sz w:val="20"/>
        </w:rPr>
        <w:t>Designación del Subgrupo de Vista de Procesos (Payehuanca Riquelme Jhastyn y Arce Mayhua Leonardo) para modelar los diagramas de flujo/actividades BPMN 2.0 de las 3 ilaciones seleccionadas y rotar el entregable hacia el Subgrupo de Vista Física.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DE RUWAYLABS PERÚ</w:t>
            </w:r>
          </w:p>
        </w:tc>
        <w:tc>
          <w:tcPr>
            <w:tcW w:type="dxa" w:w="2160"/>
            <w:shd w:val="clear" w:color="auto" w:fill="0F2942"/>
          </w:tcPr>
          <w:p>
            <w:pPr>
              <w:spacing w:before="60" w:after="60"/>
              <w:jc w:val="center"/>
            </w:pPr>
            <w:r/>
            <w:r>
              <w:rPr>
                <w:rFonts w:ascii="Arial" w:hAnsi="Arial"/>
                <w:b/>
                <w:color w:val="FFFFFF"/>
                <w:sz w:val="18"/>
              </w:rPr>
              <w:t>SUBGRUPO INICIAL ASIGNADO (HITO 2)</w:t>
            </w:r>
          </w:p>
        </w:tc>
        <w:tc>
          <w:tcPr>
            <w:tcW w:type="dxa" w:w="2160"/>
            <w:shd w:val="clear" w:color="auto" w:fill="0F2942"/>
          </w:tcPr>
          <w:p>
            <w:pPr>
              <w:spacing w:before="60" w:after="60"/>
              <w:jc w:val="center"/>
            </w:pPr>
            <w:r/>
            <w:r>
              <w:rPr>
                <w:rFonts w:ascii="Arial" w:hAnsi="Arial"/>
                <w:b/>
                <w:color w:val="FFFFFF"/>
                <w:sz w:val="18"/>
              </w:rPr>
              <w:t>SUBGRUPO AUDITADO EN ROTACIÓN CRUZADA</w:t>
            </w:r>
          </w:p>
        </w:tc>
        <w:tc>
          <w:tcPr>
            <w:tcW w:type="dxa" w:w="1584"/>
            <w:shd w:val="clear" w:color="auto" w:fill="0F2942"/>
          </w:tcPr>
          <w:p>
            <w:pPr>
              <w:spacing w:before="60" w:after="60"/>
              <w:jc w:val="center"/>
            </w:pPr>
            <w:r/>
            <w:r>
              <w:rPr>
                <w:rFonts w:ascii="Arial" w:hAnsi="Arial"/>
                <w:b/>
                <w:color w:val="FFFFFF"/>
                <w:sz w:val="18"/>
              </w:rPr>
              <w:t>ASISTENCIA Y FIRMA CONFORME</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Marquez Herrera Marco Antonio (Jefe de Proyecto)</w:t>
            </w:r>
          </w:p>
        </w:tc>
        <w:tc>
          <w:tcPr>
            <w:tcW w:type="dxa" w:w="2160"/>
            <w:shd w:val="clear" w:color="auto" w:fill="FFFFFF"/>
          </w:tcPr>
          <w:p>
            <w:pPr>
              <w:spacing w:before="60" w:after="60"/>
              <w:jc w:val="left"/>
            </w:pPr>
            <w:r/>
            <w:r>
              <w:rPr>
                <w:rFonts w:ascii="Arial" w:hAnsi="Arial"/>
                <w:b w:val="0"/>
                <w:color w:val="1E293B"/>
                <w:sz w:val="17"/>
              </w:rPr>
              <w:t>Subgrupo Vista Física (Infraestructura y RNF)</w:t>
            </w:r>
          </w:p>
        </w:tc>
        <w:tc>
          <w:tcPr>
            <w:tcW w:type="dxa" w:w="2160"/>
            <w:shd w:val="clear" w:color="auto" w:fill="FFFFFF"/>
          </w:tcPr>
          <w:p>
            <w:pPr>
              <w:spacing w:before="60" w:after="60"/>
              <w:jc w:val="left"/>
            </w:pPr>
            <w:r/>
            <w:r>
              <w:rPr>
                <w:rFonts w:ascii="Arial" w:hAnsi="Arial"/>
                <w:b w:val="0"/>
                <w:color w:val="1E293B"/>
                <w:sz w:val="17"/>
              </w:rPr>
              <w:t>Auditoría de Vista Lógica (Educciones y UML)</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Venero Guevara Christian Henry</w:t>
            </w:r>
          </w:p>
        </w:tc>
        <w:tc>
          <w:tcPr>
            <w:tcW w:type="dxa" w:w="2160"/>
            <w:shd w:val="clear" w:color="auto" w:fill="F8FAFC"/>
          </w:tcPr>
          <w:p>
            <w:pPr>
              <w:spacing w:before="60" w:after="60"/>
              <w:jc w:val="left"/>
            </w:pPr>
            <w:r/>
            <w:r>
              <w:rPr>
                <w:rFonts w:ascii="Arial" w:hAnsi="Arial"/>
                <w:b w:val="0"/>
                <w:color w:val="1E293B"/>
                <w:sz w:val="17"/>
              </w:rPr>
              <w:t>Subgrupo Vista Física (Hardware, SO y Red)</w:t>
            </w:r>
          </w:p>
        </w:tc>
        <w:tc>
          <w:tcPr>
            <w:tcW w:type="dxa" w:w="2160"/>
            <w:shd w:val="clear" w:color="auto" w:fill="F8FAFC"/>
          </w:tcPr>
          <w:p>
            <w:pPr>
              <w:spacing w:before="60" w:after="60"/>
              <w:jc w:val="left"/>
            </w:pPr>
            <w:r/>
            <w:r>
              <w:rPr>
                <w:rFonts w:ascii="Arial" w:hAnsi="Arial"/>
                <w:b w:val="0"/>
                <w:color w:val="1E293B"/>
                <w:sz w:val="17"/>
              </w:rPr>
              <w:t>Auditoría de Vista Lógica (Mapeo TB_*)</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Huamani Condori Jeanpiero Sixto</w:t>
            </w:r>
          </w:p>
        </w:tc>
        <w:tc>
          <w:tcPr>
            <w:tcW w:type="dxa" w:w="2160"/>
            <w:shd w:val="clear" w:color="auto" w:fill="FFFFFF"/>
          </w:tcPr>
          <w:p>
            <w:pPr>
              <w:spacing w:before="60" w:after="60"/>
              <w:jc w:val="left"/>
            </w:pPr>
            <w:r/>
            <w:r>
              <w:rPr>
                <w:rFonts w:ascii="Arial" w:hAnsi="Arial"/>
                <w:b w:val="0"/>
                <w:color w:val="1E293B"/>
                <w:sz w:val="17"/>
              </w:rPr>
              <w:t>Subgrupo Vista Física (Servidores y Puertos)</w:t>
            </w:r>
          </w:p>
        </w:tc>
        <w:tc>
          <w:tcPr>
            <w:tcW w:type="dxa" w:w="2160"/>
            <w:shd w:val="clear" w:color="auto" w:fill="FFFFFF"/>
          </w:tcPr>
          <w:p>
            <w:pPr>
              <w:spacing w:before="60" w:after="60"/>
              <w:jc w:val="left"/>
            </w:pPr>
            <w:r/>
            <w:r>
              <w:rPr>
                <w:rFonts w:ascii="Arial" w:hAnsi="Arial"/>
                <w:b w:val="0"/>
                <w:color w:val="1E293B"/>
                <w:sz w:val="17"/>
              </w:rPr>
              <w:t>Auditoría de Vista Lógica (Estereotipos MVC)</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Alfonso Huacasi Alejandro Sebastián</w:t>
            </w:r>
          </w:p>
        </w:tc>
        <w:tc>
          <w:tcPr>
            <w:tcW w:type="dxa" w:w="2160"/>
            <w:shd w:val="clear" w:color="auto" w:fill="F8FAFC"/>
          </w:tcPr>
          <w:p>
            <w:pPr>
              <w:spacing w:before="60" w:after="60"/>
              <w:jc w:val="left"/>
            </w:pPr>
            <w:r/>
            <w:r>
              <w:rPr>
                <w:rFonts w:ascii="Arial" w:hAnsi="Arial"/>
                <w:b w:val="0"/>
                <w:color w:val="1E293B"/>
                <w:sz w:val="17"/>
              </w:rPr>
              <w:t>Subgrupo Vista Lógica (Paquetes y Educciones)</w:t>
            </w:r>
          </w:p>
        </w:tc>
        <w:tc>
          <w:tcPr>
            <w:tcW w:type="dxa" w:w="2160"/>
            <w:shd w:val="clear" w:color="auto" w:fill="F8FAFC"/>
          </w:tcPr>
          <w:p>
            <w:pPr>
              <w:spacing w:before="60" w:after="60"/>
              <w:jc w:val="left"/>
            </w:pPr>
            <w:r/>
            <w:r>
              <w:rPr>
                <w:rFonts w:ascii="Arial" w:hAnsi="Arial"/>
                <w:b w:val="0"/>
                <w:color w:val="1E293B"/>
                <w:sz w:val="17"/>
              </w:rPr>
              <w:t>Auditoría de Vista de Procesos (Bonita BPM)</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2160"/>
            <w:shd w:val="clear" w:color="auto" w:fill="FFFFFF"/>
          </w:tcPr>
          <w:p>
            <w:pPr>
              <w:spacing w:before="60" w:after="60"/>
              <w:jc w:val="left"/>
            </w:pPr>
            <w:r/>
            <w:r>
              <w:rPr>
                <w:rFonts w:ascii="Arial" w:hAnsi="Arial"/>
                <w:b w:val="0"/>
                <w:color w:val="1E293B"/>
                <w:sz w:val="17"/>
              </w:rPr>
              <w:t>Subgrupo Vista Lógica (Clases UML y Relaciones)</w:t>
            </w:r>
          </w:p>
        </w:tc>
        <w:tc>
          <w:tcPr>
            <w:tcW w:type="dxa" w:w="2160"/>
            <w:shd w:val="clear" w:color="auto" w:fill="FFFFFF"/>
          </w:tcPr>
          <w:p>
            <w:pPr>
              <w:spacing w:before="60" w:after="60"/>
              <w:jc w:val="left"/>
            </w:pPr>
            <w:r/>
            <w:r>
              <w:rPr>
                <w:rFonts w:ascii="Arial" w:hAnsi="Arial"/>
                <w:b w:val="0"/>
                <w:color w:val="1E293B"/>
                <w:sz w:val="17"/>
              </w:rPr>
              <w:t>Auditoría de Vista de Procesos (Saltos ILA)</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Gallegos Condori Anette Isabel</w:t>
            </w:r>
          </w:p>
        </w:tc>
        <w:tc>
          <w:tcPr>
            <w:tcW w:type="dxa" w:w="2160"/>
            <w:shd w:val="clear" w:color="auto" w:fill="F8FAFC"/>
          </w:tcPr>
          <w:p>
            <w:pPr>
              <w:spacing w:before="60" w:after="60"/>
              <w:jc w:val="left"/>
            </w:pPr>
            <w:r/>
            <w:r>
              <w:rPr>
                <w:rFonts w:ascii="Arial" w:hAnsi="Arial"/>
                <w:b w:val="0"/>
                <w:color w:val="1E293B"/>
                <w:sz w:val="17"/>
              </w:rPr>
              <w:t>Subgrupo Vista Lógica (Trazabilidad Funcional)</w:t>
            </w:r>
          </w:p>
        </w:tc>
        <w:tc>
          <w:tcPr>
            <w:tcW w:type="dxa" w:w="2160"/>
            <w:shd w:val="clear" w:color="auto" w:fill="F8FAFC"/>
          </w:tcPr>
          <w:p>
            <w:pPr>
              <w:spacing w:before="60" w:after="60"/>
              <w:jc w:val="left"/>
            </w:pPr>
            <w:r/>
            <w:r>
              <w:rPr>
                <w:rFonts w:ascii="Arial" w:hAnsi="Arial"/>
                <w:b w:val="0"/>
                <w:color w:val="1E293B"/>
                <w:sz w:val="17"/>
              </w:rPr>
              <w:t>Auditoría de Vista de Procesos (Concurrencia)</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Payehuanca Riquelme Jhastyn Jefferson</w:t>
            </w:r>
          </w:p>
        </w:tc>
        <w:tc>
          <w:tcPr>
            <w:tcW w:type="dxa" w:w="2160"/>
            <w:shd w:val="clear" w:color="auto" w:fill="FFFFFF"/>
          </w:tcPr>
          <w:p>
            <w:pPr>
              <w:spacing w:before="60" w:after="60"/>
              <w:jc w:val="left"/>
            </w:pPr>
            <w:r/>
            <w:r>
              <w:rPr>
                <w:rFonts w:ascii="Arial" w:hAnsi="Arial"/>
                <w:b w:val="0"/>
                <w:color w:val="1E293B"/>
                <w:sz w:val="17"/>
              </w:rPr>
              <w:t>Subgrupo Vista de Procesos (Flujos BPMN 2.0)</w:t>
            </w:r>
          </w:p>
        </w:tc>
        <w:tc>
          <w:tcPr>
            <w:tcW w:type="dxa" w:w="2160"/>
            <w:shd w:val="clear" w:color="auto" w:fill="FFFFFF"/>
          </w:tcPr>
          <w:p>
            <w:pPr>
              <w:spacing w:before="60" w:after="60"/>
              <w:jc w:val="left"/>
            </w:pPr>
            <w:r/>
            <w:r>
              <w:rPr>
                <w:rFonts w:ascii="Arial" w:hAnsi="Arial"/>
                <w:b w:val="0"/>
                <w:color w:val="1E293B"/>
                <w:sz w:val="17"/>
              </w:rPr>
              <w:t>Auditoría de Vista Física (Despliegue y RNF)</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8</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2160"/>
            <w:shd w:val="clear" w:color="auto" w:fill="F8FAFC"/>
          </w:tcPr>
          <w:p>
            <w:pPr>
              <w:spacing w:before="60" w:after="60"/>
              <w:jc w:val="left"/>
            </w:pPr>
            <w:r/>
            <w:r>
              <w:rPr>
                <w:rFonts w:ascii="Arial" w:hAnsi="Arial"/>
                <w:b w:val="0"/>
                <w:color w:val="1E293B"/>
                <w:sz w:val="17"/>
              </w:rPr>
              <w:t>Subgrupo Vista de Procesos (Ilaciones y Bonita)</w:t>
            </w:r>
          </w:p>
        </w:tc>
        <w:tc>
          <w:tcPr>
            <w:tcW w:type="dxa" w:w="2160"/>
            <w:shd w:val="clear" w:color="auto" w:fill="F8FAFC"/>
          </w:tcPr>
          <w:p>
            <w:pPr>
              <w:spacing w:before="60" w:after="60"/>
              <w:jc w:val="left"/>
            </w:pPr>
            <w:r/>
            <w:r>
              <w:rPr>
                <w:rFonts w:ascii="Arial" w:hAnsi="Arial"/>
                <w:b w:val="0"/>
                <w:color w:val="1E293B"/>
                <w:sz w:val="17"/>
              </w:rPr>
              <w:t>Auditoría de Vista Física (Clientes y Móviles)</w:t>
            </w:r>
          </w:p>
        </w:tc>
        <w:tc>
          <w:tcPr>
            <w:tcW w:type="dxa" w:w="1584"/>
            <w:shd w:val="clear" w:color="auto" w:fill="F8FAFC"/>
          </w:tcPr>
          <w:p>
            <w:pPr>
              <w:spacing w:before="60" w:after="60"/>
              <w:jc w:val="left"/>
            </w:pPr>
            <w:r/>
            <w:r>
              <w:rPr>
                <w:rFonts w:ascii="Arial" w:hAnsi="Arial"/>
                <w:b w:val="0"/>
                <w:color w:val="1E293B"/>
                <w:sz w:val="17"/>
              </w:rPr>
              <w:t>PRESENTE — Conforme</w:t>
            </w:r>
          </w:p>
        </w:tc>
      </w:tr>
    </w:tbl>
    <w:p>
      <w:pPr>
        <w:spacing w:after="120"/>
      </w:pPr>
    </w:p>
    <w:p>
      <w:pPr>
        <w:keepNext/>
        <w:spacing w:before="200" w:after="80"/>
      </w:pPr>
      <w:r>
        <w:rPr>
          <w:rFonts w:ascii="Arial" w:hAnsi="Arial"/>
          <w:b/>
          <w:color w:val="1E3A8A"/>
          <w:sz w:val="23"/>
        </w:rPr>
        <w:t>3.2. Acta de Trabajo N° 04-B: Rotación Cruzada ('Giro de Vistas') y Retroalimentación Colegiada</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12/10/2026   |   HORA: 20:30 - 23:15   |   LUGAR: Sesión Sincrónica Google Meet</w:t>
      </w:r>
    </w:p>
    <w:p>
      <w:pPr>
        <w:spacing w:before="40" w:after="100" w:line="276" w:lineRule="auto"/>
        <w:jc w:val="both"/>
      </w:pPr>
      <w:r>
        <w:rPr>
          <w:rFonts w:ascii="Arial" w:hAnsi="Arial"/>
          <w:i w:val="0"/>
          <w:color w:val="1E293B"/>
          <w:sz w:val="20"/>
        </w:rPr>
        <w:t>Concluida la primera versión de cada vista, se ejecutó la rotación obligatoria dispuesta por el docente: el Subgrupo de Vista de Procesos entregó su artefacto al Subgrupo de Vista Física; el Subgrupo de Vista Física rotó su diagrama al Subgrupo de Vista Lógica; y el Subgrupo de Vista Lógica transfirió su modelo al Subgrupo de Vista de Procesos. Los acuerdos y observaciones levantados en la rotación se detallan a continuación: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52"/>
        <w:gridCol w:w="4252"/>
      </w:tblGrid>
      <w:tr>
        <w:tc>
          <w:tcPr>
            <w:tcW w:type="dxa" w:w="2592"/>
            <w:shd w:val="clear" w:color="auto" w:fill="0F2942"/>
          </w:tcPr>
          <w:p>
            <w:pPr>
              <w:spacing w:before="60" w:after="60"/>
              <w:jc w:val="center"/>
            </w:pPr>
            <w:r/>
            <w:r>
              <w:rPr>
                <w:rFonts w:ascii="Arial" w:hAnsi="Arial"/>
                <w:b/>
                <w:color w:val="FFFFFF"/>
                <w:sz w:val="18"/>
              </w:rPr>
              <w:t>ÍTEM / FASE DE ROTACIÓN</w:t>
            </w:r>
          </w:p>
        </w:tc>
        <w:tc>
          <w:tcPr>
            <w:tcW w:type="dxa" w:w="6480"/>
            <w:shd w:val="clear" w:color="auto" w:fill="0F2942"/>
          </w:tcPr>
          <w:p>
            <w:pPr>
              <w:spacing w:before="60" w:after="60"/>
              <w:jc w:val="center"/>
            </w:pPr>
            <w:r/>
            <w:r>
              <w:rPr>
                <w:rFonts w:ascii="Arial" w:hAnsi="Arial"/>
                <w:b/>
                <w:color w:val="FFFFFF"/>
                <w:sz w:val="18"/>
              </w:rPr>
              <w:t>OBSERVACIÓN DETECTADA POR EL EQUIPO REVISOR Y ACUERDO EJECUTADO</w:t>
            </w:r>
          </w:p>
        </w:tc>
      </w:tr>
      <w:tr>
        <w:tc>
          <w:tcPr>
            <w:tcW w:type="dxa" w:w="2592"/>
            <w:shd w:val="clear" w:color="auto" w:fill="FFFFFF"/>
          </w:tcPr>
          <w:p>
            <w:pPr>
              <w:spacing w:before="60" w:after="60"/>
              <w:jc w:val="left"/>
            </w:pPr>
            <w:r/>
            <w:r>
              <w:rPr>
                <w:rFonts w:ascii="Arial" w:hAnsi="Arial"/>
                <w:b w:val="0"/>
                <w:color w:val="1E293B"/>
                <w:sz w:val="17"/>
              </w:rPr>
              <w:t>Rotación 1: Subgrupo Vista de Procesos → Subgrupo Vista Física</w:t>
            </w:r>
          </w:p>
        </w:tc>
        <w:tc>
          <w:tcPr>
            <w:tcW w:type="dxa" w:w="6480"/>
            <w:shd w:val="clear" w:color="auto" w:fill="FFFFFF"/>
          </w:tcPr>
          <w:p>
            <w:pPr>
              <w:spacing w:before="60" w:after="60"/>
              <w:jc w:val="left"/>
            </w:pPr>
            <w:r/>
            <w:r>
              <w:rPr>
                <w:rFonts w:ascii="Arial" w:hAnsi="Arial"/>
                <w:b w:val="0"/>
                <w:color w:val="1E293B"/>
                <w:sz w:val="17"/>
              </w:rPr>
              <w:t>Tal como indicó literalmente el docente en clase ('El que tiene la vista del proceso, le envía su vista del proceso al grupo que tiene la vista física'), el equipo de Vista Física auditó los 3 diagramas de procesos confirmando que Bonita BPM v2024.1 esté registrado en RNF-0021 y que los bloqueos Redis/PostgreSQL coincidan con los nodos físicos.</w:t>
            </w:r>
          </w:p>
        </w:tc>
      </w:tr>
      <w:tr>
        <w:tc>
          <w:tcPr>
            <w:tcW w:type="dxa" w:w="2592"/>
            <w:shd w:val="clear" w:color="auto" w:fill="F8FAFC"/>
          </w:tcPr>
          <w:p>
            <w:pPr>
              <w:spacing w:before="60" w:after="60"/>
              <w:jc w:val="left"/>
            </w:pPr>
            <w:r/>
            <w:r>
              <w:rPr>
                <w:rFonts w:ascii="Arial" w:hAnsi="Arial"/>
                <w:b w:val="0"/>
                <w:color w:val="1E293B"/>
                <w:sz w:val="17"/>
              </w:rPr>
              <w:t>Rotación 2: Subgrupo Vista Lógica → Subgrupo Vista de Procesos</w:t>
            </w:r>
          </w:p>
        </w:tc>
        <w:tc>
          <w:tcPr>
            <w:tcW w:type="dxa" w:w="6480"/>
            <w:shd w:val="clear" w:color="auto" w:fill="F8FAFC"/>
          </w:tcPr>
          <w:p>
            <w:pPr>
              <w:spacing w:before="60" w:after="60"/>
              <w:jc w:val="left"/>
            </w:pPr>
            <w:r/>
            <w:r>
              <w:rPr>
                <w:rFonts w:ascii="Arial" w:hAnsi="Arial"/>
                <w:b w:val="0"/>
                <w:color w:val="1E293B"/>
                <w:sz w:val="17"/>
              </w:rPr>
              <w:t>Al recibir la Vista Lógica, se verificó que las operaciones crearCitaMedica() [ILA-0017], registrarPreTriaje() [ILA-0062] y emitirComprobante() [ILA-0106] operen exactamente sobre las tablas TB_CITAS, TB_HORARIOS, TB_PRETRIAJE_CLINICO y TB_COMPROBANTES.</w:t>
            </w:r>
          </w:p>
        </w:tc>
      </w:tr>
      <w:tr>
        <w:tc>
          <w:tcPr>
            <w:tcW w:type="dxa" w:w="2592"/>
            <w:shd w:val="clear" w:color="auto" w:fill="FFFFFF"/>
          </w:tcPr>
          <w:p>
            <w:pPr>
              <w:spacing w:before="60" w:after="60"/>
              <w:jc w:val="left"/>
            </w:pPr>
            <w:r/>
            <w:r>
              <w:rPr>
                <w:rFonts w:ascii="Arial" w:hAnsi="Arial"/>
                <w:b w:val="0"/>
                <w:color w:val="1E293B"/>
                <w:sz w:val="17"/>
              </w:rPr>
              <w:t>Rotación 3: Contraste paso a paso con Artefacto_Ilación_v02.00.docx</w:t>
            </w:r>
          </w:p>
        </w:tc>
        <w:tc>
          <w:tcPr>
            <w:tcW w:type="dxa" w:w="6480"/>
            <w:shd w:val="clear" w:color="auto" w:fill="FFFFFF"/>
          </w:tcPr>
          <w:p>
            <w:pPr>
              <w:spacing w:before="60" w:after="60"/>
              <w:jc w:val="left"/>
            </w:pPr>
            <w:r/>
            <w:r>
              <w:rPr>
                <w:rFonts w:ascii="Arial" w:hAnsi="Arial"/>
                <w:b w:val="0"/>
                <w:color w:val="1E293B"/>
                <w:sz w:val="17"/>
              </w:rPr>
              <w:t>Se auditó que los 11 pasos de ILA-0017, los 10 pasos de ILA-0062 y los 11 pasos de ILA-0106 en los diagramas BPMN coincidan palabra por palabra y número por número con el Catálogo Actualizado.</w:t>
            </w:r>
          </w:p>
        </w:tc>
      </w:tr>
    </w:tbl>
    <w:p>
      <w:pPr>
        <w:spacing w:after="120"/>
      </w:pPr>
    </w:p>
    <w:p>
      <w:pPr>
        <w:keepNext/>
        <w:spacing w:before="280" w:after="120"/>
      </w:pPr>
      <w:r>
        <w:rPr>
          <w:rFonts w:ascii="Arial" w:hAnsi="Arial"/>
          <w:b/>
          <w:color w:val="0F2942"/>
          <w:sz w:val="27"/>
        </w:rPr>
        <w:t>4. TABLA RESUMEN DE LAS CALIFICACIONES DE LOS ESTUDIANTES</w:t>
      </w:r>
    </w:p>
    <w:p>
      <w:pPr>
        <w:spacing w:before="40" w:after="100" w:line="276" w:lineRule="auto"/>
        <w:jc w:val="both"/>
      </w:pPr>
      <w:r>
        <w:rPr>
          <w:rFonts w:ascii="Arial" w:hAnsi="Arial"/>
          <w:i w:val="0"/>
          <w:color w:val="1E293B"/>
          <w:sz w:val="20"/>
        </w:rPr>
        <w:t>A continuación, se presenta la matriz de evaluación del desempeño individual de los integrantes del equipo RuwayLabs Perú, calificada por el Jefe de Proyecto considerando tanto la elaboración en su subgrupo primario como la rigurosidad de sus aportes durante el giro cruzado de vistas: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17"/>
        <w:gridCol w:w="1417"/>
        <w:gridCol w:w="1417"/>
        <w:gridCol w:w="1417"/>
        <w:gridCol w:w="1417"/>
        <w:gridCol w:w="1417"/>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EVALUADO</w:t>
            </w:r>
          </w:p>
        </w:tc>
        <w:tc>
          <w:tcPr>
            <w:tcW w:type="dxa" w:w="1152"/>
            <w:shd w:val="clear" w:color="auto" w:fill="0F2942"/>
          </w:tcPr>
          <w:p>
            <w:pPr>
              <w:spacing w:before="60" w:after="60"/>
              <w:jc w:val="center"/>
            </w:pPr>
            <w:r/>
            <w:r>
              <w:rPr>
                <w:rFonts w:ascii="Arial" w:hAnsi="Arial"/>
                <w:b/>
                <w:color w:val="FFFFFF"/>
                <w:sz w:val="18"/>
              </w:rPr>
              <w:t>ASISTENCIA</w:t>
            </w:r>
          </w:p>
        </w:tc>
        <w:tc>
          <w:tcPr>
            <w:tcW w:type="dxa" w:w="1152"/>
            <w:shd w:val="clear" w:color="auto" w:fill="0F2942"/>
          </w:tcPr>
          <w:p>
            <w:pPr>
              <w:spacing w:before="60" w:after="60"/>
              <w:jc w:val="center"/>
            </w:pPr>
            <w:r/>
            <w:r>
              <w:rPr>
                <w:rFonts w:ascii="Arial" w:hAnsi="Arial"/>
                <w:b/>
                <w:color w:val="FFFFFF"/>
                <w:sz w:val="18"/>
              </w:rPr>
              <w:t>PUNTUALIDAD</w:t>
            </w:r>
          </w:p>
        </w:tc>
        <w:tc>
          <w:tcPr>
            <w:tcW w:type="dxa" w:w="2880"/>
            <w:shd w:val="clear" w:color="auto" w:fill="0F2942"/>
          </w:tcPr>
          <w:p>
            <w:pPr>
              <w:spacing w:before="60" w:after="60"/>
              <w:jc w:val="center"/>
            </w:pPr>
            <w:r/>
            <w:r>
              <w:rPr>
                <w:rFonts w:ascii="Arial" w:hAnsi="Arial"/>
                <w:b/>
                <w:color w:val="FFFFFF"/>
                <w:sz w:val="18"/>
              </w:rPr>
              <w:t>APORTE EN SUBGRUPO Y ROTACIÓN CRUZADA</w:t>
            </w:r>
          </w:p>
        </w:tc>
        <w:tc>
          <w:tcPr>
            <w:tcW w:type="dxa" w:w="864"/>
            <w:shd w:val="clear" w:color="auto" w:fill="0F2942"/>
          </w:tcPr>
          <w:p>
            <w:pPr>
              <w:spacing w:before="60" w:after="60"/>
              <w:jc w:val="center"/>
            </w:pPr>
            <w:r/>
            <w:r>
              <w:rPr>
                <w:rFonts w:ascii="Arial" w:hAnsi="Arial"/>
                <w:b/>
                <w:color w:val="FFFFFF"/>
                <w:sz w:val="18"/>
              </w:rPr>
              <w:t>NOTA FINAL</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Alfonso Huacasi Alejandro Sebastián</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Excelente modelado de paquetes funcionales (EDU-0008..0038) y revisión de procesos BPMN.</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Payehuanca Riquelme Jhastyn Jefferson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Rigor sobresaliente en la diagramación de flujos BPMN 2.0 y auditoría de puertos en Vista Física.</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Definición precisa de clases UML 2.5, multiplicidades y verificación de saltos condicionales en Ilaciones.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Modelado exhaustivo de compuertas de concurrencia y validación de especificaciones de hardware cliente/móvil.</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Gallegos Condori Anette Isabel</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Sincronización impecable del Catálogo Actualizado v02.00 (108 Ilaciones y 25 RNF) sin errores.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Huamani Condori Jeanpiero Sixto</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Especificación detallada de contenedores, subredes VPC, PostgreSQL 16 (Vitalis_BD) y protocolos TLS 1.3.</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Venero Guevara Christian Henry</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Fundamentación académica del Estado del Arte en formato IEEE y análisis de memoria virtual del SO.</w:t>
            </w:r>
          </w:p>
        </w:tc>
        <w:tc>
          <w:tcPr>
            <w:tcW w:type="dxa" w:w="864"/>
            <w:shd w:val="clear" w:color="auto" w:fill="FFFFFF"/>
          </w:tcPr>
          <w:p>
            <w:pPr>
              <w:spacing w:before="60" w:after="60"/>
              <w:jc w:val="left"/>
            </w:pPr>
            <w:r/>
            <w:r>
              <w:rPr>
                <w:rFonts w:ascii="Arial" w:hAnsi="Arial"/>
                <w:b w:val="0"/>
                <w:color w:val="1E293B"/>
                <w:sz w:val="17"/>
              </w:rPr>
              <w:t>20</w:t>
            </w:r>
          </w:p>
        </w:tc>
      </w:tr>
    </w:tbl>
    <w:p>
      <w:pPr>
        <w:spacing w:after="120"/>
      </w:pPr>
    </w:p>
    <w:p>
      <w:pPr>
        <w:spacing w:before="40" w:after="100" w:line="276" w:lineRule="auto"/>
        <w:jc w:val="right"/>
      </w:pPr>
      <w:r>
        <w:rPr>
          <w:rFonts w:ascii="Arial" w:hAnsi="Arial"/>
          <w:b/>
          <w:color w:val="0F2942"/>
          <w:sz w:val="20"/>
        </w:rPr>
        <w:t xml:space="preserve">FIRMA DE CONFORMIDAD: </w:t>
      </w:r>
      <w:r>
        <w:rPr>
          <w:rFonts w:ascii="Arial" w:hAnsi="Arial"/>
          <w:i w:val="0"/>
          <w:color w:val="1E293B"/>
          <w:sz w:val="20"/>
        </w:rPr>
        <w:t>V°B° Marco Antonio Marquez Herrera — Jefe de Proyecto (RuwayLabs Perú)</w:t>
      </w:r>
    </w:p>
    <w:p>
      <w:pPr>
        <w:keepNext/>
        <w:spacing w:before="280" w:after="120"/>
      </w:pPr>
      <w:r>
        <w:rPr>
          <w:rFonts w:ascii="Arial" w:hAnsi="Arial"/>
          <w:b/>
          <w:color w:val="0F2942"/>
          <w:sz w:val="27"/>
        </w:rPr>
        <w:t>5. TABLA RESUMEN DE LA CALIFICACIÓN OBTENIDA POR EL JEFE DE PROYECTO</w:t>
      </w:r>
    </w:p>
    <w:p>
      <w:pPr>
        <w:spacing w:before="40" w:after="100" w:line="276" w:lineRule="auto"/>
        <w:jc w:val="both"/>
      </w:pPr>
      <w:r>
        <w:rPr>
          <w:rFonts w:ascii="Arial" w:hAnsi="Arial"/>
          <w:i w:val="0"/>
          <w:color w:val="1E293B"/>
          <w:sz w:val="20"/>
        </w:rPr>
        <w:t>Se consigna la evaluación colegiada otorgada por los siete integrantes del equipo hacia la gestión, coordinación de subgrupos y dirección técnica del Jefe de Proyecto, Marco Antonio Marquez Herrera, durante el desarrollo del Hito 2:</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15"/>
        <w:gridCol w:w="1215"/>
        <w:gridCol w:w="1215"/>
        <w:gridCol w:w="1215"/>
        <w:gridCol w:w="1215"/>
        <w:gridCol w:w="1215"/>
        <w:gridCol w:w="1215"/>
      </w:tblGrid>
      <w:tr>
        <w:tc>
          <w:tcPr>
            <w:tcW w:type="dxa" w:w="504"/>
            <w:shd w:val="clear" w:color="auto" w:fill="0F2942"/>
          </w:tcPr>
          <w:p>
            <w:pPr>
              <w:spacing w:before="60" w:after="60"/>
              <w:jc w:val="center"/>
            </w:pPr>
            <w:r/>
            <w:r>
              <w:rPr>
                <w:rFonts w:ascii="Arial" w:hAnsi="Arial"/>
                <w:b/>
                <w:color w:val="FFFFFF"/>
                <w:sz w:val="18"/>
              </w:rPr>
              <w:t>N°</w:t>
            </w:r>
          </w:p>
        </w:tc>
        <w:tc>
          <w:tcPr>
            <w:tcW w:type="dxa" w:w="2232"/>
            <w:shd w:val="clear" w:color="auto" w:fill="0F2942"/>
          </w:tcPr>
          <w:p>
            <w:pPr>
              <w:spacing w:before="60" w:after="60"/>
              <w:jc w:val="center"/>
            </w:pPr>
            <w:r/>
            <w:r>
              <w:rPr>
                <w:rFonts w:ascii="Arial" w:hAnsi="Arial"/>
                <w:b/>
                <w:color w:val="FFFFFF"/>
                <w:sz w:val="18"/>
              </w:rPr>
              <w:t>INTEGRANTE EVALUADOR</w:t>
            </w:r>
          </w:p>
        </w:tc>
        <w:tc>
          <w:tcPr>
            <w:tcW w:type="dxa" w:w="936"/>
            <w:shd w:val="clear" w:color="auto" w:fill="0F2942"/>
          </w:tcPr>
          <w:p>
            <w:pPr>
              <w:spacing w:before="60" w:after="60"/>
              <w:jc w:val="center"/>
            </w:pPr>
            <w:r/>
            <w:r>
              <w:rPr>
                <w:rFonts w:ascii="Arial" w:hAnsi="Arial"/>
                <w:b/>
                <w:color w:val="FFFFFF"/>
                <w:sz w:val="18"/>
              </w:rPr>
              <w:t>LIDERAZGO</w:t>
            </w:r>
          </w:p>
        </w:tc>
        <w:tc>
          <w:tcPr>
            <w:tcW w:type="dxa" w:w="936"/>
            <w:shd w:val="clear" w:color="auto" w:fill="0F2942"/>
          </w:tcPr>
          <w:p>
            <w:pPr>
              <w:spacing w:before="60" w:after="60"/>
              <w:jc w:val="center"/>
            </w:pPr>
            <w:r/>
            <w:r>
              <w:rPr>
                <w:rFonts w:ascii="Arial" w:hAnsi="Arial"/>
                <w:b/>
                <w:color w:val="FFFFFF"/>
                <w:sz w:val="18"/>
              </w:rPr>
              <w:t>ORGANIZ.</w:t>
            </w:r>
          </w:p>
        </w:tc>
        <w:tc>
          <w:tcPr>
            <w:tcW w:type="dxa" w:w="936"/>
            <w:shd w:val="clear" w:color="auto" w:fill="0F2942"/>
          </w:tcPr>
          <w:p>
            <w:pPr>
              <w:spacing w:before="60" w:after="60"/>
              <w:jc w:val="center"/>
            </w:pPr>
            <w:r/>
            <w:r>
              <w:rPr>
                <w:rFonts w:ascii="Arial" w:hAnsi="Arial"/>
                <w:b/>
                <w:color w:val="FFFFFF"/>
                <w:sz w:val="18"/>
              </w:rPr>
              <w:t>COMUNIC.</w:t>
            </w:r>
          </w:p>
        </w:tc>
        <w:tc>
          <w:tcPr>
            <w:tcW w:type="dxa" w:w="1080"/>
            <w:shd w:val="clear" w:color="auto" w:fill="0F2942"/>
          </w:tcPr>
          <w:p>
            <w:pPr>
              <w:spacing w:before="60" w:after="60"/>
              <w:jc w:val="center"/>
            </w:pPr>
            <w:r/>
            <w:r>
              <w:rPr>
                <w:rFonts w:ascii="Arial" w:hAnsi="Arial"/>
                <w:b/>
                <w:color w:val="FFFFFF"/>
                <w:sz w:val="18"/>
              </w:rPr>
              <w:t>RESOLUCIÓN</w:t>
            </w:r>
          </w:p>
        </w:tc>
        <w:tc>
          <w:tcPr>
            <w:tcW w:type="dxa" w:w="2592"/>
            <w:shd w:val="clear" w:color="auto" w:fill="0F2942"/>
          </w:tcPr>
          <w:p>
            <w:pPr>
              <w:spacing w:before="60" w:after="60"/>
              <w:jc w:val="center"/>
            </w:pPr>
            <w:r/>
            <w:r>
              <w:rPr>
                <w:rFonts w:ascii="Arial" w:hAnsi="Arial"/>
                <w:b/>
                <w:color w:val="FFFFFF"/>
                <w:sz w:val="18"/>
              </w:rPr>
              <w:t>NOTA Y APRECIACIÓN TÉCNICA</w:t>
            </w:r>
          </w:p>
        </w:tc>
      </w:tr>
      <w:tr>
        <w:tc>
          <w:tcPr>
            <w:tcW w:type="dxa" w:w="504"/>
            <w:shd w:val="clear" w:color="auto" w:fill="FFFFFF"/>
          </w:tcPr>
          <w:p>
            <w:pPr>
              <w:spacing w:before="60" w:after="60"/>
              <w:jc w:val="center"/>
            </w:pPr>
            <w:r/>
            <w:r>
              <w:rPr>
                <w:rFonts w:ascii="Arial" w:hAnsi="Arial"/>
                <w:b/>
                <w:color w:val="0F2942"/>
                <w:sz w:val="17"/>
              </w:rPr>
              <w:t>1</w:t>
            </w:r>
          </w:p>
        </w:tc>
        <w:tc>
          <w:tcPr>
            <w:tcW w:type="dxa" w:w="2232"/>
            <w:shd w:val="clear" w:color="auto" w:fill="FFFFFF"/>
          </w:tcPr>
          <w:p>
            <w:pPr>
              <w:spacing w:before="60" w:after="60"/>
              <w:jc w:val="left"/>
            </w:pPr>
            <w:r/>
            <w:r>
              <w:rPr>
                <w:rFonts w:ascii="Arial" w:hAnsi="Arial"/>
                <w:b w:val="0"/>
                <w:color w:val="1E293B"/>
                <w:sz w:val="17"/>
              </w:rPr>
              <w:t>Alfonso Huacasi Alejandro</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Dirección clara en la separación estricta entre requisitos funcionales (Vista Lógica) y RNF (Vista Física).</w:t>
            </w:r>
          </w:p>
        </w:tc>
      </w:tr>
      <w:tr>
        <w:tc>
          <w:tcPr>
            <w:tcW w:type="dxa" w:w="504"/>
            <w:shd w:val="clear" w:color="auto" w:fill="F8FAFC"/>
          </w:tcPr>
          <w:p>
            <w:pPr>
              <w:spacing w:before="60" w:after="60"/>
              <w:jc w:val="center"/>
            </w:pPr>
            <w:r/>
            <w:r>
              <w:rPr>
                <w:rFonts w:ascii="Arial" w:hAnsi="Arial"/>
                <w:b/>
                <w:color w:val="0F2942"/>
                <w:sz w:val="17"/>
              </w:rPr>
              <w:t>2</w:t>
            </w:r>
          </w:p>
        </w:tc>
        <w:tc>
          <w:tcPr>
            <w:tcW w:type="dxa" w:w="2232"/>
            <w:shd w:val="clear" w:color="auto" w:fill="F8FAFC"/>
          </w:tcPr>
          <w:p>
            <w:pPr>
              <w:spacing w:before="60" w:after="60"/>
              <w:jc w:val="left"/>
            </w:pPr>
            <w:r/>
            <w:r>
              <w:rPr>
                <w:rFonts w:ascii="Arial" w:hAnsi="Arial"/>
                <w:b w:val="0"/>
                <w:color w:val="1E293B"/>
                <w:sz w:val="17"/>
              </w:rPr>
              <w:t>Payehuanca Riquelme Jhastyn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Excelente organización del giro cruzado de vistas entre los tres subgrupos de trabajo.</w:t>
            </w:r>
          </w:p>
        </w:tc>
      </w:tr>
      <w:tr>
        <w:tc>
          <w:tcPr>
            <w:tcW w:type="dxa" w:w="504"/>
            <w:shd w:val="clear" w:color="auto" w:fill="FFFFFF"/>
          </w:tcPr>
          <w:p>
            <w:pPr>
              <w:spacing w:before="60" w:after="60"/>
              <w:jc w:val="center"/>
            </w:pPr>
            <w:r/>
            <w:r>
              <w:rPr>
                <w:rFonts w:ascii="Arial" w:hAnsi="Arial"/>
                <w:b/>
                <w:color w:val="0F2942"/>
                <w:sz w:val="17"/>
              </w:rPr>
              <w:t>3</w:t>
            </w:r>
          </w:p>
        </w:tc>
        <w:tc>
          <w:tcPr>
            <w:tcW w:type="dxa" w:w="2232"/>
            <w:shd w:val="clear" w:color="auto" w:fill="FFFFFF"/>
          </w:tcPr>
          <w:p>
            <w:pPr>
              <w:spacing w:before="60" w:after="60"/>
              <w:jc w:val="left"/>
            </w:pPr>
            <w:r/>
            <w:r>
              <w:rPr>
                <w:rFonts w:ascii="Arial" w:hAnsi="Arial"/>
                <w:b w:val="0"/>
                <w:color w:val="1E293B"/>
                <w:sz w:val="17"/>
              </w:rPr>
              <w:t>Turpo Huanca Wilson Josue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Liderazgo técnico en la depuración de las 108 ilaciones y los 25 RNF del Catálogo Actualizado.</w:t>
            </w:r>
          </w:p>
        </w:tc>
      </w:tr>
      <w:tr>
        <w:tc>
          <w:tcPr>
            <w:tcW w:type="dxa" w:w="504"/>
            <w:shd w:val="clear" w:color="auto" w:fill="F8FAFC"/>
          </w:tcPr>
          <w:p>
            <w:pPr>
              <w:spacing w:before="60" w:after="60"/>
              <w:jc w:val="center"/>
            </w:pPr>
            <w:r/>
            <w:r>
              <w:rPr>
                <w:rFonts w:ascii="Arial" w:hAnsi="Arial"/>
                <w:b/>
                <w:color w:val="0F2942"/>
                <w:sz w:val="17"/>
              </w:rPr>
              <w:t>4</w:t>
            </w:r>
          </w:p>
        </w:tc>
        <w:tc>
          <w:tcPr>
            <w:tcW w:type="dxa" w:w="2232"/>
            <w:shd w:val="clear" w:color="auto" w:fill="F8FAFC"/>
          </w:tcPr>
          <w:p>
            <w:pPr>
              <w:spacing w:before="60" w:after="60"/>
              <w:jc w:val="left"/>
            </w:pPr>
            <w:r/>
            <w:r>
              <w:rPr>
                <w:rFonts w:ascii="Arial" w:hAnsi="Arial"/>
                <w:b w:val="0"/>
                <w:color w:val="1E293B"/>
                <w:sz w:val="17"/>
              </w:rPr>
              <w:t>Arce Mayhua Leonardo Rubén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Seguimiento puntual de entregables y estandarización gráfica a 300 DPI.</w:t>
            </w:r>
          </w:p>
        </w:tc>
      </w:tr>
      <w:tr>
        <w:tc>
          <w:tcPr>
            <w:tcW w:type="dxa" w:w="504"/>
            <w:shd w:val="clear" w:color="auto" w:fill="FFFFFF"/>
          </w:tcPr>
          <w:p>
            <w:pPr>
              <w:spacing w:before="60" w:after="60"/>
              <w:jc w:val="center"/>
            </w:pPr>
            <w:r/>
            <w:r>
              <w:rPr>
                <w:rFonts w:ascii="Arial" w:hAnsi="Arial"/>
                <w:b/>
                <w:color w:val="0F2942"/>
                <w:sz w:val="17"/>
              </w:rPr>
              <w:t>5</w:t>
            </w:r>
          </w:p>
        </w:tc>
        <w:tc>
          <w:tcPr>
            <w:tcW w:type="dxa" w:w="2232"/>
            <w:shd w:val="clear" w:color="auto" w:fill="FFFFFF"/>
          </w:tcPr>
          <w:p>
            <w:pPr>
              <w:spacing w:before="60" w:after="60"/>
              <w:jc w:val="left"/>
            </w:pPr>
            <w:r/>
            <w:r>
              <w:rPr>
                <w:rFonts w:ascii="Arial" w:hAnsi="Arial"/>
                <w:b w:val="0"/>
                <w:color w:val="1E293B"/>
                <w:sz w:val="17"/>
              </w:rPr>
              <w:t>Gallegos Condori Anette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Comunicación efectiva y aseguramiento de trazabilidad bidireccional completa.</w:t>
            </w:r>
          </w:p>
        </w:tc>
      </w:tr>
      <w:tr>
        <w:tc>
          <w:tcPr>
            <w:tcW w:type="dxa" w:w="504"/>
            <w:shd w:val="clear" w:color="auto" w:fill="F8FAFC"/>
          </w:tcPr>
          <w:p>
            <w:pPr>
              <w:spacing w:before="60" w:after="60"/>
              <w:jc w:val="center"/>
            </w:pPr>
            <w:r/>
            <w:r>
              <w:rPr>
                <w:rFonts w:ascii="Arial" w:hAnsi="Arial"/>
                <w:b/>
                <w:color w:val="0F2942"/>
                <w:sz w:val="17"/>
              </w:rPr>
              <w:t>6</w:t>
            </w:r>
          </w:p>
        </w:tc>
        <w:tc>
          <w:tcPr>
            <w:tcW w:type="dxa" w:w="2232"/>
            <w:shd w:val="clear" w:color="auto" w:fill="F8FAFC"/>
          </w:tcPr>
          <w:p>
            <w:pPr>
              <w:spacing w:before="60" w:after="60"/>
              <w:jc w:val="left"/>
            </w:pPr>
            <w:r/>
            <w:r>
              <w:rPr>
                <w:rFonts w:ascii="Arial" w:hAnsi="Arial"/>
                <w:b w:val="0"/>
                <w:color w:val="1E293B"/>
                <w:sz w:val="17"/>
              </w:rPr>
              <w:t>Huamani Condori Jeanpiero</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Criterio arquitectónico sólido para alinear hardware, sistema operativo y software.</w:t>
            </w:r>
          </w:p>
        </w:tc>
      </w:tr>
      <w:tr>
        <w:tc>
          <w:tcPr>
            <w:tcW w:type="dxa" w:w="504"/>
            <w:shd w:val="clear" w:color="auto" w:fill="FFFFFF"/>
          </w:tcPr>
          <w:p>
            <w:pPr>
              <w:spacing w:before="60" w:after="60"/>
              <w:jc w:val="center"/>
            </w:pPr>
            <w:r/>
            <w:r>
              <w:rPr>
                <w:rFonts w:ascii="Arial" w:hAnsi="Arial"/>
                <w:b/>
                <w:color w:val="0F2942"/>
                <w:sz w:val="17"/>
              </w:rPr>
              <w:t>7</w:t>
            </w:r>
          </w:p>
        </w:tc>
        <w:tc>
          <w:tcPr>
            <w:tcW w:type="dxa" w:w="2232"/>
            <w:shd w:val="clear" w:color="auto" w:fill="FFFFFF"/>
          </w:tcPr>
          <w:p>
            <w:pPr>
              <w:spacing w:before="60" w:after="60"/>
              <w:jc w:val="left"/>
            </w:pPr>
            <w:r/>
            <w:r>
              <w:rPr>
                <w:rFonts w:ascii="Arial" w:hAnsi="Arial"/>
                <w:b w:val="0"/>
                <w:color w:val="1E293B"/>
                <w:sz w:val="17"/>
              </w:rPr>
              <w:t>Venero Guevara Christian</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Gestión impecable del repositorio y consolidación documental bajo norma UNSA.</w:t>
            </w:r>
          </w:p>
        </w:tc>
      </w:tr>
    </w:tbl>
    <w:p>
      <w:pPr>
        <w:spacing w:after="120"/>
      </w:pPr>
    </w:p>
    <w:p>
      <w:pPr>
        <w:keepNext/>
        <w:spacing w:before="280" w:after="120"/>
      </w:pPr>
      <w:r>
        <w:rPr>
          <w:rFonts w:ascii="Arial" w:hAnsi="Arial"/>
          <w:b/>
          <w:color w:val="0F2942"/>
          <w:sz w:val="27"/>
        </w:rPr>
        <w:t>6. ESTADO DEL ARTE</w:t>
      </w:r>
    </w:p>
    <w:p>
      <w:pPr>
        <w:keepNext/>
        <w:spacing w:before="200" w:after="80"/>
      </w:pPr>
      <w:r>
        <w:rPr>
          <w:rFonts w:ascii="Arial" w:hAnsi="Arial"/>
          <w:b/>
          <w:color w:val="1E3A8A"/>
          <w:sz w:val="23"/>
        </w:rPr>
        <w:t>6.1. Modelado de Procesos de Negocio y Flujos de Trabajo con OMG BPMN 2.0 y Bonita BPM</w:t>
      </w:r>
    </w:p>
    <w:p>
      <w:pPr>
        <w:spacing w:before="40" w:after="100" w:line="276" w:lineRule="auto"/>
        <w:jc w:val="both"/>
      </w:pPr>
      <w:r>
        <w:rPr>
          <w:rFonts w:ascii="Arial" w:hAnsi="Arial"/>
          <w:i w:val="0"/>
          <w:color w:val="1E293B"/>
          <w:sz w:val="20"/>
        </w:rPr>
        <w:t>El estándar Business Process Model and Notation (BPMN 2.0) del Object Management Group (OMG) [1] y su implementación en motores de orquestación como Bonita BPM [2] constituyen el referente internacional para formalizar procedimientos algorítmicos interactivos. A diferencia de los diagramas estáticos, los diagramas de procesos basados en carriles (swimlanes) permiten visualizar simultáneamente el flujo secuencial de pasos, las reglas de bifurcación lógica (gateways) y el traspaso de control entre el actor humano, la interfaz gráfica, el servidor de aplicaciones y el motor de base de datos [3], [4].</w:t>
      </w:r>
    </w:p>
    <w:p>
      <w:pPr>
        <w:keepNext/>
        <w:spacing w:before="200" w:after="80"/>
      </w:pPr>
      <w:r>
        <w:rPr>
          <w:rFonts w:ascii="Arial" w:hAnsi="Arial"/>
          <w:b/>
          <w:color w:val="1E3A8A"/>
          <w:sz w:val="23"/>
        </w:rPr>
        <w:t>6.2. Control de Concurrencia, Prevención de Punto Muerto (Deadlock) y Transacciones ACID</w:t>
      </w:r>
    </w:p>
    <w:p>
      <w:pPr>
        <w:spacing w:before="40" w:after="100" w:line="276" w:lineRule="auto"/>
        <w:jc w:val="both"/>
      </w:pPr>
      <w:r>
        <w:rPr>
          <w:rFonts w:ascii="Arial" w:hAnsi="Arial"/>
          <w:i w:val="0"/>
          <w:color w:val="1E293B"/>
          <w:sz w:val="20"/>
        </w:rPr>
        <w:t>En sistemas clínicos multiusuario donde múltiples recepcionistas y apoderados intentan reservar el mismo turno médico de manera simultánea, la teoría de control de concurrencia de Bernstein et al. [5] y Kleppmann [6] demuestra que las lecturas sin bloqueo generan condiciones de carrera (race conditions) y doble agendamiento. La combinación de bloqueos pesimistas no bloqueantes a nivel de fila (SELECT ... FOR UPDATE NOWAIT en PostgreSQL) con cerrojos distribuidos de expiración automática (Redis con TTL acotado) elimina de raíz la formación de esperas circulares (Condición de Coffman), previniendo matemáticamente el punto muerto (deadlock) [7].</w:t>
      </w:r>
    </w:p>
    <w:p>
      <w:pPr>
        <w:keepNext/>
        <w:spacing w:before="200" w:after="80"/>
      </w:pPr>
      <w:r>
        <w:rPr>
          <w:rFonts w:ascii="Arial" w:hAnsi="Arial"/>
          <w:b/>
          <w:color w:val="1E3A8A"/>
          <w:sz w:val="23"/>
        </w:rPr>
        <w:t>6.3. Tolerancia a Fallos, Idempotencia y Escalabilidad Asíncrona en Salud Digital</w:t>
      </w:r>
    </w:p>
    <w:p>
      <w:pPr>
        <w:spacing w:before="40" w:after="100" w:line="276" w:lineRule="auto"/>
        <w:jc w:val="both"/>
      </w:pPr>
      <w:r>
        <w:rPr>
          <w:rFonts w:ascii="Arial" w:hAnsi="Arial"/>
          <w:i w:val="0"/>
          <w:color w:val="1E293B"/>
          <w:sz w:val="20"/>
        </w:rPr>
        <w:t>Newman [8] y Hohpe &amp; Woolf [9] sostienen que los procesos que integran pasarelas externas (como la validación tributaria UBL 2.1 ante la SUNAT o el aprovisionamiento de salas WebRTC) deben diseñarse bajo principios de idempotencia, timeouts estrictos y colas de reintento asíncrono, garantizando tiempos de respuesta predecibles y alta disponibilidad operativa [10].</w:t>
      </w:r>
    </w:p>
    <w:p>
      <w:pPr>
        <w:keepNext/>
        <w:spacing w:before="280" w:after="120"/>
      </w:pPr>
      <w:r>
        <w:rPr>
          <w:rFonts w:ascii="Arial" w:hAnsi="Arial"/>
          <w:b/>
          <w:color w:val="0F2942"/>
          <w:sz w:val="27"/>
        </w:rPr>
        <w:t>7. DESCRIPCIÓN DEL ARTEFACTO</w:t>
      </w:r>
    </w:p>
    <w:p>
      <w:pPr>
        <w:keepNext/>
        <w:spacing w:before="200" w:after="80"/>
      </w:pPr>
      <w:r>
        <w:rPr>
          <w:rFonts w:ascii="Arial" w:hAnsi="Arial"/>
          <w:b/>
          <w:color w:val="1E3A8A"/>
          <w:sz w:val="23"/>
        </w:rPr>
        <w:t>7.1. Selección y Justificación de las 3 Ilaciones Representativas del Catálogo</w:t>
      </w:r>
    </w:p>
    <w:p>
      <w:pPr>
        <w:spacing w:before="40" w:after="100" w:line="276" w:lineRule="auto"/>
        <w:jc w:val="both"/>
      </w:pPr>
      <w:r>
        <w:rPr>
          <w:rFonts w:ascii="Arial" w:hAnsi="Arial"/>
          <w:i w:val="0"/>
          <w:color w:val="1E293B"/>
          <w:sz w:val="20"/>
        </w:rPr>
        <w:t>De las 108 ilaciones que conforman el Catálogo de Requisitos Actualizado (v02.00) de NexoVitalis360, se seleccionaron tres (3) ilaciones críticas que abarcan los tres flujos de mayor complejidad algorítmica, clínica y transaccional del sistema: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1296"/>
            <w:shd w:val="clear" w:color="auto" w:fill="0F2942"/>
          </w:tcPr>
          <w:p>
            <w:pPr>
              <w:spacing w:before="60" w:after="60"/>
              <w:jc w:val="center"/>
            </w:pPr>
            <w:r/>
            <w:r>
              <w:rPr>
                <w:rFonts w:ascii="Arial" w:hAnsi="Arial"/>
                <w:b/>
                <w:color w:val="FFFFFF"/>
                <w:sz w:val="18"/>
              </w:rPr>
              <w:t>CÓD. ILACIÓN</w:t>
            </w:r>
          </w:p>
        </w:tc>
        <w:tc>
          <w:tcPr>
            <w:tcW w:type="dxa" w:w="1944"/>
            <w:shd w:val="clear" w:color="auto" w:fill="0F2942"/>
          </w:tcPr>
          <w:p>
            <w:pPr>
              <w:spacing w:before="60" w:after="60"/>
              <w:jc w:val="center"/>
            </w:pPr>
            <w:r/>
            <w:r>
              <w:rPr>
                <w:rFonts w:ascii="Arial" w:hAnsi="Arial"/>
                <w:b/>
                <w:color w:val="FFFFFF"/>
                <w:sz w:val="18"/>
              </w:rPr>
              <w:t>NOMBRE DE LA ILACIÓN</w:t>
            </w:r>
          </w:p>
        </w:tc>
        <w:tc>
          <w:tcPr>
            <w:tcW w:type="dxa" w:w="1656"/>
            <w:shd w:val="clear" w:color="auto" w:fill="0F2942"/>
          </w:tcPr>
          <w:p>
            <w:pPr>
              <w:spacing w:before="60" w:after="60"/>
              <w:jc w:val="center"/>
            </w:pPr>
            <w:r/>
            <w:r>
              <w:rPr>
                <w:rFonts w:ascii="Arial" w:hAnsi="Arial"/>
                <w:b/>
                <w:color w:val="FFFFFF"/>
                <w:sz w:val="18"/>
              </w:rPr>
              <w:t>EDUCCIÓN / ESPECIFICACIÓN</w:t>
            </w:r>
          </w:p>
        </w:tc>
        <w:tc>
          <w:tcPr>
            <w:tcW w:type="dxa" w:w="1512"/>
            <w:shd w:val="clear" w:color="auto" w:fill="0F2942"/>
          </w:tcPr>
          <w:p>
            <w:pPr>
              <w:spacing w:before="60" w:after="60"/>
              <w:jc w:val="center"/>
            </w:pPr>
            <w:r/>
            <w:r>
              <w:rPr>
                <w:rFonts w:ascii="Arial" w:hAnsi="Arial"/>
                <w:b/>
                <w:color w:val="FFFFFF"/>
                <w:sz w:val="18"/>
              </w:rPr>
              <w:t>ARTEFACTOS GUI / MDL</w:t>
            </w:r>
          </w:p>
        </w:tc>
        <w:tc>
          <w:tcPr>
            <w:tcW w:type="dxa" w:w="2808"/>
            <w:shd w:val="clear" w:color="auto" w:fill="0F2942"/>
          </w:tcPr>
          <w:p>
            <w:pPr>
              <w:spacing w:before="60" w:after="60"/>
              <w:jc w:val="center"/>
            </w:pPr>
            <w:r/>
            <w:r>
              <w:rPr>
                <w:rFonts w:ascii="Arial" w:hAnsi="Arial"/>
                <w:b/>
                <w:color w:val="FFFFFF"/>
                <w:sz w:val="18"/>
              </w:rPr>
              <w:t>JUSTIFICACIÓN DE COMPLEJIDAD PROCESAL Y CONCURRENCIA</w:t>
            </w:r>
          </w:p>
        </w:tc>
      </w:tr>
      <w:tr>
        <w:tc>
          <w:tcPr>
            <w:tcW w:type="dxa" w:w="1296"/>
            <w:shd w:val="clear" w:color="auto" w:fill="FFFFFF"/>
          </w:tcPr>
          <w:p>
            <w:pPr>
              <w:spacing w:before="60" w:after="60"/>
              <w:jc w:val="center"/>
            </w:pPr>
            <w:r/>
            <w:r>
              <w:rPr>
                <w:rFonts w:ascii="Arial" w:hAnsi="Arial"/>
                <w:b/>
                <w:color w:val="0F2942"/>
                <w:sz w:val="17"/>
              </w:rPr>
              <w:t>ILA-0017</w:t>
            </w:r>
          </w:p>
        </w:tc>
        <w:tc>
          <w:tcPr>
            <w:tcW w:type="dxa" w:w="1944"/>
            <w:shd w:val="clear" w:color="auto" w:fill="FFFFFF"/>
          </w:tcPr>
          <w:p>
            <w:pPr>
              <w:spacing w:before="60" w:after="60"/>
              <w:jc w:val="left"/>
            </w:pPr>
            <w:r/>
            <w:r>
              <w:rPr>
                <w:rFonts w:ascii="Arial" w:hAnsi="Arial"/>
                <w:b w:val="0"/>
                <w:color w:val="1E293B"/>
                <w:sz w:val="17"/>
              </w:rPr>
              <w:t>Crear registro de cita médica</w:t>
            </w:r>
          </w:p>
        </w:tc>
        <w:tc>
          <w:tcPr>
            <w:tcW w:type="dxa" w:w="1656"/>
            <w:shd w:val="clear" w:color="auto" w:fill="FFFFFF"/>
          </w:tcPr>
          <w:p>
            <w:pPr>
              <w:spacing w:before="60" w:after="60"/>
              <w:jc w:val="left"/>
            </w:pPr>
            <w:r/>
            <w:r>
              <w:rPr>
                <w:rFonts w:ascii="Arial" w:hAnsi="Arial"/>
                <w:b w:val="0"/>
                <w:color w:val="1E293B"/>
                <w:sz w:val="17"/>
              </w:rPr>
              <w:t>EDU-0012 / ESP-0017</w:t>
            </w:r>
          </w:p>
        </w:tc>
        <w:tc>
          <w:tcPr>
            <w:tcW w:type="dxa" w:w="1512"/>
            <w:shd w:val="clear" w:color="auto" w:fill="FFFFFF"/>
          </w:tcPr>
          <w:p>
            <w:pPr>
              <w:spacing w:before="60" w:after="60"/>
              <w:jc w:val="left"/>
            </w:pPr>
            <w:r/>
            <w:r>
              <w:rPr>
                <w:rFonts w:ascii="Arial" w:hAnsi="Arial"/>
                <w:b w:val="0"/>
                <w:color w:val="1E293B"/>
                <w:sz w:val="17"/>
              </w:rPr>
              <w:t>GUI-0005, MDL-0021</w:t>
            </w:r>
          </w:p>
        </w:tc>
        <w:tc>
          <w:tcPr>
            <w:tcW w:type="dxa" w:w="2808"/>
            <w:shd w:val="clear" w:color="auto" w:fill="FFFFFF"/>
          </w:tcPr>
          <w:p>
            <w:pPr>
              <w:spacing w:before="60" w:after="60"/>
              <w:jc w:val="left"/>
            </w:pPr>
            <w:r/>
            <w:r>
              <w:rPr>
                <w:rFonts w:ascii="Arial" w:hAnsi="Arial"/>
                <w:b w:val="0"/>
                <w:color w:val="1E293B"/>
                <w:sz w:val="17"/>
              </w:rPr>
              <w:t>Proceso de máxima concurrencia del sistema: involucra validación cruzada de 4 tablas previas (paciente, consentimiento, pre-triaje y paquete de sesiones), bloqueo anticolisión sobre TB_HORARIOS y transacción ACID multimodal.</w:t>
            </w:r>
          </w:p>
        </w:tc>
      </w:tr>
      <w:tr>
        <w:tc>
          <w:tcPr>
            <w:tcW w:type="dxa" w:w="1296"/>
            <w:shd w:val="clear" w:color="auto" w:fill="F8FAFC"/>
          </w:tcPr>
          <w:p>
            <w:pPr>
              <w:spacing w:before="60" w:after="60"/>
              <w:jc w:val="center"/>
            </w:pPr>
            <w:r/>
            <w:r>
              <w:rPr>
                <w:rFonts w:ascii="Arial" w:hAnsi="Arial"/>
                <w:b/>
                <w:color w:val="0F2942"/>
                <w:sz w:val="17"/>
              </w:rPr>
              <w:t>ILA-0062</w:t>
            </w:r>
          </w:p>
        </w:tc>
        <w:tc>
          <w:tcPr>
            <w:tcW w:type="dxa" w:w="1944"/>
            <w:shd w:val="clear" w:color="auto" w:fill="F8FAFC"/>
          </w:tcPr>
          <w:p>
            <w:pPr>
              <w:spacing w:before="60" w:after="60"/>
              <w:jc w:val="left"/>
            </w:pPr>
            <w:r/>
            <w:r>
              <w:rPr>
                <w:rFonts w:ascii="Arial" w:hAnsi="Arial"/>
                <w:b w:val="0"/>
                <w:color w:val="1E293B"/>
                <w:sz w:val="17"/>
              </w:rPr>
              <w:t>Crear pre-triaje clínico</w:t>
            </w:r>
          </w:p>
        </w:tc>
        <w:tc>
          <w:tcPr>
            <w:tcW w:type="dxa" w:w="1656"/>
            <w:shd w:val="clear" w:color="auto" w:fill="F8FAFC"/>
          </w:tcPr>
          <w:p>
            <w:pPr>
              <w:spacing w:before="60" w:after="60"/>
              <w:jc w:val="left"/>
            </w:pPr>
            <w:r/>
            <w:r>
              <w:rPr>
                <w:rFonts w:ascii="Arial" w:hAnsi="Arial"/>
                <w:b w:val="0"/>
                <w:color w:val="1E293B"/>
                <w:sz w:val="17"/>
              </w:rPr>
              <w:t>EDU-0023 / ESP-0062</w:t>
            </w:r>
          </w:p>
        </w:tc>
        <w:tc>
          <w:tcPr>
            <w:tcW w:type="dxa" w:w="1512"/>
            <w:shd w:val="clear" w:color="auto" w:fill="F8FAFC"/>
          </w:tcPr>
          <w:p>
            <w:pPr>
              <w:spacing w:before="60" w:after="60"/>
              <w:jc w:val="left"/>
            </w:pPr>
            <w:r/>
            <w:r>
              <w:rPr>
                <w:rFonts w:ascii="Arial" w:hAnsi="Arial"/>
                <w:b w:val="0"/>
                <w:color w:val="1E293B"/>
                <w:sz w:val="17"/>
              </w:rPr>
              <w:t>GUI-0016, MDL-0076</w:t>
            </w:r>
          </w:p>
        </w:tc>
        <w:tc>
          <w:tcPr>
            <w:tcW w:type="dxa" w:w="2808"/>
            <w:shd w:val="clear" w:color="auto" w:fill="F8FAFC"/>
          </w:tcPr>
          <w:p>
            <w:pPr>
              <w:spacing w:before="60" w:after="60"/>
              <w:jc w:val="left"/>
            </w:pPr>
            <w:r/>
            <w:r>
              <w:rPr>
                <w:rFonts w:ascii="Arial" w:hAnsi="Arial"/>
                <w:b w:val="0"/>
                <w:color w:val="1E293B"/>
                <w:sz w:val="17"/>
              </w:rPr>
              <w:t>Proceso crítico de seguridad clínica pediátrica: incluye validación de rangos antropométricos/vitales, motor de decisión automática de Alerta Roja (alerta_roja = true/false) y desbloqueo condicional del agendamiento de citas.</w:t>
            </w:r>
          </w:p>
        </w:tc>
      </w:tr>
      <w:tr>
        <w:tc>
          <w:tcPr>
            <w:tcW w:type="dxa" w:w="1296"/>
            <w:shd w:val="clear" w:color="auto" w:fill="FFFFFF"/>
          </w:tcPr>
          <w:p>
            <w:pPr>
              <w:spacing w:before="60" w:after="60"/>
              <w:jc w:val="center"/>
            </w:pPr>
            <w:r/>
            <w:r>
              <w:rPr>
                <w:rFonts w:ascii="Arial" w:hAnsi="Arial"/>
                <w:b/>
                <w:color w:val="0F2942"/>
                <w:sz w:val="17"/>
              </w:rPr>
              <w:t>ILA-0106</w:t>
            </w:r>
          </w:p>
        </w:tc>
        <w:tc>
          <w:tcPr>
            <w:tcW w:type="dxa" w:w="1944"/>
            <w:shd w:val="clear" w:color="auto" w:fill="FFFFFF"/>
          </w:tcPr>
          <w:p>
            <w:pPr>
              <w:spacing w:before="60" w:after="60"/>
              <w:jc w:val="left"/>
            </w:pPr>
            <w:r/>
            <w:r>
              <w:rPr>
                <w:rFonts w:ascii="Arial" w:hAnsi="Arial"/>
                <w:b w:val="0"/>
                <w:color w:val="1E293B"/>
                <w:sz w:val="17"/>
              </w:rPr>
              <w:t>Crear comprobante de pago</w:t>
            </w:r>
          </w:p>
        </w:tc>
        <w:tc>
          <w:tcPr>
            <w:tcW w:type="dxa" w:w="1656"/>
            <w:shd w:val="clear" w:color="auto" w:fill="FFFFFF"/>
          </w:tcPr>
          <w:p>
            <w:pPr>
              <w:spacing w:before="60" w:after="60"/>
              <w:jc w:val="left"/>
            </w:pPr>
            <w:r/>
            <w:r>
              <w:rPr>
                <w:rFonts w:ascii="Arial" w:hAnsi="Arial"/>
                <w:b w:val="0"/>
                <w:color w:val="1E293B"/>
                <w:sz w:val="17"/>
              </w:rPr>
              <w:t>EDU-0037 / ESP-0106</w:t>
            </w:r>
          </w:p>
        </w:tc>
        <w:tc>
          <w:tcPr>
            <w:tcW w:type="dxa" w:w="1512"/>
            <w:shd w:val="clear" w:color="auto" w:fill="FFFFFF"/>
          </w:tcPr>
          <w:p>
            <w:pPr>
              <w:spacing w:before="60" w:after="60"/>
              <w:jc w:val="left"/>
            </w:pPr>
            <w:r/>
            <w:r>
              <w:rPr>
                <w:rFonts w:ascii="Arial" w:hAnsi="Arial"/>
                <w:b w:val="0"/>
                <w:color w:val="1E293B"/>
                <w:sz w:val="17"/>
              </w:rPr>
              <w:t>GUI-0027, MDL-0131</w:t>
            </w:r>
          </w:p>
        </w:tc>
        <w:tc>
          <w:tcPr>
            <w:tcW w:type="dxa" w:w="2808"/>
            <w:shd w:val="clear" w:color="auto" w:fill="FFFFFF"/>
          </w:tcPr>
          <w:p>
            <w:pPr>
              <w:spacing w:before="60" w:after="60"/>
              <w:jc w:val="left"/>
            </w:pPr>
            <w:r/>
            <w:r>
              <w:rPr>
                <w:rFonts w:ascii="Arial" w:hAnsi="Arial"/>
                <w:b w:val="0"/>
                <w:color w:val="1E293B"/>
                <w:sz w:val="17"/>
              </w:rPr>
              <w:t>Proceso financiero-tributario con bifurcación condicional por tipo de documento (Boleta DNI vs Factura RUC + Razón Social), firma digital X.509 de XML UBL 2.1 e integración síncrona/asíncrona con PSE/OSE SUNAT.</w:t>
            </w:r>
          </w:p>
        </w:tc>
      </w:tr>
    </w:tbl>
    <w:p>
      <w:pPr>
        <w:spacing w:after="120"/>
      </w:pPr>
    </w:p>
    <w:p>
      <w:pPr>
        <w:keepNext/>
        <w:spacing w:before="200" w:after="80"/>
      </w:pPr>
      <w:r>
        <w:rPr>
          <w:rFonts w:ascii="Arial" w:hAnsi="Arial"/>
          <w:b/>
          <w:color w:val="1E3A8A"/>
          <w:sz w:val="23"/>
        </w:rPr>
        <w:t>7.2. Herramienta de Modelado Seleccionada y Trazabilidad con RNF-0021</w:t>
      </w:r>
    </w:p>
    <w:p>
      <w:pPr>
        <w:spacing w:before="40" w:after="100" w:line="276" w:lineRule="auto"/>
        <w:jc w:val="both"/>
      </w:pPr>
      <w:r>
        <w:rPr>
          <w:rFonts w:ascii="Arial" w:hAnsi="Arial"/>
          <w:i w:val="0"/>
          <w:color w:val="1E293B"/>
          <w:sz w:val="20"/>
        </w:rPr>
        <w:t>Para el modelado formal de la Vista de Procesos se empleó la especificación de Bonita BPM Community Edition v2024.1 (bajo el estándar OMG BPMN 2.0 y Diagramas de Actividades UML 2.5) en conjunto con el motor de trazado vectorial en Python 3.12 (matplotlib 3.9 a 300 DPI). En estricto cumplimiento de la regla de correspondencia con el catálogo explicada por el docente en clase, esta herramienta ha sido registrada formalmente en el requisito no funcional RNF-0021 ('Herramienta de Modelado para la Vista de Procesos — Bonita BPM y Estándar BPMN 2.0 / UML 2.5') dentro de Requerimientos_No_Funcionales_v2.00.docx y del Catálogo Actualizado.</w:t>
      </w:r>
    </w:p>
    <w:p>
      <w:pPr>
        <w:keepNext/>
        <w:spacing w:before="200" w:after="80"/>
      </w:pPr>
      <w:r>
        <w:rPr>
          <w:rFonts w:ascii="Arial" w:hAnsi="Arial"/>
          <w:b/>
          <w:color w:val="1E3A8A"/>
          <w:sz w:val="23"/>
        </w:rPr>
        <w:t>7.3. Proceso 01: Ilación ILA-0017 — Crear Registro de Cita Médica (EDU-0012)</w:t>
      </w:r>
    </w:p>
    <w:p>
      <w:pPr>
        <w:spacing w:before="40" w:after="100" w:line="276" w:lineRule="auto"/>
        <w:jc w:val="both"/>
      </w:pPr>
      <w:r>
        <w:rPr>
          <w:rFonts w:ascii="Arial" w:hAnsi="Arial"/>
          <w:i w:val="0"/>
          <w:color w:val="1E293B"/>
          <w:sz w:val="20"/>
        </w:rPr>
        <w:t>La Figura 7.1 ilustra el diagrama de proceso BPMN 2.0 para la ilación ILA-0017, mostrando sus 11 pasos numerados distribuidos en 4 carriles y sus 3 compuertas de decisión con saltos explícitos (Paso 4 -&gt; salta al Paso 11 en caso de bloqueo clínico/financiero; Paso 8 -&gt; salta al Paso 11 si el actor cancela; Paso 9 -&gt; retorna al Paso 6 ante colisión concurrente o continúa al Paso 10).</w:t>
      </w:r>
    </w:p>
    <w:p>
      <w:pPr>
        <w:spacing w:before="120" w:after="80"/>
        <w:jc w:val="center"/>
      </w:pPr>
      <w:r>
        <w:drawing>
          <wp:inline xmlns:a="http://schemas.openxmlformats.org/drawingml/2006/main" xmlns:pic="http://schemas.openxmlformats.org/drawingml/2006/picture">
            <wp:extent cx="5760720" cy="3476716"/>
            <wp:docPr id="2" name="Picture 2"/>
            <wp:cNvGraphicFramePr>
              <a:graphicFrameLocks noChangeAspect="1"/>
            </wp:cNvGraphicFramePr>
            <a:graphic>
              <a:graphicData uri="http://schemas.openxmlformats.org/drawingml/2006/picture">
                <pic:pic>
                  <pic:nvPicPr>
                    <pic:cNvPr id="0" name="09_vista_procesos_ila0017.png"/>
                    <pic:cNvPicPr/>
                  </pic:nvPicPr>
                  <pic:blipFill>
                    <a:blip r:embed="rId9"/>
                    <a:stretch>
                      <a:fillRect/>
                    </a:stretch>
                  </pic:blipFill>
                  <pic:spPr>
                    <a:xfrm>
                      <a:off x="0" y="0"/>
                      <a:ext cx="5760720" cy="3476716"/>
                    </a:xfrm>
                    <a:prstGeom prst="rect"/>
                  </pic:spPr>
                </pic:pic>
              </a:graphicData>
            </a:graphic>
          </wp:inline>
        </w:drawing>
      </w:r>
    </w:p>
    <w:p>
      <w:pPr>
        <w:spacing w:after="160"/>
        <w:jc w:val="center"/>
      </w:pPr>
      <w:r>
        <w:rPr>
          <w:rFonts w:ascii="Arial" w:hAnsi="Arial"/>
          <w:b/>
          <w:i/>
          <w:color w:val="64748B"/>
          <w:sz w:val="18"/>
        </w:rPr>
        <w:t>Figura 7.1. Vista de Procesos (Bonita BPM / BPMN 2.0) — Proceso 01: Ilación ILA-0017 (Crear Registro de Cita Médica).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008"/>
            <w:shd w:val="clear" w:color="auto" w:fill="0F2942"/>
          </w:tcPr>
          <w:p>
            <w:pPr>
              <w:spacing w:before="60" w:after="60"/>
              <w:jc w:val="center"/>
            </w:pPr>
            <w:r/>
            <w:r>
              <w:rPr>
                <w:rFonts w:ascii="Arial" w:hAnsi="Arial"/>
                <w:b/>
                <w:color w:val="FFFFFF"/>
                <w:sz w:val="18"/>
              </w:rPr>
              <w:t>PASO N°</w:t>
            </w:r>
          </w:p>
        </w:tc>
        <w:tc>
          <w:tcPr>
            <w:tcW w:type="dxa" w:w="1872"/>
            <w:shd w:val="clear" w:color="auto" w:fill="0F2942"/>
          </w:tcPr>
          <w:p>
            <w:pPr>
              <w:spacing w:before="60" w:after="60"/>
              <w:jc w:val="center"/>
            </w:pPr>
            <w:r/>
            <w:r>
              <w:rPr>
                <w:rFonts w:ascii="Arial" w:hAnsi="Arial"/>
                <w:b/>
                <w:color w:val="FFFFFF"/>
                <w:sz w:val="18"/>
              </w:rPr>
              <w:t>CARRIL RESPONSABLE</w:t>
            </w:r>
          </w:p>
        </w:tc>
        <w:tc>
          <w:tcPr>
            <w:tcW w:type="dxa" w:w="4320"/>
            <w:shd w:val="clear" w:color="auto" w:fill="0F2942"/>
          </w:tcPr>
          <w:p>
            <w:pPr>
              <w:spacing w:before="60" w:after="60"/>
              <w:jc w:val="center"/>
            </w:pPr>
            <w:r/>
            <w:r>
              <w:rPr>
                <w:rFonts w:ascii="Arial" w:hAnsi="Arial"/>
                <w:b/>
                <w:color w:val="FFFFFF"/>
                <w:sz w:val="18"/>
              </w:rPr>
              <w:t>ACCIÓN / REGLA DE DECISIÓN Y SALTO LÓGICO (SINCRONIZADO CON ILA-0017)</w:t>
            </w:r>
          </w:p>
        </w:tc>
        <w:tc>
          <w:tcPr>
            <w:tcW w:type="dxa" w:w="2016"/>
            <w:shd w:val="clear" w:color="auto" w:fill="0F2942"/>
          </w:tcPr>
          <w:p>
            <w:pPr>
              <w:spacing w:before="60" w:after="60"/>
              <w:jc w:val="center"/>
            </w:pPr>
            <w:r/>
            <w:r>
              <w:rPr>
                <w:rFonts w:ascii="Arial" w:hAnsi="Arial"/>
                <w:b/>
                <w:color w:val="FFFFFF"/>
                <w:sz w:val="18"/>
              </w:rPr>
              <w:t>TABLAS TB_* Y RNF VINCULADOS</w:t>
            </w:r>
          </w:p>
        </w:tc>
      </w:tr>
      <w:tr>
        <w:tc>
          <w:tcPr>
            <w:tcW w:type="dxa" w:w="1008"/>
            <w:shd w:val="clear" w:color="auto" w:fill="FFFFFF"/>
          </w:tcPr>
          <w:p>
            <w:pPr>
              <w:spacing w:before="60" w:after="60"/>
              <w:jc w:val="center"/>
            </w:pPr>
            <w:r/>
            <w:r>
              <w:rPr>
                <w:rFonts w:ascii="Arial" w:hAnsi="Arial"/>
                <w:b/>
                <w:color w:val="0F2942"/>
                <w:sz w:val="17"/>
              </w:rPr>
              <w:t>Paso 1</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hace clic en el botón BTN_CREAR_CITA_001 ('+ NUEVA CITA') en la interfaz principal de Gestión de Citas (GUI-0005).</w:t>
            </w:r>
          </w:p>
        </w:tc>
        <w:tc>
          <w:tcPr>
            <w:tcW w:type="dxa" w:w="2016"/>
            <w:shd w:val="clear" w:color="auto" w:fill="FFFFFF"/>
          </w:tcPr>
          <w:p>
            <w:pPr>
              <w:spacing w:before="60" w:after="60"/>
              <w:jc w:val="left"/>
            </w:pPr>
            <w:r/>
            <w:r>
              <w:rPr>
                <w:rFonts w:ascii="Arial" w:hAnsi="Arial"/>
                <w:b w:val="0"/>
                <w:color w:val="1E293B"/>
                <w:sz w:val="17"/>
              </w:rPr>
              <w:t>GUI-0005 (RNF-0008)</w:t>
            </w:r>
          </w:p>
        </w:tc>
      </w:tr>
      <w:tr>
        <w:tc>
          <w:tcPr>
            <w:tcW w:type="dxa" w:w="1008"/>
            <w:shd w:val="clear" w:color="auto" w:fill="F8FAFC"/>
          </w:tcPr>
          <w:p>
            <w:pPr>
              <w:spacing w:before="60" w:after="60"/>
              <w:jc w:val="center"/>
            </w:pPr>
            <w:r/>
            <w:r>
              <w:rPr>
                <w:rFonts w:ascii="Arial" w:hAnsi="Arial"/>
                <w:b/>
                <w:color w:val="0F2942"/>
                <w:sz w:val="17"/>
              </w:rPr>
              <w:t>Paso 2</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El sistema verifica la conexión con Vitalis_BD y despliega el modal flotante 'Crear Registro de Cita Médica' (MDL-0021).</w:t>
            </w:r>
          </w:p>
        </w:tc>
        <w:tc>
          <w:tcPr>
            <w:tcW w:type="dxa" w:w="2016"/>
            <w:shd w:val="clear" w:color="auto" w:fill="F8FAFC"/>
          </w:tcPr>
          <w:p>
            <w:pPr>
              <w:spacing w:before="60" w:after="60"/>
              <w:jc w:val="left"/>
            </w:pPr>
            <w:r/>
            <w:r>
              <w:rPr>
                <w:rFonts w:ascii="Arial" w:hAnsi="Arial"/>
                <w:b w:val="0"/>
                <w:color w:val="1E293B"/>
                <w:sz w:val="17"/>
              </w:rPr>
              <w:t>MDL-0021, Vitalis_BD</w:t>
            </w:r>
          </w:p>
        </w:tc>
      </w:tr>
      <w:tr>
        <w:tc>
          <w:tcPr>
            <w:tcW w:type="dxa" w:w="1008"/>
            <w:shd w:val="clear" w:color="auto" w:fill="FFFFFF"/>
          </w:tcPr>
          <w:p>
            <w:pPr>
              <w:spacing w:before="60" w:after="60"/>
              <w:jc w:val="center"/>
            </w:pPr>
            <w:r/>
            <w:r>
              <w:rPr>
                <w:rFonts w:ascii="Arial" w:hAnsi="Arial"/>
                <w:b/>
                <w:color w:val="0F2942"/>
                <w:sz w:val="17"/>
              </w:rPr>
              <w:t>Paso 3</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ingresa el DNI o selecciona al paciente menor, completando/validando FLD_NOM_PAC_0002, FLD_APE_PAC_0002, FLD_EDAD_PAC_0002 y FLD_TEL_PAC_0002.</w:t>
            </w:r>
          </w:p>
        </w:tc>
        <w:tc>
          <w:tcPr>
            <w:tcW w:type="dxa" w:w="2016"/>
            <w:shd w:val="clear" w:color="auto" w:fill="FFFFFF"/>
          </w:tcPr>
          <w:p>
            <w:pPr>
              <w:spacing w:before="60" w:after="60"/>
              <w:jc w:val="left"/>
            </w:pPr>
            <w:r/>
            <w:r>
              <w:rPr>
                <w:rFonts w:ascii="Arial" w:hAnsi="Arial"/>
                <w:b w:val="0"/>
                <w:color w:val="1E293B"/>
                <w:sz w:val="17"/>
              </w:rPr>
              <w:t>MDL-0021 (RNF-0009)</w:t>
            </w:r>
          </w:p>
        </w:tc>
      </w:tr>
      <w:tr>
        <w:tc>
          <w:tcPr>
            <w:tcW w:type="dxa" w:w="1008"/>
            <w:shd w:val="clear" w:color="auto" w:fill="F8FAFC"/>
          </w:tcPr>
          <w:p>
            <w:pPr>
              <w:spacing w:before="60" w:after="60"/>
              <w:jc w:val="center"/>
            </w:pPr>
            <w:r/>
            <w:r>
              <w:rPr>
                <w:rFonts w:ascii="Arial" w:hAnsi="Arial"/>
                <w:b/>
                <w:color w:val="0F2942"/>
                <w:sz w:val="17"/>
              </w:rPr>
              <w:t>Paso 4</w:t>
            </w:r>
          </w:p>
        </w:tc>
        <w:tc>
          <w:tcPr>
            <w:tcW w:type="dxa" w:w="1872"/>
            <w:shd w:val="clear" w:color="auto" w:fill="F8FAFC"/>
          </w:tcPr>
          <w:p>
            <w:pPr>
              <w:spacing w:before="60" w:after="60"/>
              <w:jc w:val="left"/>
            </w:pPr>
            <w:r/>
            <w:r>
              <w:rPr>
                <w:rFonts w:ascii="Arial" w:hAnsi="Arial"/>
                <w:b w:val="0"/>
                <w:color w:val="1E293B"/>
                <w:sz w:val="17"/>
              </w:rPr>
              <w:t>Carril 3: Lógica Backend</w:t>
            </w:r>
          </w:p>
        </w:tc>
        <w:tc>
          <w:tcPr>
            <w:tcW w:type="dxa" w:w="4320"/>
            <w:shd w:val="clear" w:color="auto" w:fill="F8FAFC"/>
          </w:tcPr>
          <w:p>
            <w:pPr>
              <w:spacing w:before="60" w:after="60"/>
              <w:jc w:val="left"/>
            </w:pPr>
            <w:r/>
            <w:r>
              <w:rPr>
                <w:rFonts w:ascii="Arial" w:hAnsi="Arial"/>
                <w:b w:val="0"/>
                <w:color w:val="1E293B"/>
                <w:sz w:val="17"/>
              </w:rPr>
              <w:t>COMPUERTA XOR: Consulta TB_PACIENTES, TB_CONSENTIMIENTOS, TB_PRETRIAJE_CLINICO y TB_PAQUETES_SESIONES. Si no posee paquete con sesiones_restantes &gt; 0 o carece de pre-triaje/consentimiento vigente, muestra alerta de bloqueo y SALTA AL PASO 11; en caso contrario, CONTINÚA EN EL PASO 5.</w:t>
            </w:r>
          </w:p>
        </w:tc>
        <w:tc>
          <w:tcPr>
            <w:tcW w:type="dxa" w:w="2016"/>
            <w:shd w:val="clear" w:color="auto" w:fill="F8FAFC"/>
          </w:tcPr>
          <w:p>
            <w:pPr>
              <w:spacing w:before="60" w:after="60"/>
              <w:jc w:val="left"/>
            </w:pPr>
            <w:r/>
            <w:r>
              <w:rPr>
                <w:rFonts w:ascii="Arial" w:hAnsi="Arial"/>
                <w:b w:val="0"/>
                <w:color w:val="1E293B"/>
                <w:sz w:val="17"/>
              </w:rPr>
              <w:t>TB_PACIENTES, TB_CONSENTIMIENTOS, TB_PRETRIAJE_CLINICO, TB_PAQUETES_SESIONES</w:t>
            </w:r>
          </w:p>
        </w:tc>
      </w:tr>
      <w:tr>
        <w:tc>
          <w:tcPr>
            <w:tcW w:type="dxa" w:w="1008"/>
            <w:shd w:val="clear" w:color="auto" w:fill="FFFFFF"/>
          </w:tcPr>
          <w:p>
            <w:pPr>
              <w:spacing w:before="60" w:after="60"/>
              <w:jc w:val="center"/>
            </w:pPr>
            <w:r/>
            <w:r>
              <w:rPr>
                <w:rFonts w:ascii="Arial" w:hAnsi="Arial"/>
                <w:b/>
                <w:color w:val="0F2942"/>
                <w:sz w:val="17"/>
              </w:rPr>
              <w:t>Paso 5</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selecciona la especialidad, el profesional en SEL_ESP_0002 y la modalidad de atención (Presencial, Virtual o Domicilio).</w:t>
            </w:r>
          </w:p>
        </w:tc>
        <w:tc>
          <w:tcPr>
            <w:tcW w:type="dxa" w:w="2016"/>
            <w:shd w:val="clear" w:color="auto" w:fill="FFFFFF"/>
          </w:tcPr>
          <w:p>
            <w:pPr>
              <w:spacing w:before="60" w:after="60"/>
              <w:jc w:val="left"/>
            </w:pPr>
            <w:r/>
            <w:r>
              <w:rPr>
                <w:rFonts w:ascii="Arial" w:hAnsi="Arial"/>
                <w:b w:val="0"/>
                <w:color w:val="1E293B"/>
                <w:sz w:val="17"/>
              </w:rPr>
              <w:t>MDL-0021</w:t>
            </w:r>
          </w:p>
        </w:tc>
      </w:tr>
      <w:tr>
        <w:tc>
          <w:tcPr>
            <w:tcW w:type="dxa" w:w="1008"/>
            <w:shd w:val="clear" w:color="auto" w:fill="F8FAFC"/>
          </w:tcPr>
          <w:p>
            <w:pPr>
              <w:spacing w:before="60" w:after="60"/>
              <w:jc w:val="center"/>
            </w:pPr>
            <w:r/>
            <w:r>
              <w:rPr>
                <w:rFonts w:ascii="Arial" w:hAnsi="Arial"/>
                <w:b/>
                <w:color w:val="0F2942"/>
                <w:sz w:val="17"/>
              </w:rPr>
              <w:t>Paso 6</w:t>
            </w:r>
          </w:p>
        </w:tc>
        <w:tc>
          <w:tcPr>
            <w:tcW w:type="dxa" w:w="1872"/>
            <w:shd w:val="clear" w:color="auto" w:fill="F8FAFC"/>
          </w:tcPr>
          <w:p>
            <w:pPr>
              <w:spacing w:before="60" w:after="60"/>
              <w:jc w:val="left"/>
            </w:pPr>
            <w:r/>
            <w:r>
              <w:rPr>
                <w:rFonts w:ascii="Arial" w:hAnsi="Arial"/>
                <w:b w:val="0"/>
                <w:color w:val="1E293B"/>
                <w:sz w:val="17"/>
              </w:rPr>
              <w:t>Carril 3: Lógica Backend</w:t>
            </w:r>
          </w:p>
        </w:tc>
        <w:tc>
          <w:tcPr>
            <w:tcW w:type="dxa" w:w="4320"/>
            <w:shd w:val="clear" w:color="auto" w:fill="F8FAFC"/>
          </w:tcPr>
          <w:p>
            <w:pPr>
              <w:spacing w:before="60" w:after="60"/>
              <w:jc w:val="left"/>
            </w:pPr>
            <w:r/>
            <w:r>
              <w:rPr>
                <w:rFonts w:ascii="Arial" w:hAnsi="Arial"/>
                <w:b w:val="0"/>
                <w:color w:val="1E293B"/>
                <w:sz w:val="17"/>
              </w:rPr>
              <w:t>El sistema consulta en tiempo real TB_HORARIOS aplicando control de concurrencia y carga únicamente los bloques con estado = 'Libre' en SEL_HORARIO_0002.</w:t>
            </w:r>
          </w:p>
        </w:tc>
        <w:tc>
          <w:tcPr>
            <w:tcW w:type="dxa" w:w="2016"/>
            <w:shd w:val="clear" w:color="auto" w:fill="F8FAFC"/>
          </w:tcPr>
          <w:p>
            <w:pPr>
              <w:spacing w:before="60" w:after="60"/>
              <w:jc w:val="left"/>
            </w:pPr>
            <w:r/>
            <w:r>
              <w:rPr>
                <w:rFonts w:ascii="Arial" w:hAnsi="Arial"/>
                <w:b w:val="0"/>
                <w:color w:val="1E293B"/>
                <w:sz w:val="17"/>
              </w:rPr>
              <w:t>TB_HORARIOS (RNF-0005 &lt; 1.5s)</w:t>
            </w:r>
          </w:p>
        </w:tc>
      </w:tr>
      <w:tr>
        <w:tc>
          <w:tcPr>
            <w:tcW w:type="dxa" w:w="1008"/>
            <w:shd w:val="clear" w:color="auto" w:fill="FFFFFF"/>
          </w:tcPr>
          <w:p>
            <w:pPr>
              <w:spacing w:before="60" w:after="60"/>
              <w:jc w:val="center"/>
            </w:pPr>
            <w:r/>
            <w:r>
              <w:rPr>
                <w:rFonts w:ascii="Arial" w:hAnsi="Arial"/>
                <w:b/>
                <w:color w:val="0F2942"/>
                <w:sz w:val="17"/>
              </w:rPr>
              <w:t>Paso 7</w:t>
            </w:r>
          </w:p>
        </w:tc>
        <w:tc>
          <w:tcPr>
            <w:tcW w:type="dxa" w:w="1872"/>
            <w:shd w:val="clear" w:color="auto" w:fill="FFFFFF"/>
          </w:tcPr>
          <w:p>
            <w:pPr>
              <w:spacing w:before="60" w:after="60"/>
              <w:jc w:val="left"/>
            </w:pPr>
            <w:r/>
            <w:r>
              <w:rPr>
                <w:rFonts w:ascii="Arial" w:hAnsi="Arial"/>
                <w:b w:val="0"/>
                <w:color w:val="1E293B"/>
                <w:sz w:val="17"/>
              </w:rPr>
              <w:t>Carril 3: Concurrencia</w:t>
            </w:r>
          </w:p>
        </w:tc>
        <w:tc>
          <w:tcPr>
            <w:tcW w:type="dxa" w:w="4320"/>
            <w:shd w:val="clear" w:color="auto" w:fill="FFFFFF"/>
          </w:tcPr>
          <w:p>
            <w:pPr>
              <w:spacing w:before="60" w:after="60"/>
              <w:jc w:val="left"/>
            </w:pPr>
            <w:r/>
            <w:r>
              <w:rPr>
                <w:rFonts w:ascii="Arial" w:hAnsi="Arial"/>
                <w:b w:val="0"/>
                <w:color w:val="1E293B"/>
                <w:sz w:val="17"/>
              </w:rPr>
              <w:t>El actor selecciona el bloque en SEL_HORARIO_0002; el sistema adquiere bloqueo temporal anticolisión (SELECT FOR UPDATE NOWAIT + Redis TTL 600s) sobre dicho bloque.</w:t>
            </w:r>
          </w:p>
        </w:tc>
        <w:tc>
          <w:tcPr>
            <w:tcW w:type="dxa" w:w="2016"/>
            <w:shd w:val="clear" w:color="auto" w:fill="FFFFFF"/>
          </w:tcPr>
          <w:p>
            <w:pPr>
              <w:spacing w:before="60" w:after="60"/>
              <w:jc w:val="left"/>
            </w:pPr>
            <w:r/>
            <w:r>
              <w:rPr>
                <w:rFonts w:ascii="Arial" w:hAnsi="Arial"/>
                <w:b w:val="0"/>
                <w:color w:val="1E293B"/>
                <w:sz w:val="17"/>
              </w:rPr>
              <w:t>TB_HORARIOS, Redis 7.2 (RNF-0004)</w:t>
            </w:r>
          </w:p>
        </w:tc>
      </w:tr>
      <w:tr>
        <w:tc>
          <w:tcPr>
            <w:tcW w:type="dxa" w:w="1008"/>
            <w:shd w:val="clear" w:color="auto" w:fill="F8FAFC"/>
          </w:tcPr>
          <w:p>
            <w:pPr>
              <w:spacing w:before="60" w:after="60"/>
              <w:jc w:val="center"/>
            </w:pPr>
            <w:r/>
            <w:r>
              <w:rPr>
                <w:rFonts w:ascii="Arial" w:hAnsi="Arial"/>
                <w:b/>
                <w:color w:val="0F2942"/>
                <w:sz w:val="17"/>
              </w:rPr>
              <w:t>Paso 8</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COMPUERTA XOR: Si el actor desiste y presiona BTN_CANCELAR_FORM_0001 ('CANCELAR' / 'X'), el sistema libera el bloqueo horario y SALTA AL PASO 11; si confirma con BTN_GUARDAR_CITA_0002 ('GUARDAR'), CONTINÚA EN EL PASO 9.</w:t>
            </w:r>
          </w:p>
        </w:tc>
        <w:tc>
          <w:tcPr>
            <w:tcW w:type="dxa" w:w="2016"/>
            <w:shd w:val="clear" w:color="auto" w:fill="F8FAFC"/>
          </w:tcPr>
          <w:p>
            <w:pPr>
              <w:spacing w:before="60" w:after="60"/>
              <w:jc w:val="left"/>
            </w:pPr>
            <w:r/>
            <w:r>
              <w:rPr>
                <w:rFonts w:ascii="Arial" w:hAnsi="Arial"/>
                <w:b w:val="0"/>
                <w:color w:val="1E293B"/>
                <w:sz w:val="17"/>
              </w:rPr>
              <w:t>MDL-0021, Redis 7.2</w:t>
            </w:r>
          </w:p>
        </w:tc>
      </w:tr>
      <w:tr>
        <w:tc>
          <w:tcPr>
            <w:tcW w:type="dxa" w:w="1008"/>
            <w:shd w:val="clear" w:color="auto" w:fill="FFFFFF"/>
          </w:tcPr>
          <w:p>
            <w:pPr>
              <w:spacing w:before="60" w:after="60"/>
              <w:jc w:val="center"/>
            </w:pPr>
            <w:r/>
            <w:r>
              <w:rPr>
                <w:rFonts w:ascii="Arial" w:hAnsi="Arial"/>
                <w:b/>
                <w:color w:val="0F2942"/>
                <w:sz w:val="17"/>
              </w:rPr>
              <w:t>Paso 9</w:t>
            </w:r>
          </w:p>
        </w:tc>
        <w:tc>
          <w:tcPr>
            <w:tcW w:type="dxa" w:w="1872"/>
            <w:shd w:val="clear" w:color="auto" w:fill="FFFFFF"/>
          </w:tcPr>
          <w:p>
            <w:pPr>
              <w:spacing w:before="60" w:after="60"/>
              <w:jc w:val="left"/>
            </w:pPr>
            <w:r/>
            <w:r>
              <w:rPr>
                <w:rFonts w:ascii="Arial" w:hAnsi="Arial"/>
                <w:b w:val="0"/>
                <w:color w:val="1E293B"/>
                <w:sz w:val="17"/>
              </w:rPr>
              <w:t>Carril 3: Lógica Backend</w:t>
            </w:r>
          </w:p>
        </w:tc>
        <w:tc>
          <w:tcPr>
            <w:tcW w:type="dxa" w:w="4320"/>
            <w:shd w:val="clear" w:color="auto" w:fill="FFFFFF"/>
          </w:tcPr>
          <w:p>
            <w:pPr>
              <w:spacing w:before="60" w:after="60"/>
              <w:jc w:val="left"/>
            </w:pPr>
            <w:r/>
            <w:r>
              <w:rPr>
                <w:rFonts w:ascii="Arial" w:hAnsi="Arial"/>
                <w:b w:val="0"/>
                <w:color w:val="1E293B"/>
                <w:sz w:val="17"/>
              </w:rPr>
              <w:t>COMPUERTA XOR: Valida campos obligatorios y verifica ausencia de colisión concurrente. Si detecta error o conflicto, notifica en pantalla y RETORNA AL PASO 6; si es conforme, CONTINÚA EN EL PASO 10.</w:t>
            </w:r>
          </w:p>
        </w:tc>
        <w:tc>
          <w:tcPr>
            <w:tcW w:type="dxa" w:w="2016"/>
            <w:shd w:val="clear" w:color="auto" w:fill="FFFFFF"/>
          </w:tcPr>
          <w:p>
            <w:pPr>
              <w:spacing w:before="60" w:after="60"/>
              <w:jc w:val="left"/>
            </w:pPr>
            <w:r/>
            <w:r>
              <w:rPr>
                <w:rFonts w:ascii="Arial" w:hAnsi="Arial"/>
                <w:b w:val="0"/>
                <w:color w:val="1E293B"/>
                <w:sz w:val="17"/>
              </w:rPr>
              <w:t>TB_HORARIOS (RNF-0004, RNF-0009)</w:t>
            </w:r>
          </w:p>
        </w:tc>
      </w:tr>
      <w:tr>
        <w:tc>
          <w:tcPr>
            <w:tcW w:type="dxa" w:w="1008"/>
            <w:shd w:val="clear" w:color="auto" w:fill="F8FAFC"/>
          </w:tcPr>
          <w:p>
            <w:pPr>
              <w:spacing w:before="60" w:after="60"/>
              <w:jc w:val="center"/>
            </w:pPr>
            <w:r/>
            <w:r>
              <w:rPr>
                <w:rFonts w:ascii="Arial" w:hAnsi="Arial"/>
                <w:b/>
                <w:color w:val="0F2942"/>
                <w:sz w:val="17"/>
              </w:rPr>
              <w:t>Paso 10</w:t>
            </w:r>
          </w:p>
        </w:tc>
        <w:tc>
          <w:tcPr>
            <w:tcW w:type="dxa" w:w="1872"/>
            <w:shd w:val="clear" w:color="auto" w:fill="F8FAFC"/>
          </w:tcPr>
          <w:p>
            <w:pPr>
              <w:spacing w:before="60" w:after="60"/>
              <w:jc w:val="left"/>
            </w:pPr>
            <w:r/>
            <w:r>
              <w:rPr>
                <w:rFonts w:ascii="Arial" w:hAnsi="Arial"/>
                <w:b w:val="0"/>
                <w:color w:val="1E293B"/>
                <w:sz w:val="17"/>
              </w:rPr>
              <w:t>Carril 4: Vitalis_BD / Meet</w:t>
            </w:r>
          </w:p>
        </w:tc>
        <w:tc>
          <w:tcPr>
            <w:tcW w:type="dxa" w:w="4320"/>
            <w:shd w:val="clear" w:color="auto" w:fill="F8FAFC"/>
          </w:tcPr>
          <w:p>
            <w:pPr>
              <w:spacing w:before="60" w:after="60"/>
              <w:jc w:val="left"/>
            </w:pPr>
            <w:r/>
            <w:r>
              <w:rPr>
                <w:rFonts w:ascii="Arial" w:hAnsi="Arial"/>
                <w:b w:val="0"/>
                <w:color w:val="1E293B"/>
                <w:sz w:val="17"/>
              </w:rPr>
              <w:t>Transacción ACID: inserta fila en TB_CITAS (estado='Pendiente'), actualiza TB_HORARIOS a 'Ocupado', registra en TB_HISTORIAL_CITAS y TB_AUDITORIA_LOGS, y si es 'Virtual' genera enlace en TB_ENLACES_VIDEOCONFERENCIA.</w:t>
            </w:r>
          </w:p>
        </w:tc>
        <w:tc>
          <w:tcPr>
            <w:tcW w:type="dxa" w:w="2016"/>
            <w:shd w:val="clear" w:color="auto" w:fill="F8FAFC"/>
          </w:tcPr>
          <w:p>
            <w:pPr>
              <w:spacing w:before="60" w:after="60"/>
              <w:jc w:val="left"/>
            </w:pPr>
            <w:r/>
            <w:r>
              <w:rPr>
                <w:rFonts w:ascii="Arial" w:hAnsi="Arial"/>
                <w:b w:val="0"/>
                <w:color w:val="1E293B"/>
                <w:sz w:val="17"/>
              </w:rPr>
              <w:t>TB_CITAS, TB_HORARIOS, TB_HISTORIAL_CITAS (RNF-0003, RNF-0010)</w:t>
            </w:r>
          </w:p>
        </w:tc>
      </w:tr>
      <w:tr>
        <w:tc>
          <w:tcPr>
            <w:tcW w:type="dxa" w:w="1008"/>
            <w:shd w:val="clear" w:color="auto" w:fill="FFFFFF"/>
          </w:tcPr>
          <w:p>
            <w:pPr>
              <w:spacing w:before="60" w:after="60"/>
              <w:jc w:val="center"/>
            </w:pPr>
            <w:r/>
            <w:r>
              <w:rPr>
                <w:rFonts w:ascii="Arial" w:hAnsi="Arial"/>
                <w:b/>
                <w:color w:val="0F2942"/>
                <w:sz w:val="17"/>
              </w:rPr>
              <w:t>Paso 11</w:t>
            </w:r>
          </w:p>
        </w:tc>
        <w:tc>
          <w:tcPr>
            <w:tcW w:type="dxa" w:w="1872"/>
            <w:shd w:val="clear" w:color="auto" w:fill="FFFFFF"/>
          </w:tcPr>
          <w:p>
            <w:pPr>
              <w:spacing w:before="60" w:after="60"/>
              <w:jc w:val="left"/>
            </w:pPr>
            <w:r/>
            <w:r>
              <w:rPr>
                <w:rFonts w:ascii="Arial" w:hAnsi="Arial"/>
                <w:b w:val="0"/>
                <w:color w:val="1E293B"/>
                <w:sz w:val="17"/>
              </w:rPr>
              <w:t>Carril 2: Presentación SPA</w:t>
            </w:r>
          </w:p>
        </w:tc>
        <w:tc>
          <w:tcPr>
            <w:tcW w:type="dxa" w:w="4320"/>
            <w:shd w:val="clear" w:color="auto" w:fill="FFFFFF"/>
          </w:tcPr>
          <w:p>
            <w:pPr>
              <w:spacing w:before="60" w:after="60"/>
              <w:jc w:val="left"/>
            </w:pPr>
            <w:r/>
            <w:r>
              <w:rPr>
                <w:rFonts w:ascii="Arial" w:hAnsi="Arial"/>
                <w:b w:val="0"/>
                <w:color w:val="1E293B"/>
                <w:sz w:val="17"/>
              </w:rPr>
              <w:t>El sistema cierra el modal MDL-0021 automáticamente, refresca la grilla TBL_CITAS_001 en GUI-0005 y cierra TB_CITAS y TB_HORARIOS dejando Vitalis_BD abierta.</w:t>
            </w:r>
          </w:p>
        </w:tc>
        <w:tc>
          <w:tcPr>
            <w:tcW w:type="dxa" w:w="2016"/>
            <w:shd w:val="clear" w:color="auto" w:fill="FFFFFF"/>
          </w:tcPr>
          <w:p>
            <w:pPr>
              <w:spacing w:before="60" w:after="60"/>
              <w:jc w:val="left"/>
            </w:pPr>
            <w:r/>
            <w:r>
              <w:rPr>
                <w:rFonts w:ascii="Arial" w:hAnsi="Arial"/>
                <w:b w:val="0"/>
                <w:color w:val="1E293B"/>
                <w:sz w:val="17"/>
              </w:rPr>
              <w:t>GUI-0005, MDL-0021, Vitalis_BD</w:t>
            </w:r>
          </w:p>
        </w:tc>
      </w:tr>
    </w:tbl>
    <w:p>
      <w:pPr>
        <w:spacing w:after="120"/>
      </w:pPr>
    </w:p>
    <w:p>
      <w:pPr>
        <w:keepNext/>
        <w:spacing w:before="200" w:after="80"/>
      </w:pPr>
      <w:r>
        <w:rPr>
          <w:rFonts w:ascii="Arial" w:hAnsi="Arial"/>
          <w:b/>
          <w:color w:val="1E3A8A"/>
          <w:sz w:val="23"/>
        </w:rPr>
        <w:t>7.4. Proceso 02: Ilación ILA-0062 — Crear Pre-Triaje Clínico y Alerta Roja (EDU-0023)</w:t>
      </w:r>
    </w:p>
    <w:p>
      <w:pPr>
        <w:spacing w:before="40" w:after="100" w:line="276" w:lineRule="auto"/>
        <w:jc w:val="both"/>
      </w:pPr>
      <w:r>
        <w:rPr>
          <w:rFonts w:ascii="Arial" w:hAnsi="Arial"/>
          <w:i w:val="0"/>
          <w:color w:val="1E293B"/>
          <w:sz w:val="20"/>
        </w:rPr>
        <w:t>La Figura 7.2 presenta el diagrama de proceso BPMN 2.0 para la ilación ILA-0062, detallando sus 10 pasos numerados y sus 3 compuertas de decisión (Paso 6 -&gt; cancelación salta al Paso 10; Paso 7 -&gt; datos incompletos retornan al Paso 4 manteniendo bloqueado el agendamiento; Paso 8 -&gt; evaluación automática del indicador crítico alerta_roja = true/false).</w:t>
      </w:r>
    </w:p>
    <w:p>
      <w:pPr>
        <w:spacing w:before="120" w:after="80"/>
        <w:jc w:val="center"/>
      </w:pPr>
      <w:r>
        <w:drawing>
          <wp:inline xmlns:a="http://schemas.openxmlformats.org/drawingml/2006/main" xmlns:pic="http://schemas.openxmlformats.org/drawingml/2006/picture">
            <wp:extent cx="5760720" cy="3188632"/>
            <wp:docPr id="3" name="Picture 3"/>
            <wp:cNvGraphicFramePr>
              <a:graphicFrameLocks noChangeAspect="1"/>
            </wp:cNvGraphicFramePr>
            <a:graphic>
              <a:graphicData uri="http://schemas.openxmlformats.org/drawingml/2006/picture">
                <pic:pic>
                  <pic:nvPicPr>
                    <pic:cNvPr id="0" name="10_vista_procesos_ila0062.png"/>
                    <pic:cNvPicPr/>
                  </pic:nvPicPr>
                  <pic:blipFill>
                    <a:blip r:embed="rId10"/>
                    <a:stretch>
                      <a:fillRect/>
                    </a:stretch>
                  </pic:blipFill>
                  <pic:spPr>
                    <a:xfrm>
                      <a:off x="0" y="0"/>
                      <a:ext cx="5760720" cy="3188632"/>
                    </a:xfrm>
                    <a:prstGeom prst="rect"/>
                  </pic:spPr>
                </pic:pic>
              </a:graphicData>
            </a:graphic>
          </wp:inline>
        </w:drawing>
      </w:r>
    </w:p>
    <w:p>
      <w:pPr>
        <w:spacing w:after="160"/>
        <w:jc w:val="center"/>
      </w:pPr>
      <w:r>
        <w:rPr>
          <w:rFonts w:ascii="Arial" w:hAnsi="Arial"/>
          <w:b/>
          <w:i/>
          <w:color w:val="64748B"/>
          <w:sz w:val="18"/>
        </w:rPr>
        <w:t>Figura 7.2. Vista de Procesos (Bonita BPM / BPMN 2.0) — Proceso 02: Ilación ILA-0062 (Crear Pre-Triaje Clínico y Evaluación de Alerta Roja).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008"/>
            <w:shd w:val="clear" w:color="auto" w:fill="0F2942"/>
          </w:tcPr>
          <w:p>
            <w:pPr>
              <w:spacing w:before="60" w:after="60"/>
              <w:jc w:val="center"/>
            </w:pPr>
            <w:r/>
            <w:r>
              <w:rPr>
                <w:rFonts w:ascii="Arial" w:hAnsi="Arial"/>
                <w:b/>
                <w:color w:val="FFFFFF"/>
                <w:sz w:val="18"/>
              </w:rPr>
              <w:t>PASO N°</w:t>
            </w:r>
          </w:p>
        </w:tc>
        <w:tc>
          <w:tcPr>
            <w:tcW w:type="dxa" w:w="1872"/>
            <w:shd w:val="clear" w:color="auto" w:fill="0F2942"/>
          </w:tcPr>
          <w:p>
            <w:pPr>
              <w:spacing w:before="60" w:after="60"/>
              <w:jc w:val="center"/>
            </w:pPr>
            <w:r/>
            <w:r>
              <w:rPr>
                <w:rFonts w:ascii="Arial" w:hAnsi="Arial"/>
                <w:b/>
                <w:color w:val="FFFFFF"/>
                <w:sz w:val="18"/>
              </w:rPr>
              <w:t>CARRIL RESPONSABLE</w:t>
            </w:r>
          </w:p>
        </w:tc>
        <w:tc>
          <w:tcPr>
            <w:tcW w:type="dxa" w:w="4320"/>
            <w:shd w:val="clear" w:color="auto" w:fill="0F2942"/>
          </w:tcPr>
          <w:p>
            <w:pPr>
              <w:spacing w:before="60" w:after="60"/>
              <w:jc w:val="center"/>
            </w:pPr>
            <w:r/>
            <w:r>
              <w:rPr>
                <w:rFonts w:ascii="Arial" w:hAnsi="Arial"/>
                <w:b/>
                <w:color w:val="FFFFFF"/>
                <w:sz w:val="18"/>
              </w:rPr>
              <w:t>ACCIÓN / REGLA DE DECISIÓN Y SALTO LÓGICO (SINCRONIZADO CON ILA-0062)</w:t>
            </w:r>
          </w:p>
        </w:tc>
        <w:tc>
          <w:tcPr>
            <w:tcW w:type="dxa" w:w="2016"/>
            <w:shd w:val="clear" w:color="auto" w:fill="0F2942"/>
          </w:tcPr>
          <w:p>
            <w:pPr>
              <w:spacing w:before="60" w:after="60"/>
              <w:jc w:val="center"/>
            </w:pPr>
            <w:r/>
            <w:r>
              <w:rPr>
                <w:rFonts w:ascii="Arial" w:hAnsi="Arial"/>
                <w:b/>
                <w:color w:val="FFFFFF"/>
                <w:sz w:val="18"/>
              </w:rPr>
              <w:t>TABLAS TB_* Y RNF VINCULADOS</w:t>
            </w:r>
          </w:p>
        </w:tc>
      </w:tr>
      <w:tr>
        <w:tc>
          <w:tcPr>
            <w:tcW w:type="dxa" w:w="1008"/>
            <w:shd w:val="clear" w:color="auto" w:fill="FFFFFF"/>
          </w:tcPr>
          <w:p>
            <w:pPr>
              <w:spacing w:before="60" w:after="60"/>
              <w:jc w:val="center"/>
            </w:pPr>
            <w:r/>
            <w:r>
              <w:rPr>
                <w:rFonts w:ascii="Arial" w:hAnsi="Arial"/>
                <w:b/>
                <w:color w:val="0F2942"/>
                <w:sz w:val="17"/>
              </w:rPr>
              <w:t>Paso 1</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selecciona [NAV_TRIAJE_004] en el menú lateral [SYS_SIDENAV_001] y accede a la interfaz principal [GUI-0016] ('Gestión de Pre-Triaje Clínico').</w:t>
            </w:r>
          </w:p>
        </w:tc>
        <w:tc>
          <w:tcPr>
            <w:tcW w:type="dxa" w:w="2016"/>
            <w:shd w:val="clear" w:color="auto" w:fill="FFFFFF"/>
          </w:tcPr>
          <w:p>
            <w:pPr>
              <w:spacing w:before="60" w:after="60"/>
              <w:jc w:val="left"/>
            </w:pPr>
            <w:r/>
            <w:r>
              <w:rPr>
                <w:rFonts w:ascii="Arial" w:hAnsi="Arial"/>
                <w:b w:val="0"/>
                <w:color w:val="1E293B"/>
                <w:sz w:val="17"/>
              </w:rPr>
              <w:t>GUI-0016 (RNF-0008)</w:t>
            </w:r>
          </w:p>
        </w:tc>
      </w:tr>
      <w:tr>
        <w:tc>
          <w:tcPr>
            <w:tcW w:type="dxa" w:w="1008"/>
            <w:shd w:val="clear" w:color="auto" w:fill="F8FAFC"/>
          </w:tcPr>
          <w:p>
            <w:pPr>
              <w:spacing w:before="60" w:after="60"/>
              <w:jc w:val="center"/>
            </w:pPr>
            <w:r/>
            <w:r>
              <w:rPr>
                <w:rFonts w:ascii="Arial" w:hAnsi="Arial"/>
                <w:b/>
                <w:color w:val="0F2942"/>
                <w:sz w:val="17"/>
              </w:rPr>
              <w:t>Paso 2</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El actor hace clic en [BTN_CREATE_TRIAJE_001] ('+ NUEVO REGISTRO DE TRIAJE') y el sistema despliega el modal [MDL_TRIAJE_001] (MDL-0076).</w:t>
            </w:r>
          </w:p>
        </w:tc>
        <w:tc>
          <w:tcPr>
            <w:tcW w:type="dxa" w:w="2016"/>
            <w:shd w:val="clear" w:color="auto" w:fill="F8FAFC"/>
          </w:tcPr>
          <w:p>
            <w:pPr>
              <w:spacing w:before="60" w:after="60"/>
              <w:jc w:val="left"/>
            </w:pPr>
            <w:r/>
            <w:r>
              <w:rPr>
                <w:rFonts w:ascii="Arial" w:hAnsi="Arial"/>
                <w:b w:val="0"/>
                <w:color w:val="1E293B"/>
                <w:sz w:val="17"/>
              </w:rPr>
              <w:t>MDL-0076</w:t>
            </w:r>
          </w:p>
        </w:tc>
      </w:tr>
      <w:tr>
        <w:tc>
          <w:tcPr>
            <w:tcW w:type="dxa" w:w="1008"/>
            <w:shd w:val="clear" w:color="auto" w:fill="FFFFFF"/>
          </w:tcPr>
          <w:p>
            <w:pPr>
              <w:spacing w:before="60" w:after="60"/>
              <w:jc w:val="center"/>
            </w:pPr>
            <w:r/>
            <w:r>
              <w:rPr>
                <w:rFonts w:ascii="Arial" w:hAnsi="Arial"/>
                <w:b/>
                <w:color w:val="0F2942"/>
                <w:sz w:val="17"/>
              </w:rPr>
              <w:t>Paso 3</w:t>
            </w:r>
          </w:p>
        </w:tc>
        <w:tc>
          <w:tcPr>
            <w:tcW w:type="dxa" w:w="1872"/>
            <w:shd w:val="clear" w:color="auto" w:fill="FFFFFF"/>
          </w:tcPr>
          <w:p>
            <w:pPr>
              <w:spacing w:before="60" w:after="60"/>
              <w:jc w:val="left"/>
            </w:pPr>
            <w:r/>
            <w:r>
              <w:rPr>
                <w:rFonts w:ascii="Arial" w:hAnsi="Arial"/>
                <w:b w:val="0"/>
                <w:color w:val="1E293B"/>
                <w:sz w:val="17"/>
              </w:rPr>
              <w:t>Carril 3: Lógica Backend</w:t>
            </w:r>
          </w:p>
        </w:tc>
        <w:tc>
          <w:tcPr>
            <w:tcW w:type="dxa" w:w="4320"/>
            <w:shd w:val="clear" w:color="auto" w:fill="FFFFFF"/>
          </w:tcPr>
          <w:p>
            <w:pPr>
              <w:spacing w:before="60" w:after="60"/>
              <w:jc w:val="left"/>
            </w:pPr>
            <w:r/>
            <w:r>
              <w:rPr>
                <w:rFonts w:ascii="Arial" w:hAnsi="Arial"/>
                <w:b w:val="0"/>
                <w:color w:val="1E293B"/>
                <w:sz w:val="17"/>
              </w:rPr>
              <w:t>El actor selecciona o ingresa el identificador del paciente menor y de su apoderado; el sistema verifica su existencia activa en TB_PACIENTES y TB_APODERADOS.</w:t>
            </w:r>
          </w:p>
        </w:tc>
        <w:tc>
          <w:tcPr>
            <w:tcW w:type="dxa" w:w="2016"/>
            <w:shd w:val="clear" w:color="auto" w:fill="FFFFFF"/>
          </w:tcPr>
          <w:p>
            <w:pPr>
              <w:spacing w:before="60" w:after="60"/>
              <w:jc w:val="left"/>
            </w:pPr>
            <w:r/>
            <w:r>
              <w:rPr>
                <w:rFonts w:ascii="Arial" w:hAnsi="Arial"/>
                <w:b w:val="0"/>
                <w:color w:val="1E293B"/>
                <w:sz w:val="17"/>
              </w:rPr>
              <w:t>TB_PACIENTES, TB_APODERADOS</w:t>
            </w:r>
          </w:p>
        </w:tc>
      </w:tr>
      <w:tr>
        <w:tc>
          <w:tcPr>
            <w:tcW w:type="dxa" w:w="1008"/>
            <w:shd w:val="clear" w:color="auto" w:fill="F8FAFC"/>
          </w:tcPr>
          <w:p>
            <w:pPr>
              <w:spacing w:before="60" w:after="60"/>
              <w:jc w:val="center"/>
            </w:pPr>
            <w:r/>
            <w:r>
              <w:rPr>
                <w:rFonts w:ascii="Arial" w:hAnsi="Arial"/>
                <w:b/>
                <w:color w:val="0F2942"/>
                <w:sz w:val="17"/>
              </w:rPr>
              <w:t>Paso 4</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El actor registra los signos vitales en [FLD_TEMP_001] ('Temperatura °C'), [FLD_BP_001] ('Presión Arterial'), [FLD_HEART_RATE_001] ('Frecuencia Cardíaca') y antecedentes obligatorios.</w:t>
            </w:r>
          </w:p>
        </w:tc>
        <w:tc>
          <w:tcPr>
            <w:tcW w:type="dxa" w:w="2016"/>
            <w:shd w:val="clear" w:color="auto" w:fill="F8FAFC"/>
          </w:tcPr>
          <w:p>
            <w:pPr>
              <w:spacing w:before="60" w:after="60"/>
              <w:jc w:val="left"/>
            </w:pPr>
            <w:r/>
            <w:r>
              <w:rPr>
                <w:rFonts w:ascii="Arial" w:hAnsi="Arial"/>
                <w:b w:val="0"/>
                <w:color w:val="1E293B"/>
                <w:sz w:val="17"/>
              </w:rPr>
              <w:t>MDL-0076 (RNF-0009)</w:t>
            </w:r>
          </w:p>
        </w:tc>
      </w:tr>
      <w:tr>
        <w:tc>
          <w:tcPr>
            <w:tcW w:type="dxa" w:w="1008"/>
            <w:shd w:val="clear" w:color="auto" w:fill="FFFFFF"/>
          </w:tcPr>
          <w:p>
            <w:pPr>
              <w:spacing w:before="60" w:after="60"/>
              <w:jc w:val="center"/>
            </w:pPr>
            <w:r/>
            <w:r>
              <w:rPr>
                <w:rFonts w:ascii="Arial" w:hAnsi="Arial"/>
                <w:b/>
                <w:color w:val="0F2942"/>
                <w:sz w:val="17"/>
              </w:rPr>
              <w:t>Paso 5</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selecciona el nivel y condiciones de riesgo en [FLD_RISK_LEVEL_001] y redacta las observaciones detalladas en [FLD_OBS_001].</w:t>
            </w:r>
          </w:p>
        </w:tc>
        <w:tc>
          <w:tcPr>
            <w:tcW w:type="dxa" w:w="2016"/>
            <w:shd w:val="clear" w:color="auto" w:fill="FFFFFF"/>
          </w:tcPr>
          <w:p>
            <w:pPr>
              <w:spacing w:before="60" w:after="60"/>
              <w:jc w:val="left"/>
            </w:pPr>
            <w:r/>
            <w:r>
              <w:rPr>
                <w:rFonts w:ascii="Arial" w:hAnsi="Arial"/>
                <w:b w:val="0"/>
                <w:color w:val="1E293B"/>
                <w:sz w:val="17"/>
              </w:rPr>
              <w:t>MDL-0076</w:t>
            </w:r>
          </w:p>
        </w:tc>
      </w:tr>
      <w:tr>
        <w:tc>
          <w:tcPr>
            <w:tcW w:type="dxa" w:w="1008"/>
            <w:shd w:val="clear" w:color="auto" w:fill="F8FAFC"/>
          </w:tcPr>
          <w:p>
            <w:pPr>
              <w:spacing w:before="60" w:after="60"/>
              <w:jc w:val="center"/>
            </w:pPr>
            <w:r/>
            <w:r>
              <w:rPr>
                <w:rFonts w:ascii="Arial" w:hAnsi="Arial"/>
                <w:b/>
                <w:color w:val="0F2942"/>
                <w:sz w:val="17"/>
              </w:rPr>
              <w:t>Paso 6</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COMPUERTA XOR: Si decide cancelar presionando [BTN_CANCEL_001] ('Cancelar' / 'X'), el sistema descarta el formulario y SALTA AL PASO 10; si presiona [BTN_SAVE_TRIAJE_001] ('GUARDAR PRE-TRIAJE'), CONTINÚA EN EL PASO 7.</w:t>
            </w:r>
          </w:p>
        </w:tc>
        <w:tc>
          <w:tcPr>
            <w:tcW w:type="dxa" w:w="2016"/>
            <w:shd w:val="clear" w:color="auto" w:fill="F8FAFC"/>
          </w:tcPr>
          <w:p>
            <w:pPr>
              <w:spacing w:before="60" w:after="60"/>
              <w:jc w:val="left"/>
            </w:pPr>
            <w:r/>
            <w:r>
              <w:rPr>
                <w:rFonts w:ascii="Arial" w:hAnsi="Arial"/>
                <w:b w:val="0"/>
                <w:color w:val="1E293B"/>
                <w:sz w:val="17"/>
              </w:rPr>
              <w:t>MDL-0076</w:t>
            </w:r>
          </w:p>
        </w:tc>
      </w:tr>
      <w:tr>
        <w:tc>
          <w:tcPr>
            <w:tcW w:type="dxa" w:w="1008"/>
            <w:shd w:val="clear" w:color="auto" w:fill="FFFFFF"/>
          </w:tcPr>
          <w:p>
            <w:pPr>
              <w:spacing w:before="60" w:after="60"/>
              <w:jc w:val="center"/>
            </w:pPr>
            <w:r/>
            <w:r>
              <w:rPr>
                <w:rFonts w:ascii="Arial" w:hAnsi="Arial"/>
                <w:b/>
                <w:color w:val="0F2942"/>
                <w:sz w:val="17"/>
              </w:rPr>
              <w:t>Paso 7</w:t>
            </w:r>
          </w:p>
        </w:tc>
        <w:tc>
          <w:tcPr>
            <w:tcW w:type="dxa" w:w="1872"/>
            <w:shd w:val="clear" w:color="auto" w:fill="FFFFFF"/>
          </w:tcPr>
          <w:p>
            <w:pPr>
              <w:spacing w:before="60" w:after="60"/>
              <w:jc w:val="left"/>
            </w:pPr>
            <w:r/>
            <w:r>
              <w:rPr>
                <w:rFonts w:ascii="Arial" w:hAnsi="Arial"/>
                <w:b w:val="0"/>
                <w:color w:val="1E293B"/>
                <w:sz w:val="17"/>
              </w:rPr>
              <w:t>Carril 3: Motor Clínico</w:t>
            </w:r>
          </w:p>
        </w:tc>
        <w:tc>
          <w:tcPr>
            <w:tcW w:type="dxa" w:w="4320"/>
            <w:shd w:val="clear" w:color="auto" w:fill="FFFFFF"/>
          </w:tcPr>
          <w:p>
            <w:pPr>
              <w:spacing w:before="60" w:after="60"/>
              <w:jc w:val="left"/>
            </w:pPr>
            <w:r/>
            <w:r>
              <w:rPr>
                <w:rFonts w:ascii="Arial" w:hAnsi="Arial"/>
                <w:b w:val="0"/>
                <w:color w:val="1E293B"/>
                <w:sz w:val="17"/>
              </w:rPr>
              <w:t>COMPUERTA XOR: Valida que los campos obligatorios estén completos y en rango válido. Si falta algún dato, muestra error, mantiene bloqueado el agendamiento de citas para el menor y RETORNA AL PASO 4; si es conforme, CONTINÚA EN EL PASO 8.</w:t>
            </w:r>
          </w:p>
        </w:tc>
        <w:tc>
          <w:tcPr>
            <w:tcW w:type="dxa" w:w="2016"/>
            <w:shd w:val="clear" w:color="auto" w:fill="FFFFFF"/>
          </w:tcPr>
          <w:p>
            <w:pPr>
              <w:spacing w:before="60" w:after="60"/>
              <w:jc w:val="left"/>
            </w:pPr>
            <w:r/>
            <w:r>
              <w:rPr>
                <w:rFonts w:ascii="Arial" w:hAnsi="Arial"/>
                <w:b w:val="0"/>
                <w:color w:val="1E293B"/>
                <w:sz w:val="17"/>
              </w:rPr>
              <w:t>TB_PRETRIAJE_CLINICO (RNF-0009)</w:t>
            </w:r>
          </w:p>
        </w:tc>
      </w:tr>
      <w:tr>
        <w:tc>
          <w:tcPr>
            <w:tcW w:type="dxa" w:w="1008"/>
            <w:shd w:val="clear" w:color="auto" w:fill="F8FAFC"/>
          </w:tcPr>
          <w:p>
            <w:pPr>
              <w:spacing w:before="60" w:after="60"/>
              <w:jc w:val="center"/>
            </w:pPr>
            <w:r/>
            <w:r>
              <w:rPr>
                <w:rFonts w:ascii="Arial" w:hAnsi="Arial"/>
                <w:b/>
                <w:color w:val="0F2942"/>
                <w:sz w:val="17"/>
              </w:rPr>
              <w:t>Paso 8</w:t>
            </w:r>
          </w:p>
        </w:tc>
        <w:tc>
          <w:tcPr>
            <w:tcW w:type="dxa" w:w="1872"/>
            <w:shd w:val="clear" w:color="auto" w:fill="F8FAFC"/>
          </w:tcPr>
          <w:p>
            <w:pPr>
              <w:spacing w:before="60" w:after="60"/>
              <w:jc w:val="left"/>
            </w:pPr>
            <w:r/>
            <w:r>
              <w:rPr>
                <w:rFonts w:ascii="Arial" w:hAnsi="Arial"/>
                <w:b w:val="0"/>
                <w:color w:val="1E293B"/>
                <w:sz w:val="17"/>
              </w:rPr>
              <w:t>Carril 3: Motor Clínico</w:t>
            </w:r>
          </w:p>
        </w:tc>
        <w:tc>
          <w:tcPr>
            <w:tcW w:type="dxa" w:w="4320"/>
            <w:shd w:val="clear" w:color="auto" w:fill="F8FAFC"/>
          </w:tcPr>
          <w:p>
            <w:pPr>
              <w:spacing w:before="60" w:after="60"/>
              <w:jc w:val="left"/>
            </w:pPr>
            <w:r/>
            <w:r>
              <w:rPr>
                <w:rFonts w:ascii="Arial" w:hAnsi="Arial"/>
                <w:b w:val="0"/>
                <w:color w:val="1E293B"/>
                <w:sz w:val="17"/>
              </w:rPr>
              <w:t>COMPUERTA XOR: Evalúa automáticamente las condiciones registradas. Si detecta condición crítica (epilepsia severa, crisis sensoriales o ideación suicida), activa alerta_roja = true; en caso contrario, asigna alerta_roja = false.</w:t>
            </w:r>
          </w:p>
        </w:tc>
        <w:tc>
          <w:tcPr>
            <w:tcW w:type="dxa" w:w="2016"/>
            <w:shd w:val="clear" w:color="auto" w:fill="F8FAFC"/>
          </w:tcPr>
          <w:p>
            <w:pPr>
              <w:spacing w:before="60" w:after="60"/>
              <w:jc w:val="left"/>
            </w:pPr>
            <w:r/>
            <w:r>
              <w:rPr>
                <w:rFonts w:ascii="Arial" w:hAnsi="Arial"/>
                <w:b w:val="0"/>
                <w:color w:val="1E293B"/>
                <w:sz w:val="17"/>
              </w:rPr>
              <w:t>Regla Clínica Determinista (&lt; 50 ms)</w:t>
            </w:r>
          </w:p>
        </w:tc>
      </w:tr>
      <w:tr>
        <w:tc>
          <w:tcPr>
            <w:tcW w:type="dxa" w:w="1008"/>
            <w:shd w:val="clear" w:color="auto" w:fill="FFFFFF"/>
          </w:tcPr>
          <w:p>
            <w:pPr>
              <w:spacing w:before="60" w:after="60"/>
              <w:jc w:val="center"/>
            </w:pPr>
            <w:r/>
            <w:r>
              <w:rPr>
                <w:rFonts w:ascii="Arial" w:hAnsi="Arial"/>
                <w:b/>
                <w:color w:val="0F2942"/>
                <w:sz w:val="17"/>
              </w:rPr>
              <w:t>Paso 9</w:t>
            </w:r>
          </w:p>
        </w:tc>
        <w:tc>
          <w:tcPr>
            <w:tcW w:type="dxa" w:w="1872"/>
            <w:shd w:val="clear" w:color="auto" w:fill="FFFFFF"/>
          </w:tcPr>
          <w:p>
            <w:pPr>
              <w:spacing w:before="60" w:after="60"/>
              <w:jc w:val="left"/>
            </w:pPr>
            <w:r/>
            <w:r>
              <w:rPr>
                <w:rFonts w:ascii="Arial" w:hAnsi="Arial"/>
                <w:b w:val="0"/>
                <w:color w:val="1E293B"/>
                <w:sz w:val="17"/>
              </w:rPr>
              <w:t>Carril 4: Vitalis_BD</w:t>
            </w:r>
          </w:p>
        </w:tc>
        <w:tc>
          <w:tcPr>
            <w:tcW w:type="dxa" w:w="4320"/>
            <w:shd w:val="clear" w:color="auto" w:fill="FFFFFF"/>
          </w:tcPr>
          <w:p>
            <w:pPr>
              <w:spacing w:before="60" w:after="60"/>
              <w:jc w:val="left"/>
            </w:pPr>
            <w:r/>
            <w:r>
              <w:rPr>
                <w:rFonts w:ascii="Arial" w:hAnsi="Arial"/>
                <w:b w:val="0"/>
                <w:color w:val="1E293B"/>
                <w:sz w:val="17"/>
              </w:rPr>
              <w:t>Persiste la nueva fila en TB_PRETRIAJE_CLINICO con fecha actual y eliminacion_logica = false, habilita el agendamiento de citas para el paciente y registra la operación en TB_AUDITORIA_LOGS.</w:t>
            </w:r>
          </w:p>
        </w:tc>
        <w:tc>
          <w:tcPr>
            <w:tcW w:type="dxa" w:w="2016"/>
            <w:shd w:val="clear" w:color="auto" w:fill="FFFFFF"/>
          </w:tcPr>
          <w:p>
            <w:pPr>
              <w:spacing w:before="60" w:after="60"/>
              <w:jc w:val="left"/>
            </w:pPr>
            <w:r/>
            <w:r>
              <w:rPr>
                <w:rFonts w:ascii="Arial" w:hAnsi="Arial"/>
                <w:b w:val="0"/>
                <w:color w:val="1E293B"/>
                <w:sz w:val="17"/>
              </w:rPr>
              <w:t>TB_PRETRIAJE_CLINICO, TB_AUDITORIA_LOGS (RNF-0003, RNF-0010)</w:t>
            </w:r>
          </w:p>
        </w:tc>
      </w:tr>
      <w:tr>
        <w:tc>
          <w:tcPr>
            <w:tcW w:type="dxa" w:w="1008"/>
            <w:shd w:val="clear" w:color="auto" w:fill="F8FAFC"/>
          </w:tcPr>
          <w:p>
            <w:pPr>
              <w:spacing w:before="60" w:after="60"/>
              <w:jc w:val="center"/>
            </w:pPr>
            <w:r/>
            <w:r>
              <w:rPr>
                <w:rFonts w:ascii="Arial" w:hAnsi="Arial"/>
                <w:b/>
                <w:color w:val="0F2942"/>
                <w:sz w:val="17"/>
              </w:rPr>
              <w:t>Paso 10</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Cierra el modal MDL-0076 automáticamente, refresca la grilla principal en GUI-0016 y cierra la tabla TB_PRETRIAJE_CLINICO dejando Vitalis_BD abierta.</w:t>
            </w:r>
          </w:p>
        </w:tc>
        <w:tc>
          <w:tcPr>
            <w:tcW w:type="dxa" w:w="2016"/>
            <w:shd w:val="clear" w:color="auto" w:fill="F8FAFC"/>
          </w:tcPr>
          <w:p>
            <w:pPr>
              <w:spacing w:before="60" w:after="60"/>
              <w:jc w:val="left"/>
            </w:pPr>
            <w:r/>
            <w:r>
              <w:rPr>
                <w:rFonts w:ascii="Arial" w:hAnsi="Arial"/>
                <w:b w:val="0"/>
                <w:color w:val="1E293B"/>
                <w:sz w:val="17"/>
              </w:rPr>
              <w:t>GUI-0016, MDL-0076, Vitalis_BD</w:t>
            </w:r>
          </w:p>
        </w:tc>
      </w:tr>
    </w:tbl>
    <w:p>
      <w:pPr>
        <w:spacing w:after="120"/>
      </w:pPr>
    </w:p>
    <w:p>
      <w:pPr>
        <w:keepNext/>
        <w:spacing w:before="200" w:after="80"/>
      </w:pPr>
      <w:r>
        <w:rPr>
          <w:rFonts w:ascii="Arial" w:hAnsi="Arial"/>
          <w:b/>
          <w:color w:val="1E3A8A"/>
          <w:sz w:val="23"/>
        </w:rPr>
        <w:t>7.5. Proceso 03: Ilación ILA-0106 — Crear Comprobante de Pago Electrónico SUNAT (EDU-0037)</w:t>
      </w:r>
    </w:p>
    <w:p>
      <w:pPr>
        <w:spacing w:before="40" w:after="100" w:line="276" w:lineRule="auto"/>
        <w:jc w:val="both"/>
      </w:pPr>
      <w:r>
        <w:rPr>
          <w:rFonts w:ascii="Arial" w:hAnsi="Arial"/>
          <w:i w:val="0"/>
          <w:color w:val="1E293B"/>
          <w:sz w:val="20"/>
        </w:rPr>
        <w:t>La Figura 7.3 muestra el diagrama de proceso BPMN 2.0 para la ilación ILA-0106, representando sus 11 pasos numerados, la compuerta de bifurcación tributaria entre Boleta (Paso 5: DNI) y Factura (Paso 6: RUC y Razón Social), la compuerta de validación y cancelación (Paso 9), el despacho del XML firmado UBL 2.1 hacia la API de SUNAT (Paso 10) y la persistencia final en TB_COMPROBANTES (Paso 11).</w:t>
      </w:r>
    </w:p>
    <w:p>
      <w:pPr>
        <w:spacing w:before="120" w:after="80"/>
        <w:jc w:val="center"/>
      </w:pPr>
      <w:r>
        <w:drawing>
          <wp:inline xmlns:a="http://schemas.openxmlformats.org/drawingml/2006/main" xmlns:pic="http://schemas.openxmlformats.org/drawingml/2006/picture">
            <wp:extent cx="5760720" cy="3171611"/>
            <wp:docPr id="4" name="Picture 4"/>
            <wp:cNvGraphicFramePr>
              <a:graphicFrameLocks noChangeAspect="1"/>
            </wp:cNvGraphicFramePr>
            <a:graphic>
              <a:graphicData uri="http://schemas.openxmlformats.org/drawingml/2006/picture">
                <pic:pic>
                  <pic:nvPicPr>
                    <pic:cNvPr id="0" name="11_vista_procesos_ila0106.png"/>
                    <pic:cNvPicPr/>
                  </pic:nvPicPr>
                  <pic:blipFill>
                    <a:blip r:embed="rId11"/>
                    <a:stretch>
                      <a:fillRect/>
                    </a:stretch>
                  </pic:blipFill>
                  <pic:spPr>
                    <a:xfrm>
                      <a:off x="0" y="0"/>
                      <a:ext cx="5760720" cy="3171611"/>
                    </a:xfrm>
                    <a:prstGeom prst="rect"/>
                  </pic:spPr>
                </pic:pic>
              </a:graphicData>
            </a:graphic>
          </wp:inline>
        </w:drawing>
      </w:r>
    </w:p>
    <w:p>
      <w:pPr>
        <w:spacing w:after="160"/>
        <w:jc w:val="center"/>
      </w:pPr>
      <w:r>
        <w:rPr>
          <w:rFonts w:ascii="Arial" w:hAnsi="Arial"/>
          <w:b/>
          <w:i/>
          <w:color w:val="64748B"/>
          <w:sz w:val="18"/>
        </w:rPr>
        <w:t>Figura 7.3. Vista de Procesos (Bonita BPM / BPMN 2.0) — Proceso 03: Ilación ILA-0106 (Crear Comprobante de Pago Electrónico SUNAT).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008"/>
            <w:shd w:val="clear" w:color="auto" w:fill="0F2942"/>
          </w:tcPr>
          <w:p>
            <w:pPr>
              <w:spacing w:before="60" w:after="60"/>
              <w:jc w:val="center"/>
            </w:pPr>
            <w:r/>
            <w:r>
              <w:rPr>
                <w:rFonts w:ascii="Arial" w:hAnsi="Arial"/>
                <w:b/>
                <w:color w:val="FFFFFF"/>
                <w:sz w:val="18"/>
              </w:rPr>
              <w:t>PASO N°</w:t>
            </w:r>
          </w:p>
        </w:tc>
        <w:tc>
          <w:tcPr>
            <w:tcW w:type="dxa" w:w="1872"/>
            <w:shd w:val="clear" w:color="auto" w:fill="0F2942"/>
          </w:tcPr>
          <w:p>
            <w:pPr>
              <w:spacing w:before="60" w:after="60"/>
              <w:jc w:val="center"/>
            </w:pPr>
            <w:r/>
            <w:r>
              <w:rPr>
                <w:rFonts w:ascii="Arial" w:hAnsi="Arial"/>
                <w:b/>
                <w:color w:val="FFFFFF"/>
                <w:sz w:val="18"/>
              </w:rPr>
              <w:t>CARRIL RESPONSABLE</w:t>
            </w:r>
          </w:p>
        </w:tc>
        <w:tc>
          <w:tcPr>
            <w:tcW w:type="dxa" w:w="4320"/>
            <w:shd w:val="clear" w:color="auto" w:fill="0F2942"/>
          </w:tcPr>
          <w:p>
            <w:pPr>
              <w:spacing w:before="60" w:after="60"/>
              <w:jc w:val="center"/>
            </w:pPr>
            <w:r/>
            <w:r>
              <w:rPr>
                <w:rFonts w:ascii="Arial" w:hAnsi="Arial"/>
                <w:b/>
                <w:color w:val="FFFFFF"/>
                <w:sz w:val="18"/>
              </w:rPr>
              <w:t>ACCIÓN / REGLA DE DECISIÓN Y SALTO LÓGICO (SINCRONIZADO CON ILA-0106)</w:t>
            </w:r>
          </w:p>
        </w:tc>
        <w:tc>
          <w:tcPr>
            <w:tcW w:type="dxa" w:w="2016"/>
            <w:shd w:val="clear" w:color="auto" w:fill="0F2942"/>
          </w:tcPr>
          <w:p>
            <w:pPr>
              <w:spacing w:before="60" w:after="60"/>
              <w:jc w:val="center"/>
            </w:pPr>
            <w:r/>
            <w:r>
              <w:rPr>
                <w:rFonts w:ascii="Arial" w:hAnsi="Arial"/>
                <w:b/>
                <w:color w:val="FFFFFF"/>
                <w:sz w:val="18"/>
              </w:rPr>
              <w:t>TABLAS TB_* Y RNF VINCULADOS</w:t>
            </w:r>
          </w:p>
        </w:tc>
      </w:tr>
      <w:tr>
        <w:tc>
          <w:tcPr>
            <w:tcW w:type="dxa" w:w="1008"/>
            <w:shd w:val="clear" w:color="auto" w:fill="FFFFFF"/>
          </w:tcPr>
          <w:p>
            <w:pPr>
              <w:spacing w:before="60" w:after="60"/>
              <w:jc w:val="center"/>
            </w:pPr>
            <w:r/>
            <w:r>
              <w:rPr>
                <w:rFonts w:ascii="Arial" w:hAnsi="Arial"/>
                <w:b/>
                <w:color w:val="0F2942"/>
                <w:sz w:val="17"/>
              </w:rPr>
              <w:t>Paso 1</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hace clic en BTN_EMITIR_COMPROBANTE_001 en la fila del registro de pago dentro de la grilla de Gestión de Comprobantes (GUI-0027).</w:t>
            </w:r>
          </w:p>
        </w:tc>
        <w:tc>
          <w:tcPr>
            <w:tcW w:type="dxa" w:w="2016"/>
            <w:shd w:val="clear" w:color="auto" w:fill="FFFFFF"/>
          </w:tcPr>
          <w:p>
            <w:pPr>
              <w:spacing w:before="60" w:after="60"/>
              <w:jc w:val="left"/>
            </w:pPr>
            <w:r/>
            <w:r>
              <w:rPr>
                <w:rFonts w:ascii="Arial" w:hAnsi="Arial"/>
                <w:b w:val="0"/>
                <w:color w:val="1E293B"/>
                <w:sz w:val="17"/>
              </w:rPr>
              <w:t>GUI-0027 (RNF-0008)</w:t>
            </w:r>
          </w:p>
        </w:tc>
      </w:tr>
      <w:tr>
        <w:tc>
          <w:tcPr>
            <w:tcW w:type="dxa" w:w="1008"/>
            <w:shd w:val="clear" w:color="auto" w:fill="F8FAFC"/>
          </w:tcPr>
          <w:p>
            <w:pPr>
              <w:spacing w:before="60" w:after="60"/>
              <w:jc w:val="center"/>
            </w:pPr>
            <w:r/>
            <w:r>
              <w:rPr>
                <w:rFonts w:ascii="Arial" w:hAnsi="Arial"/>
                <w:b/>
                <w:color w:val="0F2942"/>
                <w:sz w:val="17"/>
              </w:rPr>
              <w:t>Paso 2</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El sistema intercepta id_pago, valida eliminacion_logica = false en TB_PAGOS y despliega el modal 'Crear Registro - Generar Comprobante de Pago' (MDL-0131).</w:t>
            </w:r>
          </w:p>
        </w:tc>
        <w:tc>
          <w:tcPr>
            <w:tcW w:type="dxa" w:w="2016"/>
            <w:shd w:val="clear" w:color="auto" w:fill="F8FAFC"/>
          </w:tcPr>
          <w:p>
            <w:pPr>
              <w:spacing w:before="60" w:after="60"/>
              <w:jc w:val="left"/>
            </w:pPr>
            <w:r/>
            <w:r>
              <w:rPr>
                <w:rFonts w:ascii="Arial" w:hAnsi="Arial"/>
                <w:b w:val="0"/>
                <w:color w:val="1E293B"/>
                <w:sz w:val="17"/>
              </w:rPr>
              <w:t>MDL-0131, TB_PAGOS</w:t>
            </w:r>
          </w:p>
        </w:tc>
      </w:tr>
      <w:tr>
        <w:tc>
          <w:tcPr>
            <w:tcW w:type="dxa" w:w="1008"/>
            <w:shd w:val="clear" w:color="auto" w:fill="FFFFFF"/>
          </w:tcPr>
          <w:p>
            <w:pPr>
              <w:spacing w:before="60" w:after="60"/>
              <w:jc w:val="center"/>
            </w:pPr>
            <w:r/>
            <w:r>
              <w:rPr>
                <w:rFonts w:ascii="Arial" w:hAnsi="Arial"/>
                <w:b/>
                <w:color w:val="0F2942"/>
                <w:sz w:val="17"/>
              </w:rPr>
              <w:t>Paso 3</w:t>
            </w:r>
          </w:p>
        </w:tc>
        <w:tc>
          <w:tcPr>
            <w:tcW w:type="dxa" w:w="1872"/>
            <w:shd w:val="clear" w:color="auto" w:fill="FFFFFF"/>
          </w:tcPr>
          <w:p>
            <w:pPr>
              <w:spacing w:before="60" w:after="60"/>
              <w:jc w:val="left"/>
            </w:pPr>
            <w:r/>
            <w:r>
              <w:rPr>
                <w:rFonts w:ascii="Arial" w:hAnsi="Arial"/>
                <w:b w:val="0"/>
                <w:color w:val="1E293B"/>
                <w:sz w:val="17"/>
              </w:rPr>
              <w:t>Carril 2: Presentación SPA</w:t>
            </w:r>
          </w:p>
        </w:tc>
        <w:tc>
          <w:tcPr>
            <w:tcW w:type="dxa" w:w="4320"/>
            <w:shd w:val="clear" w:color="auto" w:fill="FFFFFF"/>
          </w:tcPr>
          <w:p>
            <w:pPr>
              <w:spacing w:before="60" w:after="60"/>
              <w:jc w:val="left"/>
            </w:pPr>
            <w:r/>
            <w:r>
              <w:rPr>
                <w:rFonts w:ascii="Arial" w:hAnsi="Arial"/>
                <w:b w:val="0"/>
                <w:color w:val="1E293B"/>
                <w:sz w:val="17"/>
              </w:rPr>
              <w:t>El sistema precarga en modo solo lectura (read-only) los metadatos de TB_PAGOS: TXT_ID_PAGO_0001, TXT_NOMBRE_PACIENTE_0001, TXT_APELLIDO_PACIENTE_0001 y TXT_MONTO_0001.</w:t>
            </w:r>
          </w:p>
        </w:tc>
        <w:tc>
          <w:tcPr>
            <w:tcW w:type="dxa" w:w="2016"/>
            <w:shd w:val="clear" w:color="auto" w:fill="FFFFFF"/>
          </w:tcPr>
          <w:p>
            <w:pPr>
              <w:spacing w:before="60" w:after="60"/>
              <w:jc w:val="left"/>
            </w:pPr>
            <w:r/>
            <w:r>
              <w:rPr>
                <w:rFonts w:ascii="Arial" w:hAnsi="Arial"/>
                <w:b w:val="0"/>
                <w:color w:val="1E293B"/>
                <w:sz w:val="17"/>
              </w:rPr>
              <w:t>MDL-0131, TB_PAGOS</w:t>
            </w:r>
          </w:p>
        </w:tc>
      </w:tr>
      <w:tr>
        <w:tc>
          <w:tcPr>
            <w:tcW w:type="dxa" w:w="1008"/>
            <w:shd w:val="clear" w:color="auto" w:fill="F8FAFC"/>
          </w:tcPr>
          <w:p>
            <w:pPr>
              <w:spacing w:before="60" w:after="60"/>
              <w:jc w:val="center"/>
            </w:pPr>
            <w:r/>
            <w:r>
              <w:rPr>
                <w:rFonts w:ascii="Arial" w:hAnsi="Arial"/>
                <w:b/>
                <w:color w:val="0F2942"/>
                <w:sz w:val="17"/>
              </w:rPr>
              <w:t>Paso 4</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El actor selecciona la naturaleza tributaria ('Boleta' o 'Factura') en el desplegable SEL_TIPO_COMPROBANTE_0001.</w:t>
            </w:r>
          </w:p>
        </w:tc>
        <w:tc>
          <w:tcPr>
            <w:tcW w:type="dxa" w:w="2016"/>
            <w:shd w:val="clear" w:color="auto" w:fill="F8FAFC"/>
          </w:tcPr>
          <w:p>
            <w:pPr>
              <w:spacing w:before="60" w:after="60"/>
              <w:jc w:val="left"/>
            </w:pPr>
            <w:r/>
            <w:r>
              <w:rPr>
                <w:rFonts w:ascii="Arial" w:hAnsi="Arial"/>
                <w:b w:val="0"/>
                <w:color w:val="1E293B"/>
                <w:sz w:val="17"/>
              </w:rPr>
              <w:t>MDL-0131</w:t>
            </w:r>
          </w:p>
        </w:tc>
      </w:tr>
      <w:tr>
        <w:tc>
          <w:tcPr>
            <w:tcW w:type="dxa" w:w="1008"/>
            <w:shd w:val="clear" w:color="auto" w:fill="FFFFFF"/>
          </w:tcPr>
          <w:p>
            <w:pPr>
              <w:spacing w:before="60" w:after="60"/>
              <w:jc w:val="center"/>
            </w:pPr>
            <w:r/>
            <w:r>
              <w:rPr>
                <w:rFonts w:ascii="Arial" w:hAnsi="Arial"/>
                <w:b/>
                <w:color w:val="0F2942"/>
                <w:sz w:val="17"/>
              </w:rPr>
              <w:t>Paso 5</w:t>
            </w:r>
          </w:p>
        </w:tc>
        <w:tc>
          <w:tcPr>
            <w:tcW w:type="dxa" w:w="1872"/>
            <w:shd w:val="clear" w:color="auto" w:fill="FFFFFF"/>
          </w:tcPr>
          <w:p>
            <w:pPr>
              <w:spacing w:before="60" w:after="60"/>
              <w:jc w:val="left"/>
            </w:pPr>
            <w:r/>
            <w:r>
              <w:rPr>
                <w:rFonts w:ascii="Arial" w:hAnsi="Arial"/>
                <w:b w:val="0"/>
                <w:color w:val="1E293B"/>
                <w:sz w:val="17"/>
              </w:rPr>
              <w:t>Carril 2/3: Rama Boleta</w:t>
            </w:r>
          </w:p>
        </w:tc>
        <w:tc>
          <w:tcPr>
            <w:tcW w:type="dxa" w:w="4320"/>
            <w:shd w:val="clear" w:color="auto" w:fill="FFFFFF"/>
          </w:tcPr>
          <w:p>
            <w:pPr>
              <w:spacing w:before="60" w:after="60"/>
              <w:jc w:val="left"/>
            </w:pPr>
            <w:r/>
            <w:r>
              <w:rPr>
                <w:rFonts w:ascii="Arial" w:hAnsi="Arial"/>
                <w:b w:val="0"/>
                <w:color w:val="1E293B"/>
                <w:sz w:val="17"/>
              </w:rPr>
              <w:t>BIFURCACIÓN CONDICIONAL (Boleta): Si selecciona Boleta, el sistema habilita el campo Documento Receptor (FLD_DOC_RECEPTOR_0001) para el ingreso de DNI (8 dígitos).</w:t>
            </w:r>
          </w:p>
        </w:tc>
        <w:tc>
          <w:tcPr>
            <w:tcW w:type="dxa" w:w="2016"/>
            <w:shd w:val="clear" w:color="auto" w:fill="FFFFFF"/>
          </w:tcPr>
          <w:p>
            <w:pPr>
              <w:spacing w:before="60" w:after="60"/>
              <w:jc w:val="left"/>
            </w:pPr>
            <w:r/>
            <w:r>
              <w:rPr>
                <w:rFonts w:ascii="Arial" w:hAnsi="Arial"/>
                <w:b w:val="0"/>
                <w:color w:val="1E293B"/>
                <w:sz w:val="17"/>
              </w:rPr>
              <w:t>MDL-0131 (RNF-0009)</w:t>
            </w:r>
          </w:p>
        </w:tc>
      </w:tr>
      <w:tr>
        <w:tc>
          <w:tcPr>
            <w:tcW w:type="dxa" w:w="1008"/>
            <w:shd w:val="clear" w:color="auto" w:fill="F8FAFC"/>
          </w:tcPr>
          <w:p>
            <w:pPr>
              <w:spacing w:before="60" w:after="60"/>
              <w:jc w:val="center"/>
            </w:pPr>
            <w:r/>
            <w:r>
              <w:rPr>
                <w:rFonts w:ascii="Arial" w:hAnsi="Arial"/>
                <w:b/>
                <w:color w:val="0F2942"/>
                <w:sz w:val="17"/>
              </w:rPr>
              <w:t>Paso 6</w:t>
            </w:r>
          </w:p>
        </w:tc>
        <w:tc>
          <w:tcPr>
            <w:tcW w:type="dxa" w:w="1872"/>
            <w:shd w:val="clear" w:color="auto" w:fill="F8FAFC"/>
          </w:tcPr>
          <w:p>
            <w:pPr>
              <w:spacing w:before="60" w:after="60"/>
              <w:jc w:val="left"/>
            </w:pPr>
            <w:r/>
            <w:r>
              <w:rPr>
                <w:rFonts w:ascii="Arial" w:hAnsi="Arial"/>
                <w:b w:val="0"/>
                <w:color w:val="1E293B"/>
                <w:sz w:val="17"/>
              </w:rPr>
              <w:t>Carril 3: Rama Factura</w:t>
            </w:r>
          </w:p>
        </w:tc>
        <w:tc>
          <w:tcPr>
            <w:tcW w:type="dxa" w:w="4320"/>
            <w:shd w:val="clear" w:color="auto" w:fill="F8FAFC"/>
          </w:tcPr>
          <w:p>
            <w:pPr>
              <w:spacing w:before="60" w:after="60"/>
              <w:jc w:val="left"/>
            </w:pPr>
            <w:r/>
            <w:r>
              <w:rPr>
                <w:rFonts w:ascii="Arial" w:hAnsi="Arial"/>
                <w:b w:val="0"/>
                <w:color w:val="1E293B"/>
                <w:sz w:val="17"/>
              </w:rPr>
              <w:t>BIFURCACIÓN CONDICIONAL (Factura): Si selecciona Factura, exige RUC válido (11 dígitos) en FLD_DOC_RECEPTOR_0001 y abre el campo obligatorio Razón Social (FLD_RAZON_SOCIAL_0001).</w:t>
            </w:r>
          </w:p>
        </w:tc>
        <w:tc>
          <w:tcPr>
            <w:tcW w:type="dxa" w:w="2016"/>
            <w:shd w:val="clear" w:color="auto" w:fill="F8FAFC"/>
          </w:tcPr>
          <w:p>
            <w:pPr>
              <w:spacing w:before="60" w:after="60"/>
              <w:jc w:val="left"/>
            </w:pPr>
            <w:r/>
            <w:r>
              <w:rPr>
                <w:rFonts w:ascii="Arial" w:hAnsi="Arial"/>
                <w:b w:val="0"/>
                <w:color w:val="1E293B"/>
                <w:sz w:val="17"/>
              </w:rPr>
              <w:t>MDL-0131 (RNF-0009)</w:t>
            </w:r>
          </w:p>
        </w:tc>
      </w:tr>
      <w:tr>
        <w:tc>
          <w:tcPr>
            <w:tcW w:type="dxa" w:w="1008"/>
            <w:shd w:val="clear" w:color="auto" w:fill="FFFFFF"/>
          </w:tcPr>
          <w:p>
            <w:pPr>
              <w:spacing w:before="60" w:after="60"/>
              <w:jc w:val="center"/>
            </w:pPr>
            <w:r/>
            <w:r>
              <w:rPr>
                <w:rFonts w:ascii="Arial" w:hAnsi="Arial"/>
                <w:b/>
                <w:color w:val="0F2942"/>
                <w:sz w:val="17"/>
              </w:rPr>
              <w:t>Paso 7</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introduce el identificador fiscal en FLD_DOC_RECEPTOR_0001; tras validarse la estructura tributaria, el sistema habilita el botón de confirmación.</w:t>
            </w:r>
          </w:p>
        </w:tc>
        <w:tc>
          <w:tcPr>
            <w:tcW w:type="dxa" w:w="2016"/>
            <w:shd w:val="clear" w:color="auto" w:fill="FFFFFF"/>
          </w:tcPr>
          <w:p>
            <w:pPr>
              <w:spacing w:before="60" w:after="60"/>
              <w:jc w:val="left"/>
            </w:pPr>
            <w:r/>
            <w:r>
              <w:rPr>
                <w:rFonts w:ascii="Arial" w:hAnsi="Arial"/>
                <w:b w:val="0"/>
                <w:color w:val="1E293B"/>
                <w:sz w:val="17"/>
              </w:rPr>
              <w:t>MDL-0131</w:t>
            </w:r>
          </w:p>
        </w:tc>
      </w:tr>
      <w:tr>
        <w:tc>
          <w:tcPr>
            <w:tcW w:type="dxa" w:w="1008"/>
            <w:shd w:val="clear" w:color="auto" w:fill="F8FAFC"/>
          </w:tcPr>
          <w:p>
            <w:pPr>
              <w:spacing w:before="60" w:after="60"/>
              <w:jc w:val="center"/>
            </w:pPr>
            <w:r/>
            <w:r>
              <w:rPr>
                <w:rFonts w:ascii="Arial" w:hAnsi="Arial"/>
                <w:b/>
                <w:color w:val="0F2942"/>
                <w:sz w:val="17"/>
              </w:rPr>
              <w:t>Paso 8</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El actor procesa el envío fiscal haciendo clic en el botón principal BTN_EMITIR_COMPROBANTE_0001 ('Guardar' / 'Emitir').</w:t>
            </w:r>
          </w:p>
        </w:tc>
        <w:tc>
          <w:tcPr>
            <w:tcW w:type="dxa" w:w="2016"/>
            <w:shd w:val="clear" w:color="auto" w:fill="F8FAFC"/>
          </w:tcPr>
          <w:p>
            <w:pPr>
              <w:spacing w:before="60" w:after="60"/>
              <w:jc w:val="left"/>
            </w:pPr>
            <w:r/>
            <w:r>
              <w:rPr>
                <w:rFonts w:ascii="Arial" w:hAnsi="Arial"/>
                <w:b w:val="0"/>
                <w:color w:val="1E293B"/>
                <w:sz w:val="17"/>
              </w:rPr>
              <w:t>MDL-0131</w:t>
            </w:r>
          </w:p>
        </w:tc>
      </w:tr>
      <w:tr>
        <w:tc>
          <w:tcPr>
            <w:tcW w:type="dxa" w:w="1008"/>
            <w:shd w:val="clear" w:color="auto" w:fill="FFFFFF"/>
          </w:tcPr>
          <w:p>
            <w:pPr>
              <w:spacing w:before="60" w:after="60"/>
              <w:jc w:val="center"/>
            </w:pPr>
            <w:r/>
            <w:r>
              <w:rPr>
                <w:rFonts w:ascii="Arial" w:hAnsi="Arial"/>
                <w:b/>
                <w:color w:val="0F2942"/>
                <w:sz w:val="17"/>
              </w:rPr>
              <w:t>Paso 9</w:t>
            </w:r>
          </w:p>
        </w:tc>
        <w:tc>
          <w:tcPr>
            <w:tcW w:type="dxa" w:w="1872"/>
            <w:shd w:val="clear" w:color="auto" w:fill="FFFFFF"/>
          </w:tcPr>
          <w:p>
            <w:pPr>
              <w:spacing w:before="60" w:after="60"/>
              <w:jc w:val="left"/>
            </w:pPr>
            <w:r/>
            <w:r>
              <w:rPr>
                <w:rFonts w:ascii="Arial" w:hAnsi="Arial"/>
                <w:b w:val="0"/>
                <w:color w:val="1E293B"/>
                <w:sz w:val="17"/>
              </w:rPr>
              <w:t>Carril 3: Motor Facturación</w:t>
            </w:r>
          </w:p>
        </w:tc>
        <w:tc>
          <w:tcPr>
            <w:tcW w:type="dxa" w:w="4320"/>
            <w:shd w:val="clear" w:color="auto" w:fill="FFFFFF"/>
          </w:tcPr>
          <w:p>
            <w:pPr>
              <w:spacing w:before="60" w:after="60"/>
              <w:jc w:val="left"/>
            </w:pPr>
            <w:r/>
            <w:r>
              <w:rPr>
                <w:rFonts w:ascii="Arial" w:hAnsi="Arial"/>
                <w:b w:val="0"/>
                <w:color w:val="1E293B"/>
                <w:sz w:val="17"/>
              </w:rPr>
              <w:t>COMPUERTA XOR: Evalúa acción y reglas sobre TB_COMPROBANTES y TB_PAGOS. Si presiona Cancelar ('X'), descarta cambios y SALTA AL PASO 11; si algún campo o formato es inválido, muestra error y RETORNA AL PASO 5; si es válido, CONTINÚA EN EL PASO 10.</w:t>
            </w:r>
          </w:p>
        </w:tc>
        <w:tc>
          <w:tcPr>
            <w:tcW w:type="dxa" w:w="2016"/>
            <w:shd w:val="clear" w:color="auto" w:fill="FFFFFF"/>
          </w:tcPr>
          <w:p>
            <w:pPr>
              <w:spacing w:before="60" w:after="60"/>
              <w:jc w:val="left"/>
            </w:pPr>
            <w:r/>
            <w:r>
              <w:rPr>
                <w:rFonts w:ascii="Arial" w:hAnsi="Arial"/>
                <w:b w:val="0"/>
                <w:color w:val="1E293B"/>
                <w:sz w:val="17"/>
              </w:rPr>
              <w:t>TB_COMPROBANTES, TB_PAGOS</w:t>
            </w:r>
          </w:p>
        </w:tc>
      </w:tr>
      <w:tr>
        <w:tc>
          <w:tcPr>
            <w:tcW w:type="dxa" w:w="1008"/>
            <w:shd w:val="clear" w:color="auto" w:fill="F8FAFC"/>
          </w:tcPr>
          <w:p>
            <w:pPr>
              <w:spacing w:before="60" w:after="60"/>
              <w:jc w:val="center"/>
            </w:pPr>
            <w:r/>
            <w:r>
              <w:rPr>
                <w:rFonts w:ascii="Arial" w:hAnsi="Arial"/>
                <w:b/>
                <w:color w:val="0F2942"/>
                <w:sz w:val="17"/>
              </w:rPr>
              <w:t>Paso 10</w:t>
            </w:r>
          </w:p>
        </w:tc>
        <w:tc>
          <w:tcPr>
            <w:tcW w:type="dxa" w:w="1872"/>
            <w:shd w:val="clear" w:color="auto" w:fill="F8FAFC"/>
          </w:tcPr>
          <w:p>
            <w:pPr>
              <w:spacing w:before="60" w:after="60"/>
              <w:jc w:val="left"/>
            </w:pPr>
            <w:r/>
            <w:r>
              <w:rPr>
                <w:rFonts w:ascii="Arial" w:hAnsi="Arial"/>
                <w:b w:val="0"/>
                <w:color w:val="1E293B"/>
                <w:sz w:val="17"/>
              </w:rPr>
              <w:t>Carril 4: API PSE/OSE SUNAT</w:t>
            </w:r>
          </w:p>
        </w:tc>
        <w:tc>
          <w:tcPr>
            <w:tcW w:type="dxa" w:w="4320"/>
            <w:shd w:val="clear" w:color="auto" w:fill="F8FAFC"/>
          </w:tcPr>
          <w:p>
            <w:pPr>
              <w:spacing w:before="60" w:after="60"/>
              <w:jc w:val="left"/>
            </w:pPr>
            <w:r/>
            <w:r>
              <w:rPr>
                <w:rFonts w:ascii="Arial" w:hAnsi="Arial"/>
                <w:b w:val="0"/>
                <w:color w:val="1E293B"/>
                <w:sz w:val="17"/>
              </w:rPr>
              <w:t>El sistema genera el documento XML UBL 2.1 firmado con certificado X.509, se conecta por HTTPS TLS 1.3 con la API externa de SUNAT y recibe la Constancia de Recepción (CDR &lt; 3.0s).</w:t>
            </w:r>
          </w:p>
        </w:tc>
        <w:tc>
          <w:tcPr>
            <w:tcW w:type="dxa" w:w="2016"/>
            <w:shd w:val="clear" w:color="auto" w:fill="F8FAFC"/>
          </w:tcPr>
          <w:p>
            <w:pPr>
              <w:spacing w:before="60" w:after="60"/>
              <w:jc w:val="left"/>
            </w:pPr>
            <w:r/>
            <w:r>
              <w:rPr>
                <w:rFonts w:ascii="Arial" w:hAnsi="Arial"/>
                <w:b w:val="0"/>
                <w:color w:val="1E293B"/>
                <w:sz w:val="17"/>
              </w:rPr>
              <w:t>API SUNAT (RNF-0023)</w:t>
            </w:r>
          </w:p>
        </w:tc>
      </w:tr>
      <w:tr>
        <w:tc>
          <w:tcPr>
            <w:tcW w:type="dxa" w:w="1008"/>
            <w:shd w:val="clear" w:color="auto" w:fill="FFFFFF"/>
          </w:tcPr>
          <w:p>
            <w:pPr>
              <w:spacing w:before="60" w:after="60"/>
              <w:jc w:val="center"/>
            </w:pPr>
            <w:r/>
            <w:r>
              <w:rPr>
                <w:rFonts w:ascii="Arial" w:hAnsi="Arial"/>
                <w:b/>
                <w:color w:val="0F2942"/>
                <w:sz w:val="17"/>
              </w:rPr>
              <w:t>Paso 11</w:t>
            </w:r>
          </w:p>
        </w:tc>
        <w:tc>
          <w:tcPr>
            <w:tcW w:type="dxa" w:w="1872"/>
            <w:shd w:val="clear" w:color="auto" w:fill="FFFFFF"/>
          </w:tcPr>
          <w:p>
            <w:pPr>
              <w:spacing w:before="60" w:after="60"/>
              <w:jc w:val="left"/>
            </w:pPr>
            <w:r/>
            <w:r>
              <w:rPr>
                <w:rFonts w:ascii="Arial" w:hAnsi="Arial"/>
                <w:b w:val="0"/>
                <w:color w:val="1E293B"/>
                <w:sz w:val="17"/>
              </w:rPr>
              <w:t>Carril 2/4: Vitalis_BD y GUI</w:t>
            </w:r>
          </w:p>
        </w:tc>
        <w:tc>
          <w:tcPr>
            <w:tcW w:type="dxa" w:w="4320"/>
            <w:shd w:val="clear" w:color="auto" w:fill="FFFFFF"/>
          </w:tcPr>
          <w:p>
            <w:pPr>
              <w:spacing w:before="60" w:after="60"/>
              <w:jc w:val="left"/>
            </w:pPr>
            <w:r/>
            <w:r>
              <w:rPr>
                <w:rFonts w:ascii="Arial" w:hAnsi="Arial"/>
                <w:b w:val="0"/>
                <w:color w:val="1E293B"/>
                <w:sz w:val="17"/>
              </w:rPr>
              <w:t>Persiste la nueva fila en TB_COMPROBANTES (numero_serie, correlativo, estado='Emitido', eliminacion_logica=false), cierra MDL-0131, refresca GUI-0027 y cierra TB_COMPROBANTES dejando Vitalis_BD abierta.</w:t>
            </w:r>
          </w:p>
        </w:tc>
        <w:tc>
          <w:tcPr>
            <w:tcW w:type="dxa" w:w="2016"/>
            <w:shd w:val="clear" w:color="auto" w:fill="FFFFFF"/>
          </w:tcPr>
          <w:p>
            <w:pPr>
              <w:spacing w:before="60" w:after="60"/>
              <w:jc w:val="left"/>
            </w:pPr>
            <w:r/>
            <w:r>
              <w:rPr>
                <w:rFonts w:ascii="Arial" w:hAnsi="Arial"/>
                <w:b w:val="0"/>
                <w:color w:val="1E293B"/>
                <w:sz w:val="17"/>
              </w:rPr>
              <w:t>TB_COMPROBANTES, GUI-0027 (RNF-0010)</w:t>
            </w:r>
          </w:p>
        </w:tc>
      </w:tr>
    </w:tbl>
    <w:p>
      <w:pPr>
        <w:spacing w:after="120"/>
      </w:pPr>
    </w:p>
    <w:p>
      <w:pPr>
        <w:keepNext/>
        <w:spacing w:before="200" w:after="80"/>
      </w:pPr>
      <w:r>
        <w:rPr>
          <w:rFonts w:ascii="Arial" w:hAnsi="Arial"/>
          <w:b/>
          <w:color w:val="1E3A8A"/>
          <w:sz w:val="23"/>
        </w:rPr>
        <w:t>7.6. Evaluación Arquitectónica de Atributos Dinámicos Exigidos por la Plantilla</w:t>
      </w:r>
    </w:p>
    <w:p>
      <w:pPr>
        <w:spacing w:before="40" w:after="100" w:line="276" w:lineRule="auto"/>
        <w:jc w:val="both"/>
      </w:pPr>
      <w:r>
        <w:rPr>
          <w:rFonts w:ascii="Arial" w:hAnsi="Arial"/>
          <w:i w:val="0"/>
          <w:color w:val="1E293B"/>
          <w:sz w:val="20"/>
        </w:rPr>
        <w:t>En estricto cumplimiento de las directrices de 4. Plantilla Vista Procesos.docx ('Cuando se construye y se utiliza la vista de proceso se debe tomar en cuenta los problemas de concurrencia, el tiempo de respuesta, el punto muerto, el rendimiento, la tolerancia a errores y la escalabilidad'), la Tabla 7.5 consolida los mecanismos técnicos aplicados a los procesos de NexoVitalis360:</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872"/>
            <w:shd w:val="clear" w:color="auto" w:fill="0F2942"/>
          </w:tcPr>
          <w:p>
            <w:pPr>
              <w:spacing w:before="60" w:after="60"/>
              <w:jc w:val="center"/>
            </w:pPr>
            <w:r/>
            <w:r>
              <w:rPr>
                <w:rFonts w:ascii="Arial" w:hAnsi="Arial"/>
                <w:b/>
                <w:color w:val="FFFFFF"/>
                <w:sz w:val="18"/>
              </w:rPr>
              <w:t>ATRIBUTO DINÁMICO DE LA PLANTILLA</w:t>
            </w:r>
          </w:p>
        </w:tc>
        <w:tc>
          <w:tcPr>
            <w:tcW w:type="dxa" w:w="2304"/>
            <w:shd w:val="clear" w:color="auto" w:fill="0F2942"/>
          </w:tcPr>
          <w:p>
            <w:pPr>
              <w:spacing w:before="60" w:after="60"/>
              <w:jc w:val="center"/>
            </w:pPr>
            <w:r/>
            <w:r>
              <w:rPr>
                <w:rFonts w:ascii="Arial" w:hAnsi="Arial"/>
                <w:b/>
                <w:color w:val="FFFFFF"/>
                <w:sz w:val="18"/>
              </w:rPr>
              <w:t>RIESGO OPERATIVO EN NEXOVITALIS360</w:t>
            </w:r>
          </w:p>
        </w:tc>
        <w:tc>
          <w:tcPr>
            <w:tcW w:type="dxa" w:w="3600"/>
            <w:shd w:val="clear" w:color="auto" w:fill="0F2942"/>
          </w:tcPr>
          <w:p>
            <w:pPr>
              <w:spacing w:before="60" w:after="60"/>
              <w:jc w:val="center"/>
            </w:pPr>
            <w:r/>
            <w:r>
              <w:rPr>
                <w:rFonts w:ascii="Arial" w:hAnsi="Arial"/>
                <w:b/>
                <w:color w:val="FFFFFF"/>
                <w:sz w:val="18"/>
              </w:rPr>
              <w:t>MECANISMO ARQUITECTÓNICO APLICADO EN LA VISTA DE PROCESOS</w:t>
            </w:r>
          </w:p>
        </w:tc>
        <w:tc>
          <w:tcPr>
            <w:tcW w:type="dxa" w:w="1296"/>
            <w:shd w:val="clear" w:color="auto" w:fill="0F2942"/>
          </w:tcPr>
          <w:p>
            <w:pPr>
              <w:spacing w:before="60" w:after="60"/>
              <w:jc w:val="center"/>
            </w:pPr>
            <w:r/>
            <w:r>
              <w:rPr>
                <w:rFonts w:ascii="Arial" w:hAnsi="Arial"/>
                <w:b/>
                <w:color w:val="FFFFFF"/>
                <w:sz w:val="18"/>
              </w:rPr>
              <w:t>RNF ASOCIADO</w:t>
            </w:r>
          </w:p>
        </w:tc>
      </w:tr>
      <w:tr>
        <w:tc>
          <w:tcPr>
            <w:tcW w:type="dxa" w:w="1872"/>
            <w:shd w:val="clear" w:color="auto" w:fill="FFFFFF"/>
          </w:tcPr>
          <w:p>
            <w:pPr>
              <w:spacing w:before="60" w:after="60"/>
              <w:jc w:val="left"/>
            </w:pPr>
            <w:r/>
            <w:r>
              <w:rPr>
                <w:rFonts w:ascii="Arial" w:hAnsi="Arial"/>
                <w:b w:val="0"/>
                <w:color w:val="1E293B"/>
                <w:sz w:val="17"/>
              </w:rPr>
              <w:t>1. Problemas de Concurrencia</w:t>
            </w:r>
          </w:p>
        </w:tc>
        <w:tc>
          <w:tcPr>
            <w:tcW w:type="dxa" w:w="2304"/>
            <w:shd w:val="clear" w:color="auto" w:fill="FFFFFF"/>
          </w:tcPr>
          <w:p>
            <w:pPr>
              <w:spacing w:before="60" w:after="60"/>
              <w:jc w:val="left"/>
            </w:pPr>
            <w:r/>
            <w:r>
              <w:rPr>
                <w:rFonts w:ascii="Arial" w:hAnsi="Arial"/>
                <w:b w:val="0"/>
                <w:color w:val="1E293B"/>
                <w:sz w:val="17"/>
              </w:rPr>
              <w:t>Doble reserva simultánea del mismo bloque horario de un especialista (ILA-0017) o duplicidad de correlativo de serie B001/F001 (ILA-0106).</w:t>
            </w:r>
          </w:p>
        </w:tc>
        <w:tc>
          <w:tcPr>
            <w:tcW w:type="dxa" w:w="3600"/>
            <w:shd w:val="clear" w:color="auto" w:fill="FFFFFF"/>
          </w:tcPr>
          <w:p>
            <w:pPr>
              <w:spacing w:before="60" w:after="60"/>
              <w:jc w:val="left"/>
            </w:pPr>
            <w:r/>
            <w:r>
              <w:rPr>
                <w:rFonts w:ascii="Arial" w:hAnsi="Arial"/>
                <w:b w:val="0"/>
                <w:color w:val="1E293B"/>
                <w:sz w:val="17"/>
              </w:rPr>
              <w:t>Aislamiento transaccional READ COMMITTED en PostgreSQL 16 combinado con bloqueo de fila SELECT ... FOR UPDATE NOWAIT sobre TB_HORARIOS y secuencias atómicas en TB_COMPROBANTES.</w:t>
            </w:r>
          </w:p>
        </w:tc>
        <w:tc>
          <w:tcPr>
            <w:tcW w:type="dxa" w:w="1296"/>
            <w:shd w:val="clear" w:color="auto" w:fill="FFFFFF"/>
          </w:tcPr>
          <w:p>
            <w:pPr>
              <w:spacing w:before="60" w:after="60"/>
              <w:jc w:val="left"/>
            </w:pPr>
            <w:r/>
            <w:r>
              <w:rPr>
                <w:rFonts w:ascii="Arial" w:hAnsi="Arial"/>
                <w:b w:val="0"/>
                <w:color w:val="1E293B"/>
                <w:sz w:val="17"/>
              </w:rPr>
              <w:t>RNF-0004, RNF-0010</w:t>
            </w:r>
          </w:p>
        </w:tc>
      </w:tr>
      <w:tr>
        <w:tc>
          <w:tcPr>
            <w:tcW w:type="dxa" w:w="1872"/>
            <w:shd w:val="clear" w:color="auto" w:fill="F8FAFC"/>
          </w:tcPr>
          <w:p>
            <w:pPr>
              <w:spacing w:before="60" w:after="60"/>
              <w:jc w:val="left"/>
            </w:pPr>
            <w:r/>
            <w:r>
              <w:rPr>
                <w:rFonts w:ascii="Arial" w:hAnsi="Arial"/>
                <w:b w:val="0"/>
                <w:color w:val="1E293B"/>
                <w:sz w:val="17"/>
              </w:rPr>
              <w:t>2. Prevención del Punto Muerto (Deadlock)</w:t>
            </w:r>
          </w:p>
        </w:tc>
        <w:tc>
          <w:tcPr>
            <w:tcW w:type="dxa" w:w="2304"/>
            <w:shd w:val="clear" w:color="auto" w:fill="F8FAFC"/>
          </w:tcPr>
          <w:p>
            <w:pPr>
              <w:spacing w:before="60" w:after="60"/>
              <w:jc w:val="left"/>
            </w:pPr>
            <w:r/>
            <w:r>
              <w:rPr>
                <w:rFonts w:ascii="Arial" w:hAnsi="Arial"/>
                <w:b w:val="0"/>
                <w:color w:val="1E293B"/>
                <w:sz w:val="17"/>
              </w:rPr>
              <w:t>Espera circular entre dos transacciones que intentan bloquear simultáneamente TB_CITAS y TB_HORARIOS en orden inverso.</w:t>
            </w:r>
          </w:p>
        </w:tc>
        <w:tc>
          <w:tcPr>
            <w:tcW w:type="dxa" w:w="3600"/>
            <w:shd w:val="clear" w:color="auto" w:fill="F8FAFC"/>
          </w:tcPr>
          <w:p>
            <w:pPr>
              <w:spacing w:before="60" w:after="60"/>
              <w:jc w:val="left"/>
            </w:pPr>
            <w:r/>
            <w:r>
              <w:rPr>
                <w:rFonts w:ascii="Arial" w:hAnsi="Arial"/>
                <w:b w:val="0"/>
                <w:color w:val="1E293B"/>
                <w:sz w:val="17"/>
              </w:rPr>
              <w:t>Orden canónico estricto de adquisición de cerrojos (1° TB_HORARIOS -&gt; 2° TB_CITAS -&gt; 3° TB_HISTORIAL_CITAS), cláusula NOWAIT (fallo rápido sin bloqueo indefinido) y llave en Redis 7.2 con TTL máximo de 600 segundos.</w:t>
            </w:r>
          </w:p>
        </w:tc>
        <w:tc>
          <w:tcPr>
            <w:tcW w:type="dxa" w:w="1296"/>
            <w:shd w:val="clear" w:color="auto" w:fill="F8FAFC"/>
          </w:tcPr>
          <w:p>
            <w:pPr>
              <w:spacing w:before="60" w:after="60"/>
              <w:jc w:val="left"/>
            </w:pPr>
            <w:r/>
            <w:r>
              <w:rPr>
                <w:rFonts w:ascii="Arial" w:hAnsi="Arial"/>
                <w:b w:val="0"/>
                <w:color w:val="1E293B"/>
                <w:sz w:val="17"/>
              </w:rPr>
              <w:t>RNF-0004</w:t>
            </w:r>
          </w:p>
        </w:tc>
      </w:tr>
      <w:tr>
        <w:tc>
          <w:tcPr>
            <w:tcW w:type="dxa" w:w="1872"/>
            <w:shd w:val="clear" w:color="auto" w:fill="FFFFFF"/>
          </w:tcPr>
          <w:p>
            <w:pPr>
              <w:spacing w:before="60" w:after="60"/>
              <w:jc w:val="left"/>
            </w:pPr>
            <w:r/>
            <w:r>
              <w:rPr>
                <w:rFonts w:ascii="Arial" w:hAnsi="Arial"/>
                <w:b w:val="0"/>
                <w:color w:val="1E293B"/>
                <w:sz w:val="17"/>
              </w:rPr>
              <w:t>3. Tiempo de Respuesta</w:t>
            </w:r>
          </w:p>
        </w:tc>
        <w:tc>
          <w:tcPr>
            <w:tcW w:type="dxa" w:w="2304"/>
            <w:shd w:val="clear" w:color="auto" w:fill="FFFFFF"/>
          </w:tcPr>
          <w:p>
            <w:pPr>
              <w:spacing w:before="60" w:after="60"/>
              <w:jc w:val="left"/>
            </w:pPr>
            <w:r/>
            <w:r>
              <w:rPr>
                <w:rFonts w:ascii="Arial" w:hAnsi="Arial"/>
                <w:b w:val="0"/>
                <w:color w:val="1E293B"/>
                <w:sz w:val="17"/>
              </w:rPr>
              <w:t>Demora en la verificación de 4 tablas previas al agendar cita (Paso 4 de ILA-0017) o en la validación de pre-triaje (ILA-0062).</w:t>
            </w:r>
          </w:p>
        </w:tc>
        <w:tc>
          <w:tcPr>
            <w:tcW w:type="dxa" w:w="3600"/>
            <w:shd w:val="clear" w:color="auto" w:fill="FFFFFF"/>
          </w:tcPr>
          <w:p>
            <w:pPr>
              <w:spacing w:before="60" w:after="60"/>
              <w:jc w:val="left"/>
            </w:pPr>
            <w:r/>
            <w:r>
              <w:rPr>
                <w:rFonts w:ascii="Arial" w:hAnsi="Arial"/>
                <w:b w:val="0"/>
                <w:color w:val="1E293B"/>
                <w:sz w:val="17"/>
              </w:rPr>
              <w:t>Índices compuestos B-Tree sobre claves foráneas (id_paciente, id_especialista, fecha_cita) e índices GIN (pg_trgm) que aseguran lecturas y escrituras en &lt; 1.5 segundos (percentil 95).</w:t>
            </w:r>
          </w:p>
        </w:tc>
        <w:tc>
          <w:tcPr>
            <w:tcW w:type="dxa" w:w="1296"/>
            <w:shd w:val="clear" w:color="auto" w:fill="FFFFFF"/>
          </w:tcPr>
          <w:p>
            <w:pPr>
              <w:spacing w:before="60" w:after="60"/>
              <w:jc w:val="left"/>
            </w:pPr>
            <w:r/>
            <w:r>
              <w:rPr>
                <w:rFonts w:ascii="Arial" w:hAnsi="Arial"/>
                <w:b w:val="0"/>
                <w:color w:val="1E293B"/>
                <w:sz w:val="17"/>
              </w:rPr>
              <w:t>RNF-0005, RNF-0006</w:t>
            </w:r>
          </w:p>
        </w:tc>
      </w:tr>
      <w:tr>
        <w:tc>
          <w:tcPr>
            <w:tcW w:type="dxa" w:w="1872"/>
            <w:shd w:val="clear" w:color="auto" w:fill="F8FAFC"/>
          </w:tcPr>
          <w:p>
            <w:pPr>
              <w:spacing w:before="60" w:after="60"/>
              <w:jc w:val="left"/>
            </w:pPr>
            <w:r/>
            <w:r>
              <w:rPr>
                <w:rFonts w:ascii="Arial" w:hAnsi="Arial"/>
                <w:b w:val="0"/>
                <w:color w:val="1E293B"/>
                <w:sz w:val="17"/>
              </w:rPr>
              <w:t>4. Rendimiento (Throughput)</w:t>
            </w:r>
          </w:p>
        </w:tc>
        <w:tc>
          <w:tcPr>
            <w:tcW w:type="dxa" w:w="2304"/>
            <w:shd w:val="clear" w:color="auto" w:fill="F8FAFC"/>
          </w:tcPr>
          <w:p>
            <w:pPr>
              <w:spacing w:before="60" w:after="60"/>
              <w:jc w:val="left"/>
            </w:pPr>
            <w:r/>
            <w:r>
              <w:rPr>
                <w:rFonts w:ascii="Arial" w:hAnsi="Arial"/>
                <w:b w:val="0"/>
                <w:color w:val="1E293B"/>
                <w:sz w:val="17"/>
              </w:rPr>
              <w:t>Degradación del hilo principal WSGI durante generación de PDFs, envío de recordatorios WhatsApp o reportes masivos.</w:t>
            </w:r>
          </w:p>
        </w:tc>
        <w:tc>
          <w:tcPr>
            <w:tcW w:type="dxa" w:w="3600"/>
            <w:shd w:val="clear" w:color="auto" w:fill="F8FAFC"/>
          </w:tcPr>
          <w:p>
            <w:pPr>
              <w:spacing w:before="60" w:after="60"/>
              <w:jc w:val="left"/>
            </w:pPr>
            <w:r/>
            <w:r>
              <w:rPr>
                <w:rFonts w:ascii="Arial" w:hAnsi="Arial"/>
                <w:b w:val="0"/>
                <w:color w:val="1E293B"/>
                <w:sz w:val="17"/>
              </w:rPr>
              <w:t>Desacoplamiento de tareas pesadas hacia colas asíncronas distribuidas con Celery 5.4 y broker Redis 7.2, más pool de conexiones PgBouncer frente a Vitalis_BD.</w:t>
            </w:r>
          </w:p>
        </w:tc>
        <w:tc>
          <w:tcPr>
            <w:tcW w:type="dxa" w:w="1296"/>
            <w:shd w:val="clear" w:color="auto" w:fill="F8FAFC"/>
          </w:tcPr>
          <w:p>
            <w:pPr>
              <w:spacing w:before="60" w:after="60"/>
              <w:jc w:val="left"/>
            </w:pPr>
            <w:r/>
            <w:r>
              <w:rPr>
                <w:rFonts w:ascii="Arial" w:hAnsi="Arial"/>
                <w:b w:val="0"/>
                <w:color w:val="1E293B"/>
                <w:sz w:val="17"/>
              </w:rPr>
              <w:t>RNF-0007, RNF-0011, RNF-0012</w:t>
            </w:r>
          </w:p>
        </w:tc>
      </w:tr>
      <w:tr>
        <w:tc>
          <w:tcPr>
            <w:tcW w:type="dxa" w:w="1872"/>
            <w:shd w:val="clear" w:color="auto" w:fill="FFFFFF"/>
          </w:tcPr>
          <w:p>
            <w:pPr>
              <w:spacing w:before="60" w:after="60"/>
              <w:jc w:val="left"/>
            </w:pPr>
            <w:r/>
            <w:r>
              <w:rPr>
                <w:rFonts w:ascii="Arial" w:hAnsi="Arial"/>
                <w:b w:val="0"/>
                <w:color w:val="1E293B"/>
                <w:sz w:val="17"/>
              </w:rPr>
              <w:t>5. Tolerancia a Errores</w:t>
            </w:r>
          </w:p>
        </w:tc>
        <w:tc>
          <w:tcPr>
            <w:tcW w:type="dxa" w:w="2304"/>
            <w:shd w:val="clear" w:color="auto" w:fill="FFFFFF"/>
          </w:tcPr>
          <w:p>
            <w:pPr>
              <w:spacing w:before="60" w:after="60"/>
              <w:jc w:val="left"/>
            </w:pPr>
            <w:r/>
            <w:r>
              <w:rPr>
                <w:rFonts w:ascii="Arial" w:hAnsi="Arial"/>
                <w:b w:val="0"/>
                <w:color w:val="1E293B"/>
                <w:sz w:val="17"/>
              </w:rPr>
              <w:t>Caída temporal o timeout de la API externa de SUNAT (Paso 10 de ILA-0106) o pérdida momentánea de señal móvil en pre-triaje (ILA-0062).</w:t>
            </w:r>
          </w:p>
        </w:tc>
        <w:tc>
          <w:tcPr>
            <w:tcW w:type="dxa" w:w="3600"/>
            <w:shd w:val="clear" w:color="auto" w:fill="FFFFFF"/>
          </w:tcPr>
          <w:p>
            <w:pPr>
              <w:spacing w:before="60" w:after="60"/>
              <w:jc w:val="left"/>
            </w:pPr>
            <w:r/>
            <w:r>
              <w:rPr>
                <w:rFonts w:ascii="Arial" w:hAnsi="Arial"/>
                <w:b w:val="0"/>
                <w:color w:val="1E293B"/>
                <w:sz w:val="17"/>
              </w:rPr>
              <w:t>Transacciones ACID con ROLLBACK automático ante fallo de persistencia; reintento idempotente encolado ante caída de pasarela externa; y resguardo de formularios en SessionStorage del cliente.</w:t>
            </w:r>
          </w:p>
        </w:tc>
        <w:tc>
          <w:tcPr>
            <w:tcW w:type="dxa" w:w="1296"/>
            <w:shd w:val="clear" w:color="auto" w:fill="FFFFFF"/>
          </w:tcPr>
          <w:p>
            <w:pPr>
              <w:spacing w:before="60" w:after="60"/>
              <w:jc w:val="left"/>
            </w:pPr>
            <w:r/>
            <w:r>
              <w:rPr>
                <w:rFonts w:ascii="Arial" w:hAnsi="Arial"/>
                <w:b w:val="0"/>
                <w:color w:val="1E293B"/>
                <w:sz w:val="17"/>
              </w:rPr>
              <w:t>RNF-0010, RNF-0018, RNF-0023</w:t>
            </w:r>
          </w:p>
        </w:tc>
      </w:tr>
      <w:tr>
        <w:tc>
          <w:tcPr>
            <w:tcW w:type="dxa" w:w="1872"/>
            <w:shd w:val="clear" w:color="auto" w:fill="F8FAFC"/>
          </w:tcPr>
          <w:p>
            <w:pPr>
              <w:spacing w:before="60" w:after="60"/>
              <w:jc w:val="center"/>
            </w:pPr>
            <w:r/>
            <w:r>
              <w:rPr>
                <w:rFonts w:ascii="Arial" w:hAnsi="Arial"/>
                <w:b/>
                <w:color w:val="0F2942"/>
                <w:sz w:val="17"/>
              </w:rPr>
              <w:t>6. Escalabilidad</w:t>
            </w:r>
          </w:p>
        </w:tc>
        <w:tc>
          <w:tcPr>
            <w:tcW w:type="dxa" w:w="2304"/>
            <w:shd w:val="clear" w:color="auto" w:fill="F8FAFC"/>
          </w:tcPr>
          <w:p>
            <w:pPr>
              <w:spacing w:before="60" w:after="60"/>
              <w:jc w:val="left"/>
            </w:pPr>
            <w:r/>
            <w:r>
              <w:rPr>
                <w:rFonts w:ascii="Arial" w:hAnsi="Arial"/>
                <w:b w:val="0"/>
                <w:color w:val="1E293B"/>
                <w:sz w:val="17"/>
              </w:rPr>
              <w:t>Incremento de flujo concurrente durante campañas pediátricas de salud (EDU-0035) y aperturas mensuales de agenda.</w:t>
            </w:r>
          </w:p>
        </w:tc>
        <w:tc>
          <w:tcPr>
            <w:tcW w:type="dxa" w:w="3600"/>
            <w:shd w:val="clear" w:color="auto" w:fill="F8FAFC"/>
          </w:tcPr>
          <w:p>
            <w:pPr>
              <w:spacing w:before="60" w:after="60"/>
              <w:jc w:val="left"/>
            </w:pPr>
            <w:r/>
            <w:r>
              <w:rPr>
                <w:rFonts w:ascii="Arial" w:hAnsi="Arial"/>
                <w:b w:val="0"/>
                <w:color w:val="1E293B"/>
                <w:sz w:val="17"/>
              </w:rPr>
              <w:t>Diseño stateless de los workers Gunicorn/Django (autenticación vía JWT sin estado de sesión en memoria local), permitiendo escalar horizontalmente el número de contenedores en Docker.</w:t>
            </w:r>
          </w:p>
        </w:tc>
        <w:tc>
          <w:tcPr>
            <w:tcW w:type="dxa" w:w="1296"/>
            <w:shd w:val="clear" w:color="auto" w:fill="F8FAFC"/>
          </w:tcPr>
          <w:p>
            <w:pPr>
              <w:spacing w:before="60" w:after="60"/>
              <w:jc w:val="left"/>
            </w:pPr>
            <w:r/>
            <w:r>
              <w:rPr>
                <w:rFonts w:ascii="Arial" w:hAnsi="Arial"/>
                <w:b w:val="0"/>
                <w:color w:val="1E293B"/>
                <w:sz w:val="17"/>
              </w:rPr>
              <w:t>RNF-0012, RNF-0014, RNF-0020</w:t>
            </w:r>
          </w:p>
        </w:tc>
      </w:tr>
    </w:tbl>
    <w:p>
      <w:pPr>
        <w:spacing w:after="120"/>
      </w:pPr>
    </w:p>
    <w:p>
      <w:pPr>
        <w:keepNext/>
        <w:spacing w:before="280" w:after="120"/>
      </w:pPr>
      <w:r>
        <w:rPr>
          <w:rFonts w:ascii="Arial" w:hAnsi="Arial"/>
          <w:b/>
          <w:color w:val="0F2942"/>
          <w:sz w:val="27"/>
        </w:rPr>
        <w:t>8. CONCLUSIONES</w:t>
      </w:r>
    </w:p>
    <w:p>
      <w:pPr>
        <w:keepNext/>
        <w:spacing w:before="200" w:after="80"/>
      </w:pPr>
      <w:r>
        <w:rPr>
          <w:rFonts w:ascii="Arial" w:hAnsi="Arial"/>
          <w:b/>
          <w:color w:val="1E3A8A"/>
          <w:sz w:val="23"/>
        </w:rPr>
        <w:t>8.1. Del Marco Conceptual</w:t>
      </w:r>
    </w:p>
    <w:p>
      <w:pPr>
        <w:spacing w:before="40" w:after="100" w:line="276" w:lineRule="auto"/>
        <w:jc w:val="both"/>
      </w:pPr>
      <w:r>
        <w:rPr>
          <w:rFonts w:ascii="Arial" w:hAnsi="Arial"/>
          <w:i w:val="0"/>
          <w:color w:val="1E293B"/>
          <w:sz w:val="20"/>
        </w:rPr>
        <w:t>1. La Vista de Procesos demuestra que un procedimiento de ilación bien estructurado —con pasos numerados en orden secuencial y saltos condicionales explícitos— constituye un algoritmo ejecutable que puede transformarse directamente en un modelo BPMN 2.0 sin ambigüedades interpretativas.</w:t>
      </w:r>
    </w:p>
    <w:p>
      <w:pPr>
        <w:spacing w:before="40" w:after="100" w:line="276" w:lineRule="auto"/>
        <w:jc w:val="both"/>
      </w:pPr>
      <w:r>
        <w:rPr>
          <w:rFonts w:ascii="Arial" w:hAnsi="Arial"/>
          <w:i w:val="0"/>
          <w:color w:val="1E293B"/>
          <w:sz w:val="20"/>
        </w:rPr>
        <w:t>2. La incorporación explícita de mecanismos de control de concurrencia, prevención de punto muerto (deadlock) y tolerancia a fallos dentro de los carriles del diagrama de actividades asegura que la arquitectura soporte cargas transaccionales reales sin corrupción de datos.</w:t>
      </w:r>
    </w:p>
    <w:p>
      <w:pPr>
        <w:keepNext/>
        <w:spacing w:before="200" w:after="80"/>
      </w:pPr>
      <w:r>
        <w:rPr>
          <w:rFonts w:ascii="Arial" w:hAnsi="Arial"/>
          <w:b/>
          <w:color w:val="1E3A8A"/>
          <w:sz w:val="23"/>
        </w:rPr>
        <w:t>8.2. Del Producto (NexoVitalis360)</w:t>
      </w:r>
    </w:p>
    <w:p>
      <w:pPr>
        <w:spacing w:before="40" w:after="100" w:line="276" w:lineRule="auto"/>
        <w:jc w:val="both"/>
      </w:pPr>
      <w:r>
        <w:rPr>
          <w:rFonts w:ascii="Arial" w:hAnsi="Arial"/>
          <w:i w:val="0"/>
          <w:color w:val="1E293B"/>
          <w:sz w:val="20"/>
        </w:rPr>
        <w:t>1. Los tres procesos críticos modelados en Bonita BPM v2024.1 (ILA-0017 Agendamiento de Cita, ILA-0062 Pre-Triaje con Alerta Roja e ILA-0106 Emisión de Comprobante Electrónico SUNAT) validan de extremo a extremo la integración entre las interfaces React (GUI/MDL), los servicios Django y las tablas de Vitalis_BD.</w:t>
      </w:r>
    </w:p>
    <w:p>
      <w:pPr>
        <w:spacing w:before="40" w:after="100" w:line="276" w:lineRule="auto"/>
        <w:jc w:val="both"/>
      </w:pPr>
      <w:r>
        <w:rPr>
          <w:rFonts w:ascii="Arial" w:hAnsi="Arial"/>
          <w:i w:val="0"/>
          <w:color w:val="1E293B"/>
          <w:sz w:val="20"/>
        </w:rPr>
        <w:t>2. El registro formal de Bonita BPM v2024.1 en el requisito no funcional RNF-0021 consolida la correspondencia bidireccional exigida por la cátedra entre las herramientas empleadas en los artefactos de arquitectura y el Catálogo de Requisitos Actualizado.</w:t>
      </w:r>
    </w:p>
    <w:p>
      <w:pPr>
        <w:keepNext/>
        <w:spacing w:before="280" w:after="120"/>
      </w:pPr>
      <w:r>
        <w:rPr>
          <w:rFonts w:ascii="Arial" w:hAnsi="Arial"/>
          <w:b/>
          <w:color w:val="0F2942"/>
          <w:sz w:val="27"/>
        </w:rPr>
        <w:t>9. OBSERVACIONES</w:t>
      </w:r>
    </w:p>
    <w:p>
      <w:pPr>
        <w:spacing w:before="40" w:after="100" w:line="276" w:lineRule="auto"/>
        <w:jc w:val="both"/>
      </w:pPr>
      <w:r>
        <w:rPr>
          <w:rFonts w:ascii="Arial" w:hAnsi="Arial"/>
          <w:i w:val="0"/>
          <w:color w:val="1E293B"/>
          <w:sz w:val="20"/>
        </w:rPr>
        <w:t>1. Expiración del Bloqueo Temporal en el Paso 7 de ILA-0017 (RNF-0004): Si un actor selecciona un bloque horario y abandona la ventana modal sin presionar Cancelar ni Guardar, el cerrojo en Redis 7.2 liberará automáticamente la franja tras cumplirse el TTL de 600 segundos (10 minutos), evitando el secuestro indefinido de turnos médicos.</w:t>
      </w:r>
    </w:p>
    <w:p>
      <w:pPr>
        <w:spacing w:before="40" w:after="100" w:line="276" w:lineRule="auto"/>
        <w:jc w:val="both"/>
      </w:pPr>
      <w:r>
        <w:rPr>
          <w:rFonts w:ascii="Arial" w:hAnsi="Arial"/>
          <w:i w:val="0"/>
          <w:color w:val="1E293B"/>
          <w:sz w:val="20"/>
        </w:rPr>
        <w:t>2. Latencia Externa del PSE/OSE de SUNAT en el Paso 10 de ILA-0106 (RNF-0023): Dado que el servicio web de la administración tributaria puede experimentar picos de latencia superiores a 3.0 segundos en cierres de mes, el proceso contempla la emisión asíncrona contingente con actualización posterior del CDR.</w:t>
      </w:r>
    </w:p>
    <w:p>
      <w:pPr>
        <w:spacing w:before="40" w:after="100" w:line="276" w:lineRule="auto"/>
        <w:jc w:val="both"/>
      </w:pPr>
      <w:r>
        <w:rPr>
          <w:rFonts w:ascii="Arial" w:hAnsi="Arial"/>
          <w:i w:val="0"/>
          <w:color w:val="1E293B"/>
          <w:sz w:val="20"/>
        </w:rPr>
        <w:t>3. Bloqueo Estricto de Citas sin Pre-Triaje (ILA-0062 -&gt; ILA-0017): Se observa una dependencia procesal crítica: el Paso 4 de ILA-0017 rechaza cualquier intento de reserva si el Paso 9 de ILA-0062 no ha asentado previamente el registro de pre-triaje con eliminacion_logica = false.</w:t>
      </w:r>
    </w:p>
    <w:p>
      <w:pPr>
        <w:keepNext/>
        <w:spacing w:before="280" w:after="120"/>
      </w:pPr>
      <w:r>
        <w:rPr>
          <w:rFonts w:ascii="Arial" w:hAnsi="Arial"/>
          <w:b/>
          <w:color w:val="0F2942"/>
          <w:sz w:val="27"/>
        </w:rPr>
        <w:t>10. BIBLIOGRAFÍA</w:t>
      </w:r>
    </w:p>
    <w:p>
      <w:pPr>
        <w:spacing w:before="40" w:after="100" w:line="276" w:lineRule="auto"/>
        <w:jc w:val="both"/>
      </w:pPr>
      <w:r>
        <w:rPr>
          <w:rFonts w:ascii="Arial" w:hAnsi="Arial"/>
          <w:i w:val="0"/>
          <w:color w:val="1E293B"/>
          <w:sz w:val="20"/>
        </w:rPr>
        <w:t>[1] Object Management Group (OMG), 'Business Process Model and Notation (BPMN), Version 2.0.2,' Needham, MA, USA, Dec. 2013.</w:t>
      </w:r>
    </w:p>
    <w:p>
      <w:pPr>
        <w:spacing w:before="40" w:after="100" w:line="276" w:lineRule="auto"/>
        <w:jc w:val="both"/>
      </w:pPr>
      <w:r>
        <w:rPr>
          <w:rFonts w:ascii="Arial" w:hAnsi="Arial"/>
          <w:i w:val="0"/>
          <w:color w:val="1E293B"/>
          <w:sz w:val="20"/>
        </w:rPr>
        <w:t>[2] Bonitasoft, 'Bonita BPM Community Edition v2024.1 Official Documentation: Process Modeling and Execution,' Grenoble, France, 2024.</w:t>
      </w:r>
    </w:p>
    <w:p>
      <w:pPr>
        <w:spacing w:before="40" w:after="100" w:line="276" w:lineRule="auto"/>
        <w:jc w:val="both"/>
      </w:pPr>
      <w:r>
        <w:rPr>
          <w:rFonts w:ascii="Arial" w:hAnsi="Arial"/>
          <w:i w:val="0"/>
          <w:color w:val="1E293B"/>
          <w:sz w:val="20"/>
        </w:rPr>
        <w:t>[3] M. Dumas, M. La Rosa, J. Mendling, and H. A. Reijers, Fundamentals of Business Process Management, 2nd ed. Berlin, Germany: Springer, 2018.</w:t>
      </w:r>
    </w:p>
    <w:p>
      <w:pPr>
        <w:spacing w:before="40" w:after="100" w:line="276" w:lineRule="auto"/>
        <w:jc w:val="both"/>
      </w:pPr>
      <w:r>
        <w:rPr>
          <w:rFonts w:ascii="Arial" w:hAnsi="Arial"/>
          <w:i w:val="0"/>
          <w:color w:val="1E293B"/>
          <w:sz w:val="20"/>
        </w:rPr>
        <w:t>[4] P. Kruchten, 'The 4+1 View Model of Architecture,' IEEE Software, vol. 12, no. 6, pp. 42–50, Nov. 1995.</w:t>
      </w:r>
    </w:p>
    <w:p>
      <w:pPr>
        <w:spacing w:before="40" w:after="100" w:line="276" w:lineRule="auto"/>
        <w:jc w:val="both"/>
      </w:pPr>
      <w:r>
        <w:rPr>
          <w:rFonts w:ascii="Arial" w:hAnsi="Arial"/>
          <w:i w:val="0"/>
          <w:color w:val="1E293B"/>
          <w:sz w:val="20"/>
        </w:rPr>
        <w:t>[5] P. A. Bernstein, V. Hadzilacos, and N. Goodman, Concurrency Control and Recovery in Database Systems. Reading, MA, USA: Addison-Wesley, 1987.</w:t>
      </w:r>
    </w:p>
    <w:p>
      <w:pPr>
        <w:spacing w:before="40" w:after="100" w:line="276" w:lineRule="auto"/>
        <w:jc w:val="both"/>
      </w:pPr>
      <w:r>
        <w:rPr>
          <w:rFonts w:ascii="Arial" w:hAnsi="Arial"/>
          <w:i w:val="0"/>
          <w:color w:val="1E293B"/>
          <w:sz w:val="20"/>
        </w:rPr>
        <w:t>[6] M. Kleppmann, Designing Data-Intensive Applications: The Big Ideas Behind Reliable, Scalable, and Maintainable Systems. Sebastopol, CA, USA: O'Reilly Media, 2017.</w:t>
      </w:r>
    </w:p>
    <w:p>
      <w:pPr>
        <w:spacing w:before="40" w:after="100" w:line="276" w:lineRule="auto"/>
        <w:jc w:val="both"/>
      </w:pPr>
      <w:r>
        <w:rPr>
          <w:rFonts w:ascii="Arial" w:hAnsi="Arial"/>
          <w:i w:val="0"/>
          <w:color w:val="1E293B"/>
          <w:sz w:val="20"/>
        </w:rPr>
        <w:t>[7] A. Silberschatz, P. B. Galvin, and G. Gagne, Operating System Concepts, 10th ed. Hoboken, NJ, USA: Wiley, 2018.</w:t>
      </w:r>
    </w:p>
    <w:p>
      <w:pPr>
        <w:spacing w:before="40" w:after="100" w:line="276" w:lineRule="auto"/>
        <w:jc w:val="both"/>
      </w:pPr>
      <w:r>
        <w:rPr>
          <w:rFonts w:ascii="Arial" w:hAnsi="Arial"/>
          <w:i w:val="0"/>
          <w:color w:val="1E293B"/>
          <w:sz w:val="20"/>
        </w:rPr>
        <w:t>[8] S. Newman, Building Microservices: Designing Fine-Grained Systems, 2nd ed. Sebastopol, CA, USA: O'Reilly Media, 2021.</w:t>
      </w:r>
    </w:p>
    <w:p>
      <w:pPr>
        <w:spacing w:before="40" w:after="100" w:line="276" w:lineRule="auto"/>
        <w:jc w:val="both"/>
      </w:pPr>
      <w:r>
        <w:rPr>
          <w:rFonts w:ascii="Arial" w:hAnsi="Arial"/>
          <w:i w:val="0"/>
          <w:color w:val="1E293B"/>
          <w:sz w:val="20"/>
        </w:rPr>
        <w:t>[9] G. Hohpe and B. Woolf, Enterprise Integration Patterns: Designing, Building, and Deploying Messaging Solutions. Boston, MA, USA: Addison-Wesley, 2003.</w:t>
      </w:r>
    </w:p>
    <w:p>
      <w:pPr>
        <w:spacing w:before="40" w:after="100" w:line="276" w:lineRule="auto"/>
        <w:jc w:val="both"/>
      </w:pPr>
      <w:r>
        <w:rPr>
          <w:rFonts w:ascii="Arial" w:hAnsi="Arial"/>
          <w:i w:val="0"/>
          <w:color w:val="1E293B"/>
          <w:sz w:val="20"/>
        </w:rPr>
        <w:t>[10] P. O. Huertas Niquén, 'Diseño y Arquitectura de Software: Material de Cátedra — Vista de Procesos,' Escuela Profesional de Ingeniería de Sistemas, Universidad Nacional de San Agustín de Arequipa (UNSA), 2026.</w:t>
      </w:r>
    </w:p>
    <w:p>
      <w:pPr>
        <w:keepNext/>
        <w:spacing w:before="280" w:after="120"/>
      </w:pPr>
      <w:r>
        <w:rPr>
          <w:rFonts w:ascii="Arial" w:hAnsi="Arial"/>
          <w:b/>
          <w:color w:val="0F2942"/>
          <w:sz w:val="27"/>
        </w:rPr>
        <w:t>11. ANEXOS</w:t>
      </w:r>
    </w:p>
    <w:p>
      <w:pPr>
        <w:keepNext/>
        <w:spacing w:before="200" w:after="80"/>
      </w:pPr>
      <w:r>
        <w:rPr>
          <w:rFonts w:ascii="Arial" w:hAnsi="Arial"/>
          <w:b/>
          <w:color w:val="1E3A8A"/>
          <w:sz w:val="23"/>
        </w:rPr>
        <w:t>Anexo 1: Registro de Versionamiento de la Vista de Procesos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152"/>
            <w:shd w:val="clear" w:color="auto" w:fill="0F2942"/>
          </w:tcPr>
          <w:p>
            <w:pPr>
              <w:spacing w:before="60" w:after="60"/>
              <w:jc w:val="center"/>
            </w:pPr>
            <w:r/>
            <w:r>
              <w:rPr>
                <w:rFonts w:ascii="Arial" w:hAnsi="Arial"/>
                <w:b/>
                <w:color w:val="FFFFFF"/>
                <w:sz w:val="18"/>
              </w:rPr>
              <w:t>VERSIÓN</w:t>
            </w:r>
          </w:p>
        </w:tc>
        <w:tc>
          <w:tcPr>
            <w:tcW w:type="dxa" w:w="1440"/>
            <w:shd w:val="clear" w:color="auto" w:fill="0F2942"/>
          </w:tcPr>
          <w:p>
            <w:pPr>
              <w:spacing w:before="60" w:after="60"/>
              <w:jc w:val="center"/>
            </w:pPr>
            <w:r/>
            <w:r>
              <w:rPr>
                <w:rFonts w:ascii="Arial" w:hAnsi="Arial"/>
                <w:b/>
                <w:color w:val="FFFFFF"/>
                <w:sz w:val="18"/>
              </w:rPr>
              <w:t>FECHA</w:t>
            </w:r>
          </w:p>
        </w:tc>
        <w:tc>
          <w:tcPr>
            <w:tcW w:type="dxa" w:w="2592"/>
            <w:shd w:val="clear" w:color="auto" w:fill="0F2942"/>
          </w:tcPr>
          <w:p>
            <w:pPr>
              <w:spacing w:before="60" w:after="60"/>
              <w:jc w:val="center"/>
            </w:pPr>
            <w:r/>
            <w:r>
              <w:rPr>
                <w:rFonts w:ascii="Arial" w:hAnsi="Arial"/>
                <w:b/>
                <w:color w:val="FFFFFF"/>
                <w:sz w:val="18"/>
              </w:rPr>
              <w:t>AUTORES / SUBGRUPO</w:t>
            </w:r>
          </w:p>
        </w:tc>
        <w:tc>
          <w:tcPr>
            <w:tcW w:type="dxa" w:w="4032"/>
            <w:shd w:val="clear" w:color="auto" w:fill="0F2942"/>
          </w:tcPr>
          <w:p>
            <w:pPr>
              <w:spacing w:before="60" w:after="60"/>
              <w:jc w:val="center"/>
            </w:pPr>
            <w:r/>
            <w:r>
              <w:rPr>
                <w:rFonts w:ascii="Arial" w:hAnsi="Arial"/>
                <w:b/>
                <w:color w:val="FFFFFF"/>
                <w:sz w:val="18"/>
              </w:rPr>
              <w:t>DESCRIPCIÓN DETALLADA DE CAMBIOS EN LA VISTA DE PROCESOS</w:t>
            </w:r>
          </w:p>
        </w:tc>
      </w:tr>
      <w:tr>
        <w:tc>
          <w:tcPr>
            <w:tcW w:type="dxa" w:w="1152"/>
            <w:shd w:val="clear" w:color="auto" w:fill="FFFFFF"/>
          </w:tcPr>
          <w:p>
            <w:pPr>
              <w:spacing w:before="60" w:after="60"/>
              <w:jc w:val="center"/>
            </w:pPr>
            <w:r/>
            <w:r>
              <w:rPr>
                <w:rFonts w:ascii="Arial" w:hAnsi="Arial"/>
                <w:b/>
                <w:color w:val="0F2942"/>
                <w:sz w:val="17"/>
              </w:rPr>
              <w:t>v00.10</w:t>
            </w:r>
          </w:p>
        </w:tc>
        <w:tc>
          <w:tcPr>
            <w:tcW w:type="dxa" w:w="1440"/>
            <w:shd w:val="clear" w:color="auto" w:fill="FFFFFF"/>
          </w:tcPr>
          <w:p>
            <w:pPr>
              <w:spacing w:before="60" w:after="60"/>
              <w:jc w:val="left"/>
            </w:pPr>
            <w:r/>
            <w:r>
              <w:rPr>
                <w:rFonts w:ascii="Arial" w:hAnsi="Arial"/>
                <w:b w:val="0"/>
                <w:color w:val="1E293B"/>
                <w:sz w:val="17"/>
              </w:rPr>
              <w:t>04/10/2026</w:t>
            </w:r>
          </w:p>
        </w:tc>
        <w:tc>
          <w:tcPr>
            <w:tcW w:type="dxa" w:w="2592"/>
            <w:shd w:val="clear" w:color="auto" w:fill="FFFFFF"/>
          </w:tcPr>
          <w:p>
            <w:pPr>
              <w:spacing w:before="60" w:after="60"/>
              <w:jc w:val="left"/>
            </w:pPr>
            <w:r/>
            <w:r>
              <w:rPr>
                <w:rFonts w:ascii="Arial" w:hAnsi="Arial"/>
                <w:b w:val="0"/>
                <w:color w:val="1E293B"/>
                <w:sz w:val="17"/>
              </w:rPr>
              <w:t>Subgrupo Vista de Procesos (Payehuanca, Arce)</w:t>
            </w:r>
          </w:p>
        </w:tc>
        <w:tc>
          <w:tcPr>
            <w:tcW w:type="dxa" w:w="4032"/>
            <w:shd w:val="clear" w:color="auto" w:fill="FFFFFF"/>
          </w:tcPr>
          <w:p>
            <w:pPr>
              <w:spacing w:before="60" w:after="60"/>
              <w:jc w:val="left"/>
            </w:pPr>
            <w:r/>
            <w:r>
              <w:rPr>
                <w:rFonts w:ascii="Arial" w:hAnsi="Arial"/>
                <w:b w:val="0"/>
                <w:color w:val="1E293B"/>
                <w:sz w:val="17"/>
              </w:rPr>
              <w:t>Selección inicial de las 3 ilaciones críticas (ILA-0017, ILA-0062, ILA-0106) y trazado preliminar de actividades.</w:t>
            </w:r>
          </w:p>
        </w:tc>
      </w:tr>
      <w:tr>
        <w:tc>
          <w:tcPr>
            <w:tcW w:type="dxa" w:w="1152"/>
            <w:shd w:val="clear" w:color="auto" w:fill="F8FAFC"/>
          </w:tcPr>
          <w:p>
            <w:pPr>
              <w:spacing w:before="60" w:after="60"/>
              <w:jc w:val="center"/>
            </w:pPr>
            <w:r/>
            <w:r>
              <w:rPr>
                <w:rFonts w:ascii="Arial" w:hAnsi="Arial"/>
                <w:b/>
                <w:color w:val="0F2942"/>
                <w:sz w:val="17"/>
              </w:rPr>
              <w:t>v00.20</w:t>
            </w:r>
          </w:p>
        </w:tc>
        <w:tc>
          <w:tcPr>
            <w:tcW w:type="dxa" w:w="1440"/>
            <w:shd w:val="clear" w:color="auto" w:fill="F8FAFC"/>
          </w:tcPr>
          <w:p>
            <w:pPr>
              <w:spacing w:before="60" w:after="60"/>
              <w:jc w:val="left"/>
            </w:pPr>
            <w:r/>
            <w:r>
              <w:rPr>
                <w:rFonts w:ascii="Arial" w:hAnsi="Arial"/>
                <w:b w:val="0"/>
                <w:color w:val="1E293B"/>
                <w:sz w:val="17"/>
              </w:rPr>
              <w:t>11/10/2026</w:t>
            </w:r>
          </w:p>
        </w:tc>
        <w:tc>
          <w:tcPr>
            <w:tcW w:type="dxa" w:w="2592"/>
            <w:shd w:val="clear" w:color="auto" w:fill="F8FAFC"/>
          </w:tcPr>
          <w:p>
            <w:pPr>
              <w:spacing w:before="60" w:after="60"/>
              <w:jc w:val="left"/>
            </w:pPr>
            <w:r/>
            <w:r>
              <w:rPr>
                <w:rFonts w:ascii="Arial" w:hAnsi="Arial"/>
                <w:b w:val="0"/>
                <w:color w:val="1E293B"/>
                <w:sz w:val="17"/>
              </w:rPr>
              <w:t>Equipo RuwayLabs (Giro Cruzado de Vistas)</w:t>
            </w:r>
          </w:p>
        </w:tc>
        <w:tc>
          <w:tcPr>
            <w:tcW w:type="dxa" w:w="4032"/>
            <w:shd w:val="clear" w:color="auto" w:fill="F8FAFC"/>
          </w:tcPr>
          <w:p>
            <w:pPr>
              <w:spacing w:before="60" w:after="60"/>
              <w:jc w:val="left"/>
            </w:pPr>
            <w:r/>
            <w:r>
              <w:rPr>
                <w:rFonts w:ascii="Arial" w:hAnsi="Arial"/>
                <w:b w:val="0"/>
                <w:color w:val="1E293B"/>
                <w:sz w:val="17"/>
              </w:rPr>
              <w:t>Incorporación de carriles BPMN 2.0 bajo Bonita BPM v2024.1 (RNF-0021), compuertas XOR con números de paso exactos y análisis de deadlock.</w:t>
            </w:r>
          </w:p>
        </w:tc>
      </w:tr>
      <w:tr>
        <w:tc>
          <w:tcPr>
            <w:tcW w:type="dxa" w:w="1152"/>
            <w:shd w:val="clear" w:color="auto" w:fill="FFFFFF"/>
          </w:tcPr>
          <w:p>
            <w:pPr>
              <w:spacing w:before="60" w:after="60"/>
              <w:jc w:val="center"/>
            </w:pPr>
            <w:r/>
            <w:r>
              <w:rPr>
                <w:rFonts w:ascii="Arial" w:hAnsi="Arial"/>
                <w:b/>
                <w:color w:val="0F2942"/>
                <w:sz w:val="17"/>
              </w:rPr>
              <w:t>v01.00</w:t>
            </w:r>
          </w:p>
        </w:tc>
        <w:tc>
          <w:tcPr>
            <w:tcW w:type="dxa" w:w="1440"/>
            <w:shd w:val="clear" w:color="auto" w:fill="FFFFFF"/>
          </w:tcPr>
          <w:p>
            <w:pPr>
              <w:spacing w:before="60" w:after="60"/>
              <w:jc w:val="left"/>
            </w:pPr>
            <w:r/>
            <w:r>
              <w:rPr>
                <w:rFonts w:ascii="Arial" w:hAnsi="Arial"/>
                <w:b w:val="0"/>
                <w:color w:val="1E293B"/>
                <w:sz w:val="17"/>
              </w:rPr>
              <w:t>18/10/2026</w:t>
            </w:r>
          </w:p>
        </w:tc>
        <w:tc>
          <w:tcPr>
            <w:tcW w:type="dxa" w:w="2592"/>
            <w:shd w:val="clear" w:color="auto" w:fill="FFFFFF"/>
          </w:tcPr>
          <w:p>
            <w:pPr>
              <w:spacing w:before="60" w:after="60"/>
              <w:jc w:val="left"/>
            </w:pPr>
            <w:r/>
            <w:r>
              <w:rPr>
                <w:rFonts w:ascii="Arial" w:hAnsi="Arial"/>
                <w:b w:val="0"/>
                <w:color w:val="1E293B"/>
                <w:sz w:val="17"/>
              </w:rPr>
              <w:t>Marquez H. Marco (Líder) y Equipo RuwayLabs</w:t>
            </w:r>
          </w:p>
        </w:tc>
        <w:tc>
          <w:tcPr>
            <w:tcW w:type="dxa" w:w="4032"/>
            <w:shd w:val="clear" w:color="auto" w:fill="FFFFFF"/>
          </w:tcPr>
          <w:p>
            <w:pPr>
              <w:spacing w:before="60" w:after="60"/>
              <w:jc w:val="left"/>
            </w:pPr>
            <w:r/>
            <w:r>
              <w:rPr>
                <w:rFonts w:ascii="Arial" w:hAnsi="Arial"/>
                <w:b w:val="0"/>
                <w:color w:val="1E293B"/>
                <w:sz w:val="17"/>
              </w:rPr>
              <w:t>Consolidación final aprobada para entrega del Hito 2, verificada paso a paso contra Artefacto_Ilación_v02.00.docx.</w:t>
            </w:r>
          </w:p>
        </w:tc>
      </w:tr>
    </w:tbl>
    <w:p>
      <w:pPr>
        <w:spacing w:after="120"/>
      </w:pPr>
    </w:p>
    <w:sectPr w:rsidR="006D24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D99"/>
    <w:multiLevelType w:val="hybridMultilevel"/>
    <w:tmpl w:val="3E14D508"/>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256844C0"/>
    <w:multiLevelType w:val="multilevel"/>
    <w:tmpl w:val="E5302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E5010EF"/>
    <w:multiLevelType w:val="hybridMultilevel"/>
    <w:tmpl w:val="9F0ABB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9791458">
    <w:abstractNumId w:val="2"/>
  </w:num>
  <w:num w:numId="2" w16cid:durableId="1538619015">
    <w:abstractNumId w:val="1"/>
  </w:num>
  <w:num w:numId="3" w16cid:durableId="73925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9D"/>
    <w:rsid w:val="00037EC0"/>
    <w:rsid w:val="00111944"/>
    <w:rsid w:val="00173C2B"/>
    <w:rsid w:val="001775B0"/>
    <w:rsid w:val="001A55F3"/>
    <w:rsid w:val="001A5975"/>
    <w:rsid w:val="001D7535"/>
    <w:rsid w:val="00212B53"/>
    <w:rsid w:val="002910DF"/>
    <w:rsid w:val="002A666C"/>
    <w:rsid w:val="002B0CD9"/>
    <w:rsid w:val="002D3854"/>
    <w:rsid w:val="003103BD"/>
    <w:rsid w:val="00326123"/>
    <w:rsid w:val="00397DA7"/>
    <w:rsid w:val="003A2932"/>
    <w:rsid w:val="003C333D"/>
    <w:rsid w:val="003F59B0"/>
    <w:rsid w:val="004076B8"/>
    <w:rsid w:val="00440CE0"/>
    <w:rsid w:val="00454856"/>
    <w:rsid w:val="004A1A42"/>
    <w:rsid w:val="004E57F7"/>
    <w:rsid w:val="00537DF0"/>
    <w:rsid w:val="00622D21"/>
    <w:rsid w:val="006B203C"/>
    <w:rsid w:val="006B3B46"/>
    <w:rsid w:val="006B4A73"/>
    <w:rsid w:val="006D2453"/>
    <w:rsid w:val="00772D42"/>
    <w:rsid w:val="007C30B9"/>
    <w:rsid w:val="007F132D"/>
    <w:rsid w:val="007F2DEF"/>
    <w:rsid w:val="00837D3C"/>
    <w:rsid w:val="00841599"/>
    <w:rsid w:val="00844220"/>
    <w:rsid w:val="00855859"/>
    <w:rsid w:val="008633C6"/>
    <w:rsid w:val="00874C0D"/>
    <w:rsid w:val="00892646"/>
    <w:rsid w:val="008A390A"/>
    <w:rsid w:val="008B19E0"/>
    <w:rsid w:val="008B1D0A"/>
    <w:rsid w:val="00932A9D"/>
    <w:rsid w:val="00983FB9"/>
    <w:rsid w:val="009C0307"/>
    <w:rsid w:val="009C05E3"/>
    <w:rsid w:val="009E4B6A"/>
    <w:rsid w:val="00A54C25"/>
    <w:rsid w:val="00AE66B6"/>
    <w:rsid w:val="00B05683"/>
    <w:rsid w:val="00B24C61"/>
    <w:rsid w:val="00B74284"/>
    <w:rsid w:val="00BC1CCF"/>
    <w:rsid w:val="00C82EE8"/>
    <w:rsid w:val="00D3158D"/>
    <w:rsid w:val="00D56CC6"/>
    <w:rsid w:val="00DA52A4"/>
    <w:rsid w:val="00DC4663"/>
    <w:rsid w:val="00DC579C"/>
    <w:rsid w:val="00DC7063"/>
    <w:rsid w:val="00DD6CE1"/>
    <w:rsid w:val="00DE61D2"/>
    <w:rsid w:val="00E218FE"/>
    <w:rsid w:val="00E24609"/>
    <w:rsid w:val="00EF1852"/>
    <w:rsid w:val="00F020C2"/>
    <w:rsid w:val="00F51793"/>
    <w:rsid w:val="00FB4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E4DB"/>
  <w15:chartTrackingRefBased/>
  <w15:docId w15:val="{4EA40DBD-AD8B-4116-B688-F3B74973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1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25B94-DE4E-45BB-911C-11E939DE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Pages>
  <Words>396</Words>
  <Characters>2180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Percy Huertas</cp:lastModifiedBy>
  <cp:revision>63</cp:revision>
  <dcterms:created xsi:type="dcterms:W3CDTF">2019-08-31T23:44:00Z</dcterms:created>
  <dcterms:modified xsi:type="dcterms:W3CDTF">2025-08-24T02:18:00Z</dcterms:modified>
</cp:coreProperties>
</file>