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heading=h.2ix5p6ftzd7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Mapa mental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Sitio web de Streaming-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SugoiAnime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nf2gj3b4zy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21405385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yicppxnqws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fyfbm42j2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ote3ziyia4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xs69bmhvc3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eyxvfa7eoy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feyxvfa7eoy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_heading=h.feyxvfa7eoyp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l75u7tnozd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sl75u7tnozd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_heading=h.sl75u7tnozdt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Justificación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0qbcc4k3qx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70qbcc4k3qx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_heading=h.70qbcc4k3qx3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Metodología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8drup1ga7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m8drup1ga7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_heading=h.m8drup1ga7ec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Tecnologías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dp2nlquxaa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7dp2nlquxaa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_heading=h.7dp2nlquxaa9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Funciones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9kuvw35cv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Mapa mental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5yicppxnqwsl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7"/>
        <w:gridCol w:w="1803"/>
        <w:gridCol w:w="3038"/>
        <w:gridCol w:w="2200"/>
        <w:tblGridChange w:id="0">
          <w:tblGrid>
            <w:gridCol w:w="1787"/>
            <w:gridCol w:w="1803"/>
            <w:gridCol w:w="3038"/>
            <w:gridCol w:w="2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02/04/2025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Creación de informe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30/06/2025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Revisión y actualización 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color w:val="000000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color w:val="000000"/>
                <w:rtl w:val="0"/>
              </w:rPr>
              <w:t xml:space="preserve">/2026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Actualización con la arquitectura, el alcance y las tecnologías efectivamente construidas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Equipo SugoiAnime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1276"/>
              </w:tabs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heading=h.3fyfbm42j2f1" w:id="3"/>
      <w:bookmarkEnd w:id="3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83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84"/>
        <w:gridCol w:w="5649"/>
        <w:tblGridChange w:id="0">
          <w:tblGrid>
            <w:gridCol w:w="3184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002V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Sitio web de Streaming - SugoiAnime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13/08/26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16/12/26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SugoiAnime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Marco Antonio Valenzuela Contreras</w:t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oote3ziyia43" w:id="4"/>
      <w:bookmarkEnd w:id="4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18-190.367-8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Natalia Benítez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nat.benitez@duocuc.cl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17.251.253-4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Marco Hernández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marc.hernandeza@duocuc.cl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17.668.384-8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Alegría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el.alegría@duocuc.cl</w:t>
            </w:r>
          </w:p>
        </w:tc>
      </w:tr>
    </w:tbl>
    <w:p w:rsidR="00000000" w:rsidDel="00000000" w:rsidP="00000000" w:rsidRDefault="00000000" w:rsidRPr="00000000" w14:paraId="00000065">
      <w:pPr>
        <w:spacing w:after="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line="360" w:lineRule="auto"/>
        <w:jc w:val="both"/>
        <w:rPr>
          <w:rFonts w:ascii="Calibri" w:cs="Calibri" w:eastAsia="Calibri" w:hAnsi="Calibri"/>
        </w:rPr>
      </w:pPr>
      <w:bookmarkStart w:colFirst="0" w:colLast="0" w:name="_heading=h.mxs69bmhvc31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Introducción</w:t>
      </w:r>
    </w:p>
    <w:p w:rsidR="00000000" w:rsidDel="00000000" w:rsidP="00000000" w:rsidRDefault="00000000" w:rsidRPr="00000000" w14:paraId="0000006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documento detalla los elementos clave del proyecto «SugoiAnime», una plataforma de streaming (MVP) con contenido especializado en anime, construida sobre una arquitectura de microservicios y desplegada en la nube. La iniciativa responde a la demanda de acceso a contenido de anime en línea, gratuito en su fase inicial y de fácil acceso, y a la ausencia de una alternativa legal que trate el anime como contenido principal y no como una categoría secundaria. Aplicando un marco de trabajo ágil y tecnologías actuales, se entrega una experiencia intuitiva, responsiva y conforme al marco legal chileno de datos personales y propiedad intelectual.</w:t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1"/>
        </w:numPr>
        <w:spacing w:line="360" w:lineRule="auto"/>
        <w:ind w:left="360" w:hanging="360"/>
        <w:jc w:val="both"/>
        <w:rPr/>
      </w:pPr>
      <w:bookmarkStart w:colFirst="0" w:colLast="0" w:name="_heading=h.feyxvfa7eoyp" w:id="6"/>
      <w:bookmarkEnd w:id="6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6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Este proyecto tiene como meta principal brindar una plataforma eficiente y accesible. Entre los objetivos específicos se encuentran: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Gratuito/bajo costo: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acceso a la plataforma no tiene costo para los usuarios en su fase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Accesible: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 disponible para todo público, en cualquier dispositivo conectado a internet con acceso a la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adapta a distintos tipos de dispositivos, ya sean móviles, tablets o computadores.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Verificable: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requerimiento cuenta con pruebas automatizadas o un guion de verificación con evidencia: 44 casos automatizados, 25 unitarios y 19 de integración.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0"/>
          <w:numId w:val="1"/>
        </w:numPr>
        <w:spacing w:line="360" w:lineRule="auto"/>
        <w:ind w:left="360" w:hanging="360"/>
        <w:jc w:val="both"/>
        <w:rPr/>
      </w:pPr>
      <w:bookmarkStart w:colFirst="0" w:colLast="0" w:name="_heading=h.sl75u7tnozdt" w:id="7"/>
      <w:bookmarkEnd w:id="7"/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06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La idea de este proyecto surge por las siguientes motivaciones: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 demanda: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consumo de anime ha crecido de forma sostenida, lo que demuestra la necesidad de más plataformas especializadas.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Fomentar su acceso: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busca democratizar el acceso al anime, promoviendo una alternativa gratuita, legal y de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disperso: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títulos están repartidos entre varios servicios de suscripción, sin un punto único donde consultar qué hay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Alternativa a la oferta no autorizada: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persistencia de sitios sin autorización, pese a ofrecer una experiencia inferior en publicidad, seguridad y tratamiento de datos, evidencia una demanda que la oferta legal no está cubriendo.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1"/>
        </w:numPr>
        <w:spacing w:line="360" w:lineRule="auto"/>
        <w:ind w:left="360" w:hanging="360"/>
        <w:jc w:val="both"/>
        <w:rPr/>
      </w:pPr>
      <w:bookmarkStart w:colFirst="0" w:colLast="0" w:name="_heading=h.70qbcc4k3qx3" w:id="8"/>
      <w:bookmarkEnd w:id="8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7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Se aplica metodología ágil para gestionar y organizar el desarrollo del proyecto: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 SCRUM: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fomenta las entregas iterativas e incrementales, con los roles de Product Owner, Scrum Master y equipo de desarrollo distribuidos en 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sprints: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2 semanas cada uno, desde el Sprint 0 hasta el Sprint 8, cubriendo la planificación, la construcción, las pruebas y la documentación.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Priorización MoSCoW: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Product Backlog clasifica sus 32 elementos de trabajo en Must, Should, Could y Won’t, de modo que la sobrecarga de cronograma se absorbe en las categorías de menor prioridad.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Definición de Terminado: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criterios transversales que todo trabajo debe cumplir para considerarse completado, verificados en la revisión entre pares.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Artefactos de gestión: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Backlog priorizado, Sprint Backlog por sprint, Carta Gantt, plan de pruebas y matriz de riesgos.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0"/>
          <w:numId w:val="1"/>
        </w:numPr>
        <w:spacing w:line="360" w:lineRule="auto"/>
        <w:ind w:left="360" w:hanging="360"/>
        <w:jc w:val="both"/>
        <w:rPr/>
      </w:pPr>
      <w:bookmarkStart w:colFirst="0" w:colLast="0" w:name="_heading=h.m8drup1ga7ec" w:id="9"/>
      <w:bookmarkEnd w:id="9"/>
      <w:r w:rsidDel="00000000" w:rsidR="00000000" w:rsidRPr="00000000">
        <w:rPr>
          <w:rtl w:val="0"/>
        </w:rPr>
        <w:t xml:space="preserve">Tecnologías</w:t>
      </w:r>
    </w:p>
    <w:p w:rsidR="00000000" w:rsidDel="00000000" w:rsidP="00000000" w:rsidRDefault="00000000" w:rsidRPr="00000000" w14:paraId="0000007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desarrollo de este proyecto se sustenta en tecnologías modernas y escalables: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19 con Vite, y diseño responsivo mediante variables CSS para la interfaz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 4.1.1 sobre Java 25, con cuatro microservicios independientes: catálogo, autenticación, interacciones y gateway.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Gateway: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Cloud Gateway como único punto de entrada al sistema, encargado de enrutar y de validar los tokens en el borde.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17 con tres instancias aisladas, una por microservicio, y migraciones versionadas mediante Flyway.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tokens JWT firmados con HMAC-SHA256 y Caddy como proxy inverso con certificado TLS automático.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Contenedores: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Compose orquesta nueve contenedores; el sistema completo se levanta desde el repositorio con un solo comando.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Almacenamiento: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bucket privado de AWS S3 para los archivos multimedia, distribuidos mediante CloudFront como red de entrega de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externa: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consumo de la API de Jikan (MyAnimeList) para la sincronización automática del catálogo de anime.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Resiliencia: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Resilience4j aplica cortocircuito y límite de tiempo a cada llamada saliente, de modo que la caída de un servicio externo no propaga el fallo.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de API: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SpringDoc OpenAPI en cada microservicio, con una vista unificada publicada en el gateway.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JUnit 5 y Mockito para las pruebas unitarias, Testcontainers para las de integración contra PostgreSQL real, y JaCoCo para medir cobertura.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versiones: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y GitHub para la gestión colaborativa del código, con integración continua y escaneo de secretos antes de cada fusión.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numPr>
          <w:ilvl w:val="0"/>
          <w:numId w:val="1"/>
        </w:numPr>
        <w:spacing w:line="360" w:lineRule="auto"/>
        <w:ind w:left="360" w:hanging="360"/>
        <w:jc w:val="both"/>
        <w:rPr/>
      </w:pPr>
      <w:bookmarkStart w:colFirst="0" w:colLast="0" w:name="_heading=h.7dp2nlquxaa9" w:id="10"/>
      <w:bookmarkEnd w:id="10"/>
      <w:r w:rsidDel="00000000" w:rsidR="00000000" w:rsidRPr="00000000">
        <w:rPr>
          <w:rtl w:val="0"/>
        </w:rPr>
        <w:t xml:space="preserve">Funciones</w:t>
      </w:r>
    </w:p>
    <w:p w:rsidR="00000000" w:rsidDel="00000000" w:rsidP="00000000" w:rsidRDefault="00000000" w:rsidRPr="00000000" w14:paraId="0000008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La plataforma cuenta con las siguientes funcionalidades: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con filtros: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navegación por género, año y búsqueda por texto, accesible sin necesidad de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Reproducción de episodios: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del video desde la red de distribución de contenido, mostrando la licencia del material reproducido.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Continuar viendo: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punto de reproducción queda asociado al perfil y no al dispositivo, lo que permite retomar un episodio donde se dejó.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Sincronización del catálogo: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incorporación automática de títulos nuevos desde la API externa, sin carga 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Traducción de sinopsis: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traducción automática al español con caché persistente, de modo que solo se traduce una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de favoritos: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usuarios pueden guardar contenido para verlo más tarde.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Recomendaciones: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sugerencias calculadas por similitud de coseno sobre los géneros de los favoritos, explicables y operativas desde el primer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registro, inicio y cierre de sesión, con revocación efectiva del token de refresco.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Perfiles múltiples: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hasta cinco perfiles por cuenta, cada uno con su propio historial, favoritos y recomendaciones.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interno para la gestión del contenido y la ejecución manual de la sincronización.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numPr>
          <w:ilvl w:val="0"/>
          <w:numId w:val="1"/>
        </w:numPr>
        <w:spacing w:line="360" w:lineRule="auto"/>
        <w:ind w:left="360" w:hanging="360"/>
        <w:jc w:val="both"/>
        <w:rPr/>
      </w:pPr>
      <w:bookmarkStart w:colFirst="0" w:colLast="0" w:name="_heading=h.1tlyuoelgc9f" w:id="11"/>
      <w:bookmarkEnd w:id="11"/>
      <w:r w:rsidDel="00000000" w:rsidR="00000000" w:rsidRPr="00000000">
        <w:rPr>
          <w:rtl w:val="0"/>
        </w:rPr>
        <w:t xml:space="preserve">Cumplimiento normativo</w:t>
      </w:r>
    </w:p>
    <w:p w:rsidR="00000000" w:rsidDel="00000000" w:rsidP="00000000" w:rsidRDefault="00000000" w:rsidRPr="00000000" w14:paraId="0000009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diseño incorpora el marco legal chileno desde la arquitectura y no como una capa añadida al final: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 N° 19.628, datos personales: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consentimiento explícito y separado por finalidad, registrado de forma auditable, y derecho de eliminación de la cuenta implementado y verificado.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 N° 17.336, propiedad intelectual: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el contenido alojado cuenta con licencia documentada en el modelo de datos y visible al reproducir cada episodio.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 N° 19.496, protección al consumidor: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veraz sobre el servicio ofrecido; al no existir transacción comercial dentro del alcance, la obligación se limita a no inducir a error sobre la naturaleza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 N° 21.459, delitos informáticos: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superficie de ataque reducida a un único punto de entrada, con los microservicios y las bases de datos inalcanzables desde el exterior.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line="360" w:lineRule="auto"/>
        <w:jc w:val="both"/>
        <w:rPr/>
      </w:pPr>
      <w:bookmarkStart w:colFirst="0" w:colLast="0" w:name="_heading=h.r9kuvw35cve" w:id="12"/>
      <w:bookmarkEnd w:id="12"/>
      <w:r w:rsidDel="00000000" w:rsidR="00000000" w:rsidRPr="00000000">
        <w:rPr>
          <w:rtl w:val="0"/>
        </w:rPr>
        <w:t xml:space="preserve">Mapa mental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0" distT="0" distL="0" distR="0">
            <wp:extent cx="5597525" cy="4568040"/>
            <wp:effectExtent b="0" l="0" r="0" t="0"/>
            <wp:docPr id="203938710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4568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-591183</wp:posOffset>
          </wp:positionH>
          <wp:positionV relativeFrom="paragraph">
            <wp:posOffset>-183513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2039387108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-504495</wp:posOffset>
          </wp:positionH>
          <wp:positionV relativeFrom="paragraph">
            <wp:posOffset>-147953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2039387107" name="image1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Calibri" w:cs="Calibri" w:eastAsia="Calibri" w:hAnsi="Calibri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D40378"/>
    <w:rPr>
      <w:rFonts w:ascii="Calibri" w:hAnsi="Calibri" w:cstheme="majorBidi" w:eastAsiaTheme="majorEastAsia"/>
      <w:b w:val="1"/>
      <w:bCs w:val="1"/>
      <w:color w:val="000000" w:themeColor="text1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D542EB"/>
    <w:rPr>
      <w:rFonts w:ascii="Calibri" w:hAnsi="Calibri" w:cstheme="majorBidi" w:eastAsiaTheme="majorEastAsia"/>
      <w:b w:val="1"/>
      <w:bCs w:val="1"/>
      <w:color w:val="000000" w:themeColor="tex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uiPriority w:val="9"/>
    <w:rsid w:val="005F03B7"/>
    <w:rPr>
      <w:rFonts w:cs="Times New Roman" w:eastAsia="Times New Roman" w:asciiTheme="minorHAnsi" w:hAnsiTheme="minorHAnsi"/>
      <w:sz w:val="24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E3FDB"/>
    <w:rPr>
      <w:color w:val="605e5c"/>
      <w:shd w:color="auto" w:fill="e1dfdd" w:val="clear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130BE"/>
    <w:pPr>
      <w:spacing w:after="100" w:line="259" w:lineRule="auto"/>
      <w:ind w:left="440"/>
    </w:pPr>
    <w:rPr>
      <w:rFonts w:cs="Times New Roman" w:eastAsiaTheme="minorEastAsia"/>
    </w:rPr>
  </w:style>
  <w:style w:type="character" w:styleId="Textoennegrita">
    <w:name w:val="Strong"/>
    <w:basedOn w:val="Fuentedeprrafopredeter"/>
    <w:uiPriority w:val="22"/>
    <w:qFormat w:val="1"/>
    <w:rsid w:val="006E0E02"/>
    <w:rPr>
      <w:b w:val="1"/>
      <w:bCs w:val="1"/>
    </w:rPr>
  </w:style>
  <w:style w:type="paragraph" w:styleId="personalizado1" w:customStyle="1">
    <w:name w:val="personalizado 1"/>
    <w:basedOn w:val="Ttulo"/>
    <w:link w:val="personalizado1Car"/>
    <w:autoRedefine w:val="1"/>
    <w:rsid w:val="001D5E0C"/>
    <w:pPr>
      <w:jc w:val="both"/>
    </w:pPr>
    <w:rPr>
      <w:rFonts w:ascii="Calibri" w:hAnsi="Calibri" w:cstheme="minorHAnsi"/>
      <w:sz w:val="28"/>
    </w:rPr>
  </w:style>
  <w:style w:type="character" w:styleId="personalizado1Car" w:customStyle="1">
    <w:name w:val="personalizado 1 Car"/>
    <w:basedOn w:val="TtuloCar"/>
    <w:link w:val="personalizado1"/>
    <w:rsid w:val="001D5E0C"/>
    <w:rPr>
      <w:rFonts w:ascii="Calibri" w:eastAsia="Times New Roman" w:hAnsi="Calibri" w:cstheme="minorHAnsi"/>
      <w:b w:val="1"/>
      <w:bCs w:val="1"/>
      <w:sz w:val="28"/>
      <w:szCs w:val="36"/>
      <w:lang w:eastAsia="es-ES" w:val="es-ES"/>
    </w:rPr>
  </w:style>
  <w:style w:type="paragraph" w:styleId="subpersonalizado" w:customStyle="1">
    <w:name w:val="subpersonalizado"/>
    <w:basedOn w:val="personalizado1"/>
    <w:link w:val="subpersonalizadoCar"/>
    <w:rsid w:val="00971E31"/>
    <w:pPr>
      <w:ind w:left="708"/>
    </w:pPr>
    <w:rPr>
      <w:sz w:val="26"/>
    </w:rPr>
  </w:style>
  <w:style w:type="character" w:styleId="subpersonalizadoCar" w:customStyle="1">
    <w:name w:val="subpersonalizado Car"/>
    <w:basedOn w:val="personalizado1Car"/>
    <w:link w:val="subpersonalizado"/>
    <w:rsid w:val="00971E31"/>
    <w:rPr>
      <w:rFonts w:ascii="Calibri" w:eastAsia="Times New Roman" w:hAnsi="Calibri" w:cstheme="minorHAnsi"/>
      <w:b w:val="1"/>
      <w:bCs w:val="1"/>
      <w:sz w:val="26"/>
      <w:szCs w:val="36"/>
      <w:lang w:eastAsia="es-ES" w:val="es-ES"/>
    </w:rPr>
  </w:style>
  <w:style w:type="paragraph" w:styleId="Bibliografa">
    <w:name w:val="Bibliography"/>
    <w:basedOn w:val="Normal"/>
    <w:next w:val="Normal"/>
    <w:uiPriority w:val="37"/>
    <w:unhideWhenUsed w:val="1"/>
    <w:rsid w:val="00163CD0"/>
  </w:style>
  <w:style w:type="paragraph" w:styleId="Titulo3" w:customStyle="1">
    <w:name w:val="Titulo 3"/>
    <w:basedOn w:val="Ttulo2"/>
    <w:link w:val="Titulo3Car"/>
    <w:qFormat w:val="1"/>
    <w:rsid w:val="009E6CF8"/>
    <w:rPr>
      <w:sz w:val="24"/>
    </w:rPr>
  </w:style>
  <w:style w:type="character" w:styleId="Titulo3Car" w:customStyle="1">
    <w:name w:val="Titulo 3 Car"/>
    <w:basedOn w:val="Ttulo2Car"/>
    <w:link w:val="Titulo3"/>
    <w:rsid w:val="009E6CF8"/>
    <w:rPr>
      <w:rFonts w:ascii="Calibri" w:hAnsi="Calibri" w:cstheme="majorBidi" w:eastAsiaTheme="majorEastAsia"/>
      <w:b w:val="1"/>
      <w:bCs w:val="1"/>
      <w:color w:val="000000" w:themeColor="text1"/>
      <w:sz w:val="24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lBcv70gnnFyPOffFxKxNdZx67g==">CgMxLjAyDmguMml4NXA2ZnR6ZDdvMg1oLmxuZjJnajNiNHp5Mg5oLjV5aWNwcHhucXdzbDIOaC4zZnlmYm00MmoyZjEyDmgub290ZTN6aXlpYTQzMg5oLm14czY5Ym1odmMzMTIOaC5mZXl4dmZhN2VveXAyDmguc2w3NXU3dG5vemR0Mg5oLjcwcWJjYzRrM3F4MzIOaC5tOGRydXAxZ2E3ZWMyDmguN2RwMm5scXV4YWE5Mg5oLjF0bHl1b2VsZ2M5ZjINaC5yOWt1dnczNWN2ZTgAciExc1FaSHIxN0JDaUJEd3dpYlJpR2Q2OEVPSjZBSUV4Vl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