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Project Vision + 4 Pillars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“Streaming Website - SugoiAnime”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Contents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Revision History (p. 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Introduction (p. 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1. Project Vision (p. 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2. Pillar 1: Accessibility (p. 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3. Pillar 2: Usability (p. 3)</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4. Pillar 3: Scalability (p. 4)</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5. Pillar 4: Security (p. 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Conclusion (p. 4)</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Revision History</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Version</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Date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Description / Change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Author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03/31/2025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Report creation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06/30/2025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Review and adjustments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2.0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08/13/2026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Pillars updated with actual implementation and verification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SugoiAnime Team</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Project Information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Organization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Duoc UC. School of Informatics and Telecommunications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003V</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Project 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Streaming Website - 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Start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08/13/26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End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12/16/26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Main Sponsor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Instructor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Antonio Valenzuela Contreras</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Members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RUT / 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Name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Email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18-190.367-8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nat.benitez@duocuc.cl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17.251.253-4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Hernández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marc.hernandeza@duocuc.cl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17.668.384-8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el.alegria@duocuc.cl</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Introduction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Anime consumption has grown steadily over the past decade, becoming one of the most popular genres in digital entertainment. However, on generalist platforms, anime remains a secondary category: its metadata is often incomplete, and recommendation engines are trained on catalogs dominated by Western film and television.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SugoiAnime emerged from this context as a platform designed to provide accessible and secure access to a specialized anime catalog. This document presents the project vision and the four pillars that sustain it. Unlike its previous version, it no longer describes mere intent: the system has been built and deployed, so each pillar is presented alongside what was effectively implemented and how it can be verified.</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Project Vision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Our vision is to become a benchmark platform for anime fans across Chile and Latin America, offering an intuitive user experience and access to high-quality content without compromising accessibility. We seek to provide a sustainable alternative to two unsatisfactory choices: generalist streaming services, where anime is treated as a secondary tier, and unauthorized websites, which solve availability at the cost of intrusive advertising, malware risks, and an absence of personal data safeguards. The project delivers this alternative as a Minimum Viable Product (MVP) built on a microservices architecture, featuring low operating costs and full compliance with the Chilean legal framework.</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Pillar 1: Accessibility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before="0" w:lineRule="auto"/>
        <w:ind w:left="0" w:right="0" w:firstLine="0"/>
        <w:rPr/>
      </w:pPr>
      <w:r w:rsidDel="00000000" w:rsidR="00000000" w:rsidRPr="00000000">
        <w:rPr>
          <w:rtl w:val="0"/>
        </w:rPr>
        <w:t xml:space="preserve">The platform is free of charge during this phase, requiring no paid membership. Accessibility was tackled on three distinct fronts: economic, technical, and linguistic.</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rtl w:val="0"/>
        </w:rPr>
        <w:t xml:space="preserve">No Registration Barrier:</w:t>
      </w:r>
      <w:r w:rsidDel="00000000" w:rsidR="00000000" w:rsidRPr="00000000">
        <w:rPr>
          <w:rtl w:val="0"/>
        </w:rPr>
        <w:t xml:space="preserve"> The entire catalog can be browsed without creating an account; registration is only required to play media and interact (FR-01).</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Zero Cost:</w:t>
      </w:r>
      <w:r w:rsidDel="00000000" w:rsidR="00000000" w:rsidRPr="00000000">
        <w:rPr>
          <w:rtl w:val="0"/>
        </w:rPr>
        <w:t xml:space="preserve"> The payment gateway and subscriptions were left out of this stage's scope, along with the optional epic that contained them.</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Content in Spanish:</w:t>
      </w:r>
      <w:r w:rsidDel="00000000" w:rsidR="00000000" w:rsidRPr="00000000">
        <w:rPr>
          <w:rtl w:val="0"/>
        </w:rPr>
        <w:t xml:space="preserve"> Synopses are translated automatically with persistent caching, ensuring each synopsis is translated only once (FR-05).</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Access from Any Device:</w:t>
      </w:r>
      <w:r w:rsidDel="00000000" w:rsidR="00000000" w:rsidRPr="00000000">
        <w:rPr>
          <w:rtl w:val="0"/>
        </w:rPr>
        <w:t xml:space="preserve"> Responsive interface verified across mobile, tablet, and desktop viewport widths (NFR-03).</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Low Regional Latency:</w:t>
      </w:r>
      <w:r w:rsidDel="00000000" w:rsidR="00000000" w:rsidRPr="00000000">
        <w:rPr>
          <w:rtl w:val="0"/>
        </w:rPr>
        <w:t xml:space="preserve"> Multimedia content is served directly from a Content Delivery Network (CloudFront) rather than the application server (NFR-07).</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b w:val="1"/>
          <w:bCs w:val="1"/>
          <w:rtl w:val="0"/>
        </w:rPr>
        <w:t xml:space="preserve">Minimal Operating Cost:</w:t>
      </w:r>
      <w:r w:rsidDel="00000000" w:rsidR="00000000" w:rsidRPr="00000000">
        <w:rPr>
          <w:rtl w:val="0"/>
        </w:rPr>
        <w:t xml:space="preserve"> Storage and distribution remain within the provider's free tiers, with an estimated monthly operating cost under one US dollar.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Pillar 2: Usability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before="0" w:lineRule="auto"/>
        <w:ind w:left="0" w:right="0" w:firstLine="0"/>
        <w:rPr/>
      </w:pPr>
      <w:r w:rsidDel="00000000" w:rsidR="00000000" w:rsidRPr="00000000">
        <w:rPr>
          <w:rtl w:val="0"/>
        </w:rPr>
        <w:t xml:space="preserve">The website was built with a sharp focus on user experience: a modern, intuitive interface providing seamless navigation that preserves user context across sessions and devices.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rtl w:val="0"/>
        </w:rPr>
        <w:t xml:space="preserve">Single-Page Application:</w:t>
      </w:r>
      <w:r w:rsidDel="00000000" w:rsidR="00000000" w:rsidRPr="00000000">
        <w:rPr>
          <w:rtl w:val="0"/>
        </w:rPr>
        <w:t xml:space="preserve"> User interface developed in React with Vite, featuring responsive styling via CSS variables (NFR-03).</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True Continuity:</w:t>
      </w:r>
      <w:r w:rsidDel="00000000" w:rsidR="00000000" w:rsidRPr="00000000">
        <w:rPr>
          <w:rtl w:val="0"/>
        </w:rPr>
        <w:t xml:space="preserve"> Playback timestamps are tied to the user profile rather than the device, allowing users to resume episodes right where they left off even across different screens (FR-03).</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Independent Profiles:</w:t>
      </w:r>
      <w:r w:rsidDel="00000000" w:rsidR="00000000" w:rsidRPr="00000000">
        <w:rPr>
          <w:rtl w:val="0"/>
        </w:rPr>
        <w:t xml:space="preserve"> Up to five profiles per account, each maintaining its own history, favorites, and recommendations (FR-09).</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Explainable Recommendations:</w:t>
      </w:r>
      <w:r w:rsidDel="00000000" w:rsidR="00000000" w:rsidRPr="00000000">
        <w:rPr>
          <w:rtl w:val="0"/>
        </w:rPr>
        <w:t xml:space="preserve"> Calculated using cosine similarity across favorite genres, accompanied by the matching genres that justify them, and operational starting from the very first favorited title (FR-07).</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b w:val="1"/>
          <w:bCs w:val="1"/>
          <w:rtl w:val="0"/>
        </w:rPr>
        <w:t xml:space="preserve">Graceful Degradation:</w:t>
      </w:r>
      <w:r w:rsidDel="00000000" w:rsidR="00000000" w:rsidRPr="00000000">
        <w:rPr>
          <w:rtl w:val="0"/>
        </w:rPr>
        <w:t xml:space="preserve"> If an internal service becomes unavailable, the interface displays a partial response rather than crashing, preventing a single failure from cascading across the entire application.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before="60" w:lineRule="auto"/>
        <w:ind w:left="0" w:right="0" w:firstLine="0"/>
        <w:rPr/>
      </w:pPr>
      <w:r w:rsidDel="00000000" w:rsidR="00000000" w:rsidRPr="00000000">
        <w:rPr>
          <w:rtl w:val="0"/>
        </w:rPr>
        <w:t xml:space="preserve">This pillar was verified through fourteen acceptance test cases executed against the live deployment. A recognized technical debt should be noted: the frontend currently lacks automated component testing, meaning visual regressions can only be detected by re-running the manual verification script.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Pillar 3: Scalability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0" w:lineRule="auto"/>
        <w:ind w:left="0" w:right="0" w:firstLine="0"/>
        <w:rPr/>
      </w:pPr>
      <w:r w:rsidDel="00000000" w:rsidR="00000000" w:rsidRPr="00000000">
        <w:rPr>
          <w:rtl w:val="0"/>
        </w:rPr>
        <w:t xml:space="preserve">The project implements an architecture engineered for growth: the system is divided into decoupled services, heavy media content is offloaded to cloud storage, and expensive computations are cached.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rtl w:val="0"/>
        </w:rPr>
        <w:t xml:space="preserve">Independent Microservices:</w:t>
      </w:r>
      <w:r w:rsidDel="00000000" w:rsidR="00000000" w:rsidRPr="00000000">
        <w:rPr>
          <w:rtl w:val="0"/>
        </w:rPr>
        <w:t xml:space="preserve"> Four decoupled processes, each with its own deployment lifecycle and container image versioning: catalog, authentication, interactions, and gateway (NFR-01).</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One Database per Service:</w:t>
      </w:r>
      <w:r w:rsidDel="00000000" w:rsidR="00000000" w:rsidRPr="00000000">
        <w:rPr>
          <w:rtl w:val="0"/>
        </w:rPr>
        <w:t xml:space="preserve"> Three isolated PostgreSQL instances without cross-domain queries, allowing each database to scale or migrate independently (NFR-02).</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Single Entry Point:</w:t>
      </w:r>
      <w:r w:rsidDel="00000000" w:rsidR="00000000" w:rsidRPr="00000000">
        <w:rPr>
          <w:rtl w:val="0"/>
        </w:rPr>
        <w:t xml:space="preserve"> The API Gateway centralizes routing, enabling additional backend instances to be added behind it without altering the client (NFR-04).</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Cloud Storage:</w:t>
      </w:r>
      <w:r w:rsidDel="00000000" w:rsidR="00000000" w:rsidRPr="00000000">
        <w:rPr>
          <w:rtl w:val="0"/>
        </w:rPr>
        <w:t xml:space="preserve"> Media files reside in a private bucket and are distributed via CDN, bypassing application server compute entirely (NFR-07).</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Caching Optimization:</w:t>
      </w:r>
      <w:r w:rsidDel="00000000" w:rsidR="00000000" w:rsidRPr="00000000">
        <w:rPr>
          <w:rtl w:val="0"/>
        </w:rPr>
        <w:t xml:space="preserve"> Translated synopses are persisted, and recommendations are precomputed via a scheduled background process rather than recalculating on every request.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b w:val="1"/>
          <w:bCs w:val="1"/>
          <w:rtl w:val="0"/>
        </w:rPr>
        <w:t xml:space="preserve">Reproducible Deployment:</w:t>
      </w:r>
      <w:r w:rsidDel="00000000" w:rsidR="00000000" w:rsidRPr="00000000">
        <w:rPr>
          <w:rtl w:val="0"/>
        </w:rPr>
        <w:t xml:space="preserve"> Nine orchestrated containers; the entire system can be spun up from the repository with a single command (NFR-06).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before="60" w:lineRule="auto"/>
        <w:ind w:left="0" w:right="0" w:firstLine="0"/>
        <w:rPr/>
      </w:pPr>
      <w:r w:rsidDel="00000000" w:rsidR="00000000" w:rsidRPr="00000000">
        <w:rPr>
          <w:rtl w:val="0"/>
        </w:rPr>
        <w:t xml:space="preserve">It is important to clarify the boundary of this pillar to avoid overestimation: while the architecture enables horizontal scaling, the current deployment runs on a single node using Docker Compose, without a load balancer or auto-scaling groups. That capability was explicitly declared out of scope for this phase, rather than an overlooked omission.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Pillar 4: Security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0" w:before="0" w:lineRule="auto"/>
        <w:ind w:left="0" w:right="0" w:firstLine="0"/>
        <w:rPr/>
      </w:pPr>
      <w:r w:rsidDel="00000000" w:rsidR="00000000" w:rsidRPr="00000000">
        <w:rPr>
          <w:rtl w:val="0"/>
        </w:rPr>
        <w:t xml:space="preserve">User data protection is prioritized through robust authentication, sensitive data safeguards, and attack surface reduction.</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rtl w:val="0"/>
        </w:rPr>
        <w:t xml:space="preserve">Stateless Authentication:</w:t>
      </w:r>
      <w:r w:rsidDel="00000000" w:rsidR="00000000" w:rsidRPr="00000000">
        <w:rPr>
          <w:rtl w:val="0"/>
        </w:rPr>
        <w:t xml:space="preserve"> HMAC-SHA256 signed JWT tokens, featuring short-lived access tokens and database-revocable refresh tokens for effective session invalidation (NFR-05).</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Protected Passwords:</w:t>
      </w:r>
      <w:r w:rsidDel="00000000" w:rsidR="00000000" w:rsidRPr="00000000">
        <w:rPr>
          <w:rtl w:val="0"/>
        </w:rPr>
        <w:t xml:space="preserve"> Passwords are never stored in plaintext; additionally, login error responses are identical for non-existent emails and incorrect passwords, preventing account enumeration attacks.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Edge Validation:</w:t>
      </w:r>
      <w:r w:rsidDel="00000000" w:rsidR="00000000" w:rsidRPr="00000000">
        <w:rPr>
          <w:rtl w:val="0"/>
        </w:rPr>
        <w:t xml:space="preserve"> The gateway validates token signatures, issuers, and expiration timestamps before routing traffic to microservices; tampered tokens are rejected immediately at the edge.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Minimal Attack Surface:</w:t>
      </w:r>
      <w:r w:rsidDel="00000000" w:rsidR="00000000" w:rsidRPr="00000000">
        <w:rPr>
          <w:rtl w:val="0"/>
        </w:rPr>
        <w:t xml:space="preserve"> Only ports 80 and 443 are exposed to the public internet; microservices and all three databases are completely unreachable externally (Law No. 21,459).</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Encrypted Traffic:</w:t>
      </w:r>
      <w:r w:rsidDel="00000000" w:rsidR="00000000" w:rsidRPr="00000000">
        <w:rPr>
          <w:rtl w:val="0"/>
        </w:rPr>
        <w:t xml:space="preserve"> A reverse proxy handles TLS certificates automatically, ensuring all traffic between clients and the server is fully encrypted.</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rtl w:val="0"/>
        </w:rPr>
        <w:t xml:space="preserve">Secret Management:</w:t>
      </w:r>
      <w:r w:rsidDel="00000000" w:rsidR="00000000" w:rsidRPr="00000000">
        <w:rPr>
          <w:rtl w:val="0"/>
        </w:rPr>
        <w:t xml:space="preserve"> Credentials reside outside the repository, and the continuous integration pipeline runs automated secret scans that block merges upon secret detection.</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b w:val="1"/>
          <w:bCs w:val="1"/>
          <w:rtl w:val="0"/>
        </w:rPr>
        <w:t xml:space="preserve">Personal Data:</w:t>
      </w:r>
      <w:r w:rsidDel="00000000" w:rsidR="00000000" w:rsidRPr="00000000">
        <w:rPr>
          <w:rtl w:val="0"/>
        </w:rPr>
        <w:t xml:space="preserve"> Explicit, purpose-segregated consent recorded in an auditable manner, alongside a fully implemented account deletion mechanism (Law No. 19,628).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before="60" w:lineRule="auto"/>
        <w:ind w:left="0" w:right="0" w:firstLine="0"/>
        <w:rPr/>
      </w:pPr>
      <w:r w:rsidDel="00000000" w:rsidR="00000000" w:rsidRPr="00000000">
        <w:rPr>
          <w:rtl w:val="0"/>
        </w:rPr>
        <w:t xml:space="preserve">Verification of this pillar goes beyond a formal claim: it includes an external port scan executed from outside the host and a verification test using a tampered JWT token signature, both documented with evidence in the test plan.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This project has transitioned from a proposal into a fully operational system: the four pillars—accessibility, usability, scalability, and security—do not describe mere intentions, but implemented and verifiable engineering decisions, each traceable to a specific requirement and test case. Accessibility was achieved without registration barriers and with minimal operating overhead; usability, by preserving user context seamlessly across devices; scalability, through decoupled microservices and isolated data stores; and security, by shrinking the attack surface to a single entry point. Recognized boundaries remain explicitly documented, such as the absence of load balancing and automated frontend component testing, which are acknowledged as deliberate scoping decisions rather than hidden defects. On this solid foundation, the project delivers tangible value to end users while serving as an integral milestone in our professional development as software engineers.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color w:val="4a5568"/>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0" w:before="0" w:lineRule="auto"/>
      <w:ind w:left="0" w:right="0" w:firstLine="0"/>
      <w:jc w:val="center"/>
      <w:rPr/>
    </w:pPr>
    <w:r w:rsidDel="00000000" w:rsidR="00000000" w:rsidRPr="00000000">
      <w:rPr>
        <w:b w:val="1"/>
        <w:bCs w:val="1"/>
        <w:color w:val="4a5568"/>
        <w:rtl w:val="0"/>
      </w:rPr>
      <w:t xml:space="preserve">DUOC UC - SCHOOL OF INFORMATICS AND TELECOMMUNICATIONS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1758950" cy="336550"/>
          <wp:effectExtent b="0" l="0" r="0" t="0"/>
          <wp:wrapSquare wrapText="bothSides" distB="0" distT="0" distL="114300" distR="114300"/>
          <wp:docPr descr="C:\Users\azambranob\AppData\Local\Microsoft\Windows\INetCache\Content.MSO\66EF0837.tmp" id="1"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color w:val="1a365d"/>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