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eading=h.2ix5p6ftzd7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Sprint planning –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Sitio web de streaming –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SugoiAnime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nf2gj3b4z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id w:val="2718296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mv62myb2a0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yfbm42j2f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Sprint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e54cipmwpu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z6flnrtpb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Sprint planning: Sprint 4 -  Automatización 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1xsrxvqgg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Historias de usuario seleccionadas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et2ko8hn0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Detalle de tareas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497d9i21r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Riesgos de Sprint y mitigación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qmv62myb2a0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3"/>
        <w:gridCol w:w="3038"/>
        <w:gridCol w:w="2200"/>
        <w:tblGridChange w:id="0">
          <w:tblGrid>
            <w:gridCol w:w="1787"/>
            <w:gridCol w:w="1803"/>
            <w:gridCol w:w="3038"/>
            <w:gridCol w:w="2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color w:val="00000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Creación de informe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Esfuerzo y HH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color w:val="00000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Revisión y ajustes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3fyfbm42j2f1" w:id="3"/>
      <w:bookmarkEnd w:id="3"/>
      <w:r w:rsidDel="00000000" w:rsidR="00000000" w:rsidRPr="00000000">
        <w:rPr>
          <w:rtl w:val="0"/>
        </w:rPr>
        <w:t xml:space="preserve">Información del Sprint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Sitio web de Streaming - 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16/12/26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Marco Antonio Valenzuela Contreras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ne54cipmwpur" w:id="4"/>
      <w:bookmarkEnd w:id="4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18-190.367-8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Natalia Benítez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nat.benitez@duocuc.cl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17.251.253-4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marc.hernandeza@duocuc.cl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17.668.384-8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Elizabeth Alegría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el.alegria@duocuc.cl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2"/>
        </w:numPr>
        <w:ind w:left="360" w:hanging="360"/>
        <w:rPr/>
      </w:pPr>
      <w:bookmarkStart w:colFirst="0" w:colLast="0" w:name="_heading=h.az6flnrtpbp7" w:id="5"/>
      <w:bookmarkEnd w:id="5"/>
      <w:r w:rsidDel="00000000" w:rsidR="00000000" w:rsidRPr="00000000">
        <w:rPr>
          <w:rtl w:val="0"/>
        </w:rPr>
        <w:t xml:space="preserve">Sprint planning: Sprint 4 -  Automatización de datos externos</w:t>
      </w:r>
    </w:p>
    <w:p w:rsidR="00000000" w:rsidDel="00000000" w:rsidP="00000000" w:rsidRDefault="00000000" w:rsidRPr="00000000" w14:paraId="0000006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Este sprint tiene como objetivo automatizar la ingesta y enriquecimiento de metadatos del catálogo. El sistema se conectará de forma autónoma y programada a la API pública de Jikan para poblar la base de datos con nuevos animes, y consumirá una API de traducción externa para convertir automáticamente las sinopsis al español, eliminando la necesidad de ingreso manual de datos.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En este sprint se desarrollara: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Clientes HTTP en el Backend para consumir APIs externas (Jikan y API de Traducción).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Lógica de mapeo de DTOs complejos e inserción/actualización (Upsert) en PostgreSQL.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Implementación de tareas programadas (@Scheduled / CRON) y mecanismos de resiliencia (Rate Limiting).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Desarrollo de un Panel de Administración (Frontend) para monitorear y forzar la ingesta.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este sprint NO se desarrollarán: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Modelos de Machine Learning para recomendaciones (Corresponde al Sprint 5).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Autenticación formal de usuarios o roles de seguridad con JWT (Corresponde al Sprint 6).</w:t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2"/>
        </w:numPr>
        <w:ind w:left="360" w:hanging="360"/>
        <w:rPr/>
      </w:pPr>
      <w:bookmarkStart w:colFirst="0" w:colLast="0" w:name="_heading=h.z1xsrxvqggl4" w:id="6"/>
      <w:bookmarkEnd w:id="6"/>
      <w:r w:rsidDel="00000000" w:rsidR="00000000" w:rsidRPr="00000000">
        <w:rPr>
          <w:rtl w:val="0"/>
        </w:rPr>
        <w:t xml:space="preserve">Historias de usuario seleccionadas</w:t>
      </w:r>
    </w:p>
    <w:tbl>
      <w:tblPr>
        <w:tblStyle w:val="Table4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1350"/>
        <w:gridCol w:w="1740"/>
        <w:gridCol w:w="900"/>
        <w:gridCol w:w="810"/>
        <w:gridCol w:w="3210"/>
        <w:tblGridChange w:id="0">
          <w:tblGrid>
            <w:gridCol w:w="810"/>
            <w:gridCol w:w="1350"/>
            <w:gridCol w:w="1740"/>
            <w:gridCol w:w="900"/>
            <w:gridCol w:w="810"/>
            <w:gridCol w:w="3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Alias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(HU)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Esfuerzo 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EP04-HU06.1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mapeo e ingesta jinkan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sistema automatizado (backend), quiero conectarme a los endpoints de la API pública de Jinkan y mapear su estructura JSON, para insertar o actualizar automáticamente los registros de animes en la base de datos de SugoiAnime, eliminando el ingreso manual de datos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Conexión Exitosa: El microservicio debe contar con un cliente HTTP capaz de realizar peticiones GET a la API de Jikan.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Mapeo de DTOs: La respuesta JSON de Jikan debe mapearse correctamente a las entidades Java locales.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Lógica Upsert: Verificar en PostgreSQL si el anime ya existe. Si no existe, ejecutar INSERT. Si existe, ejecutar UPDATE solo si hay cambios.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Manejo de Nulos: Si Jikan devuelve campos vacíos, el sistema no debe fallar (usar valores por defecto).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EP04-HU06.2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Panel admin y job CRON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 de la plataforma, quiero que la ingesta de animes se ejecute de forma programada en segundo plano y disponer de un panel web para forzarla, para asegurar que el catalogo este siempre actualizado y tener el control de contingencia se el proceso automático falla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Automatización (CRON): La ejecución debe estar programada utilizando @Scheduled con una expresión válida.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Resiliencia: Incorporar un patrón Rate Limiter (ej. Resilience4j) para no exceder el límite de peticiones de Jikan (evitar HTTP 429).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Endpoint de Control: Existencia de POST /api/v1/admin/sync.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Interfaz Admin: Vista en React con indicador de "Última sincronización", botón "Forzar Sincronización" y estados de 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EP04-HU07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Traducción español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leer las sinopsis en español traducidas automáticamente consumiendo una API externa.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Integración de API Traductora: Backend configurado para consumir API de traducción (ej. LibreTranslate/DeepL).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Traducción en Tiempo de Ingesta: La traducción ocurre durante el proceso de ingesta de Jikan y se guarda en PostgreSQL (no "al vuelo" en el frontend).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Fallback (Resiliencia): Si la API de traducción falla (HTTP 500/429), guardar la sinopsis original en inglés sin abortar el proceso.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Validación Frontend: La UI debe renderizar textos con caracteres especiales/tildes correctamente.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EP00-HT04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Ceremonias scrum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Como Scrum Master, quiero documentar las ceremonias de los diferentes Sprints ciclo para la trazabilidad académica. 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Actualizar backlog priorizado.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Completar documentación correspondiente al Sprint 4 (Planning, Dailies, Review, Retrospectiva).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numPr>
          <w:ilvl w:val="0"/>
          <w:numId w:val="2"/>
        </w:numPr>
        <w:ind w:left="360" w:hanging="360"/>
        <w:rPr/>
      </w:pPr>
      <w:bookmarkStart w:colFirst="0" w:colLast="0" w:name="_heading=h.aet2ko8hn0jo" w:id="7"/>
      <w:bookmarkEnd w:id="7"/>
      <w:r w:rsidDel="00000000" w:rsidR="00000000" w:rsidRPr="00000000">
        <w:rPr>
          <w:rtl w:val="0"/>
        </w:rPr>
        <w:t xml:space="preserve">Detalle de tareas</w:t>
      </w:r>
    </w:p>
    <w:p w:rsidR="00000000" w:rsidDel="00000000" w:rsidP="00000000" w:rsidRDefault="00000000" w:rsidRPr="00000000" w14:paraId="0000009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EP04-HU06.1: Mapeo e ingesta Jikan API (5 puntos)</w:t>
      </w:r>
    </w:p>
    <w:tbl>
      <w:tblPr>
        <w:tblStyle w:val="Table5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1830"/>
        <w:gridCol w:w="1185"/>
        <w:gridCol w:w="1305"/>
        <w:tblGridChange w:id="0">
          <w:tblGrid>
            <w:gridCol w:w="4500"/>
            <w:gridCol w:w="1830"/>
            <w:gridCol w:w="1185"/>
            <w:gridCol w:w="1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Tarea 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Responsable 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PSA-301 Desarrollar el proceso de inserción o actualización automática de animes desde Jikan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Hernández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 hr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PSA-302 Crear pruebas para el mapeo y la sincronización con Jikan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Elizabeth Alegría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1,5 hrs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PSA-303 Definir el mapeo de la respuesta JSON de Jikan hacia el modelo de anime de SugoiAnime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Hernández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 hr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PSA-305 Implementar cliente backend para consumir los endpoints públicos de Jikan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Hernández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 hr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PSA-304 Agregar validaciones y manejo de errores para la ingesta desde Jikan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Elizabeth Alegría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1,5 hrs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Horas totales:  10hrs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EP04-HU06.2: Panel admin y job CRON (3 puntos)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80"/>
        <w:gridCol w:w="1676"/>
        <w:gridCol w:w="1660"/>
        <w:gridCol w:w="1312"/>
        <w:tblGridChange w:id="0">
          <w:tblGrid>
            <w:gridCol w:w="4180"/>
            <w:gridCol w:w="1676"/>
            <w:gridCol w:w="1660"/>
            <w:gridCol w:w="1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Tarea 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Responsable 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PSA-306 Registrar logs y errores de la ejecución de la ingesta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Absorbida por PSA-308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Fusionado</w:t>
            </w:r>
          </w:p>
        </w:tc>
      </w:tr>
      <w:tr>
        <w:trPr>
          <w:cantSplit w:val="0"/>
          <w:trHeight w:val="552.10937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PSA-307 Exponer una acción para forzar la ingesta manualmente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Hernández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PSA-308 Implementar el job CRON de ingesta automática de animes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Elizabeth Alegría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PSA-309 Mostrar estado, última ejecución y resultado del job en el panel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Natalia Benítez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PSA-310 Desarrollar el panel web de administración para controlar la ingesta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Natalia Benítez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1,5 hrs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PSA-311 Configurar reintentos y manejo de fallos del proceso programado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Elizabeth Alegría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1,5 hrs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PSA-312 Crear pruebas del job CRON y del disparo manual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Absorbida por PSA-311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Fusionado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PSA-313 Definir permisos de acceso al panel y a la ejecución manual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Absorbida por PSA-307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Fusionado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Horas totales:  6 hrs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(Nota: Las tareas PSA-306, PSA-312 y PSA-313 se integraron en el esfuerzo de pruebas/QA general para no exceder las 6 horas acordadas por los 3 Puntos de Historia).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EP04-HU07: traduccion español (5 puntos)</w:t>
      </w:r>
    </w:p>
    <w:tbl>
      <w:tblPr>
        <w:tblStyle w:val="Table7"/>
        <w:tblW w:w="8855.0" w:type="dxa"/>
        <w:jc w:val="left"/>
        <w:tblInd w:w="-19.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5"/>
        <w:gridCol w:w="1680"/>
        <w:gridCol w:w="1665"/>
        <w:gridCol w:w="1305"/>
        <w:tblGridChange w:id="0">
          <w:tblGrid>
            <w:gridCol w:w="4205"/>
            <w:gridCol w:w="1680"/>
            <w:gridCol w:w="1665"/>
            <w:gridCol w:w="1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Tarea 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Responsable 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PSA-90 Implementar integración con la API externa de traducción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Hernández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 hr 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PSA-91 Diseñar el flujo de traducción dinámica de sinopsis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Hernández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 hr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PSA-92 Persistir y reutilizar sinopsis traducidas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Marco Hernández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1,5 hrs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PSA-94 Crear pruebas para la traducción automática de sinopsis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Natalia Benítez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2,5 hrs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PSA-93 Manejar errores y fallback de traducción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Elizabeth Alegría 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Horas totales:  10 hrs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EP00- HT04: Ceremonias Scrum (2 puntos)</w:t>
      </w:r>
    </w:p>
    <w:tbl>
      <w:tblPr>
        <w:tblStyle w:val="Table8"/>
        <w:tblW w:w="8855.0" w:type="dxa"/>
        <w:jc w:val="left"/>
        <w:tblInd w:w="-19.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5"/>
        <w:gridCol w:w="1680"/>
        <w:gridCol w:w="1665"/>
        <w:gridCol w:w="1305"/>
        <w:tblGridChange w:id="0">
          <w:tblGrid>
            <w:gridCol w:w="4205"/>
            <w:gridCol w:w="1680"/>
            <w:gridCol w:w="1665"/>
            <w:gridCol w:w="1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Tarea 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Responsable 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Horas estimadas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PSA-206 Documentación de Ceremonias y artefactos Scrum (S4) 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Natalia B./ Elizabeth A.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Horas totales: 4 hrs</w:t>
      </w:r>
    </w:p>
    <w:p w:rsidR="00000000" w:rsidDel="00000000" w:rsidP="00000000" w:rsidRDefault="00000000" w:rsidRPr="00000000" w14:paraId="00000105">
      <w:pPr>
        <w:pStyle w:val="Heading2"/>
        <w:numPr>
          <w:ilvl w:val="0"/>
          <w:numId w:val="2"/>
        </w:numPr>
        <w:ind w:left="360" w:hanging="360"/>
        <w:rPr>
          <w:b w:val="1"/>
          <w:bCs w:val="1"/>
          <w:sz w:val="26"/>
          <w:szCs w:val="26"/>
        </w:rPr>
      </w:pPr>
      <w:bookmarkStart w:colFirst="0" w:colLast="0" w:name="_heading=h.u497d9i21rmn" w:id="8"/>
      <w:bookmarkEnd w:id="8"/>
      <w:r w:rsidDel="00000000" w:rsidR="00000000" w:rsidRPr="00000000">
        <w:rPr>
          <w:rtl w:val="0"/>
        </w:rPr>
        <w:t xml:space="preserve">Riesgos de Sprint y mitigación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14593408"/>
        <w:tag w:val="goog_rdk_0"/>
      </w:sdtPr>
      <w:sdtContent>
        <w:tbl>
          <w:tblPr>
            <w:tblStyle w:val="Table9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1440"/>
            <w:gridCol w:w="1080"/>
            <w:gridCol w:w="3330"/>
            <w:tblGridChange w:id="0">
              <w:tblGrid>
                <w:gridCol w:w="2970"/>
                <w:gridCol w:w="1440"/>
                <w:gridCol w:w="1080"/>
                <w:gridCol w:w="33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Posibles riesgos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Probabilidad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Plan de acción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Rate Limiting Estricto de Jikan API: Jikan permite muy pocas peticiones por segundo. Consumirla rápidamente provocará un error HTTP 429 inmediato y el bloqueo temporal de la IP del servidor.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Elizabeth configurará un patrón de Rate Limiter utilizando Resilience4j (o retardos controlados de hilo) para espaciar las peticiones del CRON Job de forma segura.</w:t>
                </w:r>
              </w:p>
            </w:tc>
          </w:tr>
          <w:tr>
            <w:trPr>
              <w:cantSplit w:val="0"/>
              <w:trHeight w:val="1731.32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Límites de Cuota de la API de Traducción: Las APIs de traducción gratuitas tienen un límite diario de caracteres. Traducir cientos de sinopsis masivamente agotará la cuota rápidamente.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Marco configurará la ingesta para que solo traduzca en pequeños lotes, y Natalia diseñará la UI para que, en caso de cuota excedida (Fallback), se muestre silenciosamente el texto en inglés original sin generar errores en pantalla.</w:t>
                </w:r>
              </w:p>
            </w:tc>
          </w:tr>
          <w:tr>
            <w:trPr>
              <w:cantSplit w:val="0"/>
              <w:trHeight w:val="1731.32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Inconsistencia de la Estructura JSON (Jikan): Los campos de las APIs públicas pueden cambiar o enviar datos nulos sin previo aviso, rompiendo el mapeo de DTOs en Spring Boot.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Marco y Elizabeth implementarán directivas de ignorar propiedades desconocidas (@JsonIgnoreProperties) en los DTOs y validaciones para evitar NullPointerExceptions al guardar en PostgreSQL.</w:t>
                </w:r>
              </w:p>
            </w:tc>
          </w:tr>
          <w:tr>
            <w:trPr>
              <w:cantSplit w:val="0"/>
              <w:trHeight w:val="1731.32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-591181</wp:posOffset>
          </wp:positionH>
          <wp:positionV relativeFrom="paragraph">
            <wp:posOffset>-183511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039387111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-504493</wp:posOffset>
          </wp:positionH>
          <wp:positionV relativeFrom="paragraph">
            <wp:posOffset>-147951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039387112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Calibri" w:cs="Calibri" w:eastAsia="Calibri" w:hAnsi="Calibri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D40378"/>
    <w:rPr>
      <w:rFonts w:ascii="Calibri" w:hAnsi="Calibri" w:cstheme="majorBidi" w:eastAsiaTheme="majorEastAsia"/>
      <w:b w:val="1"/>
      <w:bCs w:val="1"/>
      <w:color w:val="000000" w:themeColor="text1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D542EB"/>
    <w:rPr>
      <w:rFonts w:ascii="Calibri" w:hAnsi="Calibri" w:cstheme="majorBidi" w:eastAsiaTheme="majorEastAsia"/>
      <w:b w:val="1"/>
      <w:bCs w:val="1"/>
      <w:color w:val="000000" w:themeColor="tex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uiPriority w:val="9"/>
    <w:rsid w:val="005F03B7"/>
    <w:rPr>
      <w:rFonts w:cs="Times New Roman" w:eastAsia="Times New Roman" w:asciiTheme="minorHAnsi" w:hAnsiTheme="minorHAnsi"/>
      <w:sz w:val="24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E3FDB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130BE"/>
    <w:pPr>
      <w:spacing w:after="100" w:line="259" w:lineRule="auto"/>
      <w:ind w:left="440"/>
    </w:pPr>
    <w:rPr>
      <w:rFonts w:cs="Times New Roman" w:eastAsiaTheme="minorEastAsia"/>
    </w:rPr>
  </w:style>
  <w:style w:type="character" w:styleId="Textoennegrita">
    <w:name w:val="Strong"/>
    <w:basedOn w:val="Fuentedeprrafopredeter"/>
    <w:uiPriority w:val="22"/>
    <w:qFormat w:val="1"/>
    <w:rsid w:val="006E0E02"/>
    <w:rPr>
      <w:b w:val="1"/>
      <w:bCs w:val="1"/>
    </w:rPr>
  </w:style>
  <w:style w:type="paragraph" w:styleId="personalizado1" w:customStyle="1">
    <w:name w:val="personalizado 1"/>
    <w:basedOn w:val="Ttulo"/>
    <w:link w:val="personalizado1Car"/>
    <w:autoRedefine w:val="1"/>
    <w:rsid w:val="001D5E0C"/>
    <w:pPr>
      <w:jc w:val="both"/>
    </w:pPr>
    <w:rPr>
      <w:rFonts w:ascii="Calibri" w:hAnsi="Calibri" w:cstheme="minorHAnsi"/>
      <w:sz w:val="28"/>
    </w:rPr>
  </w:style>
  <w:style w:type="character" w:styleId="personalizado1Car" w:customStyle="1">
    <w:name w:val="personalizado 1 Car"/>
    <w:basedOn w:val="TtuloCar"/>
    <w:link w:val="personalizado1"/>
    <w:rsid w:val="001D5E0C"/>
    <w:rPr>
      <w:rFonts w:ascii="Calibri" w:eastAsia="Times New Roman" w:hAnsi="Calibri" w:cstheme="minorHAnsi"/>
      <w:b w:val="1"/>
      <w:bCs w:val="1"/>
      <w:sz w:val="28"/>
      <w:szCs w:val="36"/>
      <w:lang w:eastAsia="es-ES" w:val="es-ES"/>
    </w:rPr>
  </w:style>
  <w:style w:type="paragraph" w:styleId="subpersonalizado" w:customStyle="1">
    <w:name w:val="subpersonalizado"/>
    <w:basedOn w:val="personalizado1"/>
    <w:link w:val="subpersonalizadoCar"/>
    <w:rsid w:val="00971E31"/>
    <w:pPr>
      <w:ind w:left="708"/>
    </w:pPr>
    <w:rPr>
      <w:sz w:val="26"/>
    </w:rPr>
  </w:style>
  <w:style w:type="character" w:styleId="subpersonalizadoCar" w:customStyle="1">
    <w:name w:val="subpersonalizado Car"/>
    <w:basedOn w:val="personalizado1Car"/>
    <w:link w:val="subpersonalizado"/>
    <w:rsid w:val="00971E31"/>
    <w:rPr>
      <w:rFonts w:ascii="Calibri" w:eastAsia="Times New Roman" w:hAnsi="Calibri" w:cstheme="minorHAnsi"/>
      <w:b w:val="1"/>
      <w:bCs w:val="1"/>
      <w:sz w:val="26"/>
      <w:szCs w:val="36"/>
      <w:lang w:eastAsia="es-ES" w:val="es-ES"/>
    </w:rPr>
  </w:style>
  <w:style w:type="paragraph" w:styleId="Bibliografa">
    <w:name w:val="Bibliography"/>
    <w:basedOn w:val="Normal"/>
    <w:next w:val="Normal"/>
    <w:uiPriority w:val="37"/>
    <w:unhideWhenUsed w:val="1"/>
    <w:rsid w:val="00163CD0"/>
  </w:style>
  <w:style w:type="paragraph" w:styleId="Titulo3" w:customStyle="1">
    <w:name w:val="Titulo 3"/>
    <w:basedOn w:val="Ttulo2"/>
    <w:link w:val="Titulo3Car"/>
    <w:qFormat w:val="1"/>
    <w:rsid w:val="009E6CF8"/>
    <w:rPr>
      <w:sz w:val="24"/>
    </w:rPr>
  </w:style>
  <w:style w:type="character" w:styleId="Titulo3Car" w:customStyle="1">
    <w:name w:val="Titulo 3 Car"/>
    <w:basedOn w:val="Ttulo2Car"/>
    <w:link w:val="Titulo3"/>
    <w:rsid w:val="009E6CF8"/>
    <w:rPr>
      <w:rFonts w:ascii="Calibri" w:hAnsi="Calibri" w:cstheme="majorBidi" w:eastAsiaTheme="majorEastAsia"/>
      <w:b w:val="1"/>
      <w:bCs w:val="1"/>
      <w:color w:val="000000" w:themeColor="text1"/>
      <w:sz w:val="24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6u1WXUph2EE4XFII5UTig8gGOA==">CgMxLjAaHwoBMBIaChgICVIUChJ0YWJsZS45OGw4dXFiMHhkMm0yDmguMml4NXA2ZnR6ZDdvMg1oLmxuZjJnajNiNHp5Mg5oLnFtdjYybXliMmEwODIOaC4zZnlmYm00MmoyZjEyDmgubmU1NGNpcG13cHVyMg5oLmF6NmZsbnJ0cGJwNzIOaC56MXhzcnh2cWdnbDQyDmguYWV0MmtvOGhuMGpvMg5oLnU0OTdkOWkyMXJtbjgAciExYWpsWmV4ZHFZN2d1RjhkeXdHeVFmekRGY29QSGhfS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