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document.xml" ContentType="application/vnd.openxmlformats-officedocument.wordprocessingml.document.main+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21725C9" w14:textId="77777777">
      <w:pPr>
        <w:pBdr/>
        <w:spacing/>
        <w:ind/>
        <w:rPr/>
      </w:pPr>
      <w:r/>
      <w:bookmarkStart w:id="0" w:name="_GoBack"/>
      <w:r/>
      <w:bookmarkEnd w:id="0"/>
      <w:r/>
      <w:r/>
    </w:p>
    <w:p w14:paraId="5D1164C3" w14:textId="77777777">
      <w:pPr>
        <w:pBdr/>
        <w:spacing/>
        <w:ind/>
        <w:rPr>
          <w:b/>
        </w:rPr>
      </w:pPr>
      <w:r>
        <w:rPr>
          <w:b/>
          <w:color w:val="595959" w:themeColor="text1" w:themeTint="A6"/>
          <w:lang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9525</wp:posOffset>
                </wp:positionV>
                <wp:extent cx="6238875" cy="1562100"/>
                <wp:effectExtent l="0" t="0" r="0" b="0"/>
                <wp:wrapNone/>
                <wp:docPr id="2" name="Grupo 27"/>
                <wp:cNvGraphicFramePr/>
                <a:graphic xmlns:a="http://schemas.openxmlformats.org/drawingml/2006/main">
                  <a:graphicData uri="http://schemas.microsoft.com/office/word/2010/wordprocessingGroup">
                    <wpg:wgp>
                      <wpg:cNvGrpSpPr/>
                      <wpg:grpSpPr bwMode="auto">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pPr>
                                <w:pBdr/>
                                <w:spacing w:after="0" w:line="240" w:lineRule="auto"/>
                                <w:ind/>
                                <w:rPr>
                                  <w:b/>
                                  <w:color w:val="ff0000"/>
                                  <w:sz w:val="48"/>
                                  <w:szCs w:val="48"/>
                                </w:rPr>
                              </w:pPr>
                              <w:r>
                                <w:rPr>
                                  <w:b/>
                                  <w:color w:val="ff0000"/>
                                  <w:sz w:val="48"/>
                                  <w:szCs w:val="48"/>
                                </w:rPr>
                              </w:r>
                              <w:r>
                                <w:rPr>
                                  <w:b/>
                                  <w:color w:val="ff0000"/>
                                  <w:sz w:val="48"/>
                                  <w:szCs w:val="48"/>
                                </w:rPr>
                              </w:r>
                            </w:p>
                            <w:p w14:paraId="2A8D66F8" w14:textId="7772022A">
                              <w:pPr>
                                <w:pBdr/>
                                <w:spacing w:after="0" w:line="240" w:lineRule="auto"/>
                                <w:ind/>
                                <w:rPr>
                                  <w:b/>
                                  <w:color w:val="1f3864" w:themeColor="accent1" w:themeShade="80"/>
                                  <w:sz w:val="48"/>
                                  <w:szCs w:val="48"/>
                                </w:rPr>
                              </w:pPr>
                              <w:r>
                                <w:rPr>
                                  <w:b/>
                                  <w:color w:val="1f3864" w:themeColor="accent1" w:themeShade="80"/>
                                  <w:sz w:val="48"/>
                                  <w:szCs w:val="48"/>
                                </w:rPr>
                                <w:t xml:space="preserve">Guía</w:t>
                              </w:r>
                              <w:r>
                                <w:rPr>
                                  <w:b/>
                                  <w:color w:val="1f3864" w:themeColor="accent1" w:themeShade="80"/>
                                  <w:sz w:val="48"/>
                                  <w:szCs w:val="48"/>
                                </w:rPr>
                                <w:t xml:space="preserve">2.</w:t>
                              </w:r>
                              <w:r>
                                <w:rPr>
                                  <w:b/>
                                  <w:color w:val="1f3864" w:themeColor="accent1" w:themeShade="80"/>
                                  <w:sz w:val="48"/>
                                  <w:szCs w:val="48"/>
                                </w:rPr>
                                <w:t xml:space="preserve"> </w:t>
                              </w:r>
                              <w:r>
                                <w:rPr>
                                  <w:b/>
                                  <w:color w:val="1f3864" w:themeColor="accent1" w:themeShade="80"/>
                                  <w:sz w:val="48"/>
                                  <w:szCs w:val="48"/>
                                </w:rPr>
                                <w:t xml:space="preserve">Desarrollo P</w:t>
                              </w:r>
                              <w:r>
                                <w:rPr>
                                  <w:b/>
                                  <w:color w:val="1f3864" w:themeColor="accent1" w:themeShade="80"/>
                                  <w:sz w:val="48"/>
                                  <w:szCs w:val="48"/>
                                </w:rPr>
                                <w:t xml:space="preserve">royecto </w:t>
                              </w:r>
                              <w:r>
                                <w:rPr>
                                  <w:b/>
                                  <w:color w:val="1f3864" w:themeColor="accent1" w:themeShade="80"/>
                                  <w:sz w:val="48"/>
                                  <w:szCs w:val="48"/>
                                </w:rPr>
                                <w:t xml:space="preserve">APT </w:t>
                              </w:r>
                              <w:r>
                                <w:rPr>
                                  <w:b/>
                                  <w:color w:val="1f3864" w:themeColor="accent1" w:themeShade="80"/>
                                  <w:sz w:val="48"/>
                                  <w:szCs w:val="48"/>
                                </w:rPr>
                              </w:r>
                            </w:p>
                            <w:p w14:paraId="332AEDC3" w14:textId="5DCBCE3D">
                              <w:pPr>
                                <w:pBdr/>
                                <w:spacing w:after="0" w:line="240" w:lineRule="auto"/>
                                <w:ind/>
                                <w:rPr>
                                  <w:b/>
                                  <w:color w:val="1f3864" w:themeColor="accent1" w:themeShade="80"/>
                                  <w:sz w:val="48"/>
                                  <w:szCs w:val="48"/>
                                </w:rPr>
                              </w:pPr>
                              <w:r>
                                <w:rPr>
                                  <w:b/>
                                  <w:color w:val="1f3864" w:themeColor="accent1" w:themeShade="80"/>
                                  <w:sz w:val="48"/>
                                  <w:szCs w:val="48"/>
                                </w:rPr>
                                <w:t xml:space="preserve">Asignatura </w:t>
                              </w:r>
                              <w:r>
                                <w:rPr>
                                  <w:b/>
                                  <w:color w:val="1f3864" w:themeColor="accent1" w:themeShade="80"/>
                                  <w:sz w:val="48"/>
                                  <w:szCs w:val="48"/>
                                </w:rPr>
                                <w:t xml:space="preserve">Capstone</w:t>
                              </w:r>
                              <w:r>
                                <w:rPr>
                                  <w:b/>
                                  <w:color w:val="1f3864" w:themeColor="accent1" w:themeShade="80"/>
                                  <w:sz w:val="48"/>
                                  <w:szCs w:val="48"/>
                                </w:rPr>
                              </w:r>
                            </w:p>
                          </w:txbxContent>
                        </wps:txbx>
                        <wps:bodyPr rot="0" vert="horz" wrap="square" lIns="91440" tIns="45720" rIns="91440" bIns="45720" anchor="t" anchorCtr="0">
                          <a:noAutofit/>
                        </wps:bodyPr>
                      </wps:wsp>
                      <wps:wsp>
                        <wps:cNvPr id="49" name="Rectángulo 49"/>
                        <wps:cNvSpPr/>
                        <wps:spPr bwMode="auto">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 o:spid="_x0000_s0000" style="position:absolute;z-index:251659264;o:allowoverlap:true;o:allowincell:true;mso-position-horizontal-relative:margin;mso-position-horizontal:center;mso-position-vertical-relative:text;margin-top:0.75pt;mso-position-vertical:absolute;width:491.25pt;height:123.00pt;mso-wrap-distance-left:9.00pt;mso-wrap-distance-top:0.00pt;mso-wrap-distance-right:9.00pt;mso-wrap-distance-bottom:0.00pt;" coordorigin="0,0" coordsize="59912,15621">
                <v:shape id="shape 2" o:spid="_x0000_s2" o:spt="202" type="#_x0000_t202" style="position:absolute;left:10246;top:2994;width:49665;height:12626;v-text-anchor:top;visibility:visible;" filled="f" stroked="f" strokeweight="0.75pt">
                  <v:textbox inset="0,0,0,0">
                    <w:txbxContent>
                      <w:p w14:paraId="1585E57B" w14:textId="77777777">
                        <w:pPr>
                          <w:pBdr/>
                          <w:spacing w:after="0" w:line="240" w:lineRule="auto"/>
                          <w:ind/>
                          <w:rPr>
                            <w:b/>
                            <w:color w:val="ff0000"/>
                            <w:sz w:val="48"/>
                            <w:szCs w:val="48"/>
                          </w:rPr>
                        </w:pPr>
                        <w:r>
                          <w:rPr>
                            <w:b/>
                            <w:color w:val="ff0000"/>
                            <w:sz w:val="48"/>
                            <w:szCs w:val="48"/>
                          </w:rPr>
                        </w:r>
                        <w:r>
                          <w:rPr>
                            <w:b/>
                            <w:color w:val="ff0000"/>
                            <w:sz w:val="48"/>
                            <w:szCs w:val="48"/>
                          </w:rPr>
                        </w:r>
                      </w:p>
                      <w:p w14:paraId="2A8D66F8" w14:textId="7772022A">
                        <w:pPr>
                          <w:pBdr/>
                          <w:spacing w:after="0" w:line="240" w:lineRule="auto"/>
                          <w:ind/>
                          <w:rPr>
                            <w:b/>
                            <w:color w:val="1f3864" w:themeColor="accent1" w:themeShade="80"/>
                            <w:sz w:val="48"/>
                            <w:szCs w:val="48"/>
                          </w:rPr>
                        </w:pPr>
                        <w:r>
                          <w:rPr>
                            <w:b/>
                            <w:color w:val="1f3864" w:themeColor="accent1" w:themeShade="80"/>
                            <w:sz w:val="48"/>
                            <w:szCs w:val="48"/>
                          </w:rPr>
                          <w:t xml:space="preserve">Guía</w:t>
                        </w:r>
                        <w:r>
                          <w:rPr>
                            <w:b/>
                            <w:color w:val="1f3864" w:themeColor="accent1" w:themeShade="80"/>
                            <w:sz w:val="48"/>
                            <w:szCs w:val="48"/>
                          </w:rPr>
                          <w:t xml:space="preserve">2.</w:t>
                        </w:r>
                        <w:r>
                          <w:rPr>
                            <w:b/>
                            <w:color w:val="1f3864" w:themeColor="accent1" w:themeShade="80"/>
                            <w:sz w:val="48"/>
                            <w:szCs w:val="48"/>
                          </w:rPr>
                          <w:t xml:space="preserve"> </w:t>
                        </w:r>
                        <w:r>
                          <w:rPr>
                            <w:b/>
                            <w:color w:val="1f3864" w:themeColor="accent1" w:themeShade="80"/>
                            <w:sz w:val="48"/>
                            <w:szCs w:val="48"/>
                          </w:rPr>
                          <w:t xml:space="preserve">Desarrollo P</w:t>
                        </w:r>
                        <w:r>
                          <w:rPr>
                            <w:b/>
                            <w:color w:val="1f3864" w:themeColor="accent1" w:themeShade="80"/>
                            <w:sz w:val="48"/>
                            <w:szCs w:val="48"/>
                          </w:rPr>
                          <w:t xml:space="preserve">royecto </w:t>
                        </w:r>
                        <w:r>
                          <w:rPr>
                            <w:b/>
                            <w:color w:val="1f3864" w:themeColor="accent1" w:themeShade="80"/>
                            <w:sz w:val="48"/>
                            <w:szCs w:val="48"/>
                          </w:rPr>
                          <w:t xml:space="preserve">APT </w:t>
                        </w:r>
                        <w:r>
                          <w:rPr>
                            <w:b/>
                            <w:color w:val="1f3864" w:themeColor="accent1" w:themeShade="80"/>
                            <w:sz w:val="48"/>
                            <w:szCs w:val="48"/>
                          </w:rPr>
                        </w:r>
                      </w:p>
                      <w:p w14:paraId="332AEDC3" w14:textId="5DCBCE3D">
                        <w:pPr>
                          <w:pBdr/>
                          <w:spacing w:after="0" w:line="240" w:lineRule="auto"/>
                          <w:ind/>
                          <w:rPr>
                            <w:b/>
                            <w:color w:val="1f3864" w:themeColor="accent1" w:themeShade="80"/>
                            <w:sz w:val="48"/>
                            <w:szCs w:val="48"/>
                          </w:rPr>
                        </w:pPr>
                        <w:r>
                          <w:rPr>
                            <w:b/>
                            <w:color w:val="1f3864" w:themeColor="accent1" w:themeShade="80"/>
                            <w:sz w:val="48"/>
                            <w:szCs w:val="48"/>
                          </w:rPr>
                          <w:t xml:space="preserve">Asignatura </w:t>
                        </w:r>
                        <w:r>
                          <w:rPr>
                            <w:b/>
                            <w:color w:val="1f3864" w:themeColor="accent1" w:themeShade="80"/>
                            <w:sz w:val="48"/>
                            <w:szCs w:val="48"/>
                          </w:rPr>
                          <w:t xml:space="preserve">Capstone</w:t>
                        </w:r>
                        <w:r>
                          <w:rPr>
                            <w:b/>
                            <w:color w:val="1f3864" w:themeColor="accent1" w:themeShade="80"/>
                            <w:sz w:val="48"/>
                            <w:szCs w:val="48"/>
                          </w:rPr>
                        </w:r>
                      </w:p>
                    </w:txbxContent>
                  </v:textbox>
                </v:shape>
                <v:shape id="shape 3" o:spid="_x0000_s3" o:spt="1" type="#_x0000_t1" style="position:absolute;left:0;top:0;width:9931;height:14868;visibility:visible;" fillcolor="#1F3963" stroked="f" strokeweight="1.00pt">
                  <v:stroke dashstyle="solid"/>
                </v:shape>
              </v:group>
            </w:pict>
          </mc:Fallback>
        </mc:AlternateContent>
      </w:r>
      <w:r>
        <w:rPr>
          <w:b/>
        </w:rPr>
      </w:r>
    </w:p>
    <w:p w14:paraId="7F537762" w14:textId="77777777">
      <w:pPr>
        <w:pBdr/>
        <w:spacing/>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p w14:paraId="4017F60B" w14:textId="77777777">
      <w:pPr>
        <w:pBdr/>
        <w:spacing/>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p w14:paraId="7246DF2E" w14:textId="77777777">
      <w:pPr>
        <w:pBdr/>
        <w:spacing/>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p w14:paraId="23ECEA17" w14:textId="77777777">
      <w:pPr>
        <w:pBdr/>
        <w:spacing/>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p w14:paraId="52DD29EE" w14:textId="77777777">
      <w:pPr>
        <w:pBdr/>
        <w:spacing/>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p w14:paraId="099E646F" w14:textId="77777777">
      <w:pPr>
        <w:pBdr/>
        <w:spacing/>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tbl>
      <w:tblPr>
        <w:tblStyle w:val="777"/>
        <w:tblInd w:w="-572" w:type="dxa"/>
        <w:tblW w:w="9639"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39"/>
      </w:tblGrid>
      <w:tr>
        <w:trPr>
          <w:trHeight w:val="440"/>
        </w:trPr>
        <w:tc>
          <w:tcPr>
            <w:tcBorders/>
            <w:tcW w:w="9639" w:type="dxa"/>
            <w:vAlign w:val="center"/>
          </w:tcPr>
          <w:p w14:paraId="1C7FA90E" w14:textId="2183587C">
            <w:pPr>
              <w:pBdr/>
              <w:spacing/>
              <w:ind/>
              <w:rPr>
                <w:b/>
                <w:color w:val="1f3864" w:themeColor="accent1" w:themeShade="80"/>
                <w:sz w:val="28"/>
                <w:szCs w:val="28"/>
              </w:rPr>
            </w:pPr>
            <w:r>
              <w:rPr>
                <w:b/>
                <w:color w:val="1f3864" w:themeColor="accent1" w:themeShade="80"/>
                <w:sz w:val="28"/>
                <w:szCs w:val="28"/>
              </w:rPr>
              <w:t xml:space="preserve">1</w:t>
            </w:r>
            <w:r>
              <w:rPr>
                <w:b/>
                <w:color w:val="1f3864" w:themeColor="accent1" w:themeShade="80"/>
                <w:sz w:val="28"/>
                <w:szCs w:val="28"/>
              </w:rPr>
              <w:t xml:space="preserve">. </w:t>
            </w:r>
            <w:r>
              <w:rPr>
                <w:b/>
                <w:color w:val="1f3864" w:themeColor="accent1" w:themeShade="80"/>
                <w:sz w:val="28"/>
                <w:szCs w:val="28"/>
              </w:rPr>
              <w:t xml:space="preserve">Resumen </w:t>
            </w:r>
            <w:r>
              <w:rPr>
                <w:b/>
                <w:color w:val="1f3864" w:themeColor="accent1" w:themeShade="80"/>
                <w:sz w:val="28"/>
                <w:szCs w:val="28"/>
              </w:rPr>
              <w:t xml:space="preserve">avance </w:t>
            </w:r>
            <w:r>
              <w:rPr>
                <w:b/>
                <w:color w:val="1f3864" w:themeColor="accent1" w:themeShade="80"/>
                <w:sz w:val="28"/>
                <w:szCs w:val="28"/>
              </w:rPr>
              <w:t xml:space="preserve">Proyecto APT</w:t>
            </w:r>
            <w:r>
              <w:rPr>
                <w:b/>
                <w:color w:val="1f3864" w:themeColor="accent1" w:themeShade="80"/>
                <w:sz w:val="28"/>
                <w:szCs w:val="28"/>
              </w:rPr>
            </w:r>
          </w:p>
        </w:tc>
      </w:tr>
      <w:tr>
        <w:trPr>
          <w:trHeight w:val="800"/>
        </w:trPr>
        <w:tc>
          <w:tcPr>
            <w:shd w:val="clear" w:color="auto" w:fill="d9e2f3" w:themeFill="accent1" w:themeFillTint="33"/>
            <w:tcBorders/>
            <w:tcW w:w="9639" w:type="dxa"/>
            <w:vAlign w:val="center"/>
          </w:tcPr>
          <w:p w14:paraId="58A014EC" w14:textId="77777777">
            <w:pPr>
              <w:pStyle w:val="778"/>
              <w:pBdr/>
              <w:spacing/>
              <w:ind/>
              <w:jc w:val="both"/>
              <w:rPr>
                <w:rFonts w:ascii="Calibri" w:hAnsi="Calibri"/>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w:t>
            </w:r>
            <w:r>
              <w:rPr>
                <w:rFonts w:ascii="Calibri" w:hAnsi="Calibri"/>
                <w:color w:val="1f3864" w:themeColor="accent1" w:themeShade="80"/>
              </w:rPr>
            </w:r>
          </w:p>
        </w:tc>
      </w:tr>
    </w:tbl>
    <w:p w14:paraId="57B7005F" w14:textId="77777777">
      <w:pPr>
        <w:pBdr/>
        <w:spacing w:after="0" w:line="240" w:lineRule="auto"/>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p w14:paraId="229616BA" w14:textId="77777777">
      <w:pPr>
        <w:pBdr/>
        <w:spacing w:after="0" w:line="240" w:lineRule="auto"/>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tbl>
      <w:tblPr>
        <w:tblStyle w:val="777"/>
        <w:tblInd w:w="-572" w:type="dxa"/>
        <w:tblW w:w="9639"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528"/>
        <w:gridCol w:w="7111"/>
      </w:tblGrid>
      <w:tr>
        <w:trPr/>
        <w:tc>
          <w:tcPr>
            <w:tcBorders/>
            <w:tcW w:w="2528" w:type="dxa"/>
            <w:vAlign w:val="center"/>
          </w:tcPr>
          <w:p w14:paraId="72F2ABB8" w14:textId="77777777">
            <w:pPr>
              <w:pBdr/>
              <w:spacing/>
              <w:ind/>
              <w:rPr>
                <w:rFonts w:ascii="Calibri" w:hAnsi="Calibri"/>
                <w:color w:val="1f3864" w:themeColor="accent1" w:themeShade="80"/>
              </w:rPr>
            </w:pPr>
            <w:r>
              <w:rPr>
                <w:rFonts w:ascii="Calibri" w:hAnsi="Calibri"/>
                <w:color w:val="1f3864" w:themeColor="accent1" w:themeShade="80"/>
              </w:rPr>
              <w:t xml:space="preserve">Resumen</w:t>
            </w:r>
            <w:r>
              <w:rPr>
                <w:rFonts w:ascii="Calibri" w:hAnsi="Calibri"/>
                <w:color w:val="1f3864" w:themeColor="accent1" w:themeShade="80"/>
              </w:rPr>
              <w:t xml:space="preserve"> de</w:t>
            </w:r>
            <w:r>
              <w:rPr>
                <w:rFonts w:ascii="Calibri" w:hAnsi="Calibri"/>
                <w:color w:val="1f3864" w:themeColor="accent1" w:themeShade="80"/>
              </w:rPr>
              <w:t xml:space="preserve"> avance proyecto APT</w:t>
            </w:r>
            <w:r>
              <w:rPr>
                <w:rFonts w:ascii="Calibri" w:hAnsi="Calibri"/>
                <w:color w:val="1f3864" w:themeColor="accent1" w:themeShade="80"/>
              </w:rPr>
            </w:r>
          </w:p>
        </w:tc>
        <w:tc>
          <w:tcPr>
            <w:tcBorders/>
            <w:tcW w:w="7111" w:type="dxa"/>
          </w:tcPr>
          <w:p w14:paraId="62B29CFD" w14:textId="12228CA9">
            <w:pPr>
              <w:pBdr/>
              <w:spacing/>
              <w:ind/>
              <w:jc w:val="both"/>
              <w:rPr>
                <w:rFonts w:ascii="Calibri" w:hAnsi="Calibri" w:cs="Arial"/>
                <w:i/>
                <w:color w:val="548dd4"/>
                <w:sz w:val="20"/>
                <w:szCs w:val="20"/>
                <w:lang w:eastAsia="es-CL"/>
              </w:rPr>
            </w:pPr>
            <w:r>
              <w:rPr>
                <w:b w:val="0"/>
              </w:rPr>
              <w:t xml:space="preserve">Corte del informe: jueves 17 de septiembre de 2026, último día hábi</w:t>
            </w:r>
            <w:r>
              <w:rPr>
                <w:b w:val="0"/>
              </w:rPr>
              <w:t xml:space="preserve">l de la semana 7 del plan de trabajo. El viernes 18 es feriado de Fiestas Patrias, de modo que la semana tiene cuatro días hábiles. A esta fecha se han consumido 26 de los 80 días hábiles del proyecto y el equipo está en el sexto día del Sprint 3, de diez.</w:t>
            </w:r>
            <w:r>
              <w:rPr>
                <w:rFonts w:ascii="Calibri" w:hAnsi="Calibri" w:cs="Arial"/>
                <w:i/>
                <w:color w:val="548dd4"/>
                <w:sz w:val="20"/>
                <w:szCs w:val="20"/>
                <w:lang w:eastAsia="es-CL"/>
              </w:rPr>
            </w:r>
          </w:p>
          <w:p w14:paraId="62B29CFD" w14:textId="12228CA9">
            <w:pPr>
              <w:pBdr/>
              <w:spacing/>
              <w:ind/>
              <w:jc w:val="both"/>
              <w:rPr>
                <w:rFonts w:ascii="Calibri" w:hAnsi="Calibri" w:cs="Arial"/>
                <w:i/>
                <w:color w:val="548dd4"/>
                <w:sz w:val="20"/>
                <w:szCs w:val="20"/>
                <w:lang w:eastAsia="es-CL"/>
              </w:rPr>
            </w:pPr>
            <w:r>
              <w:rPr>
                <w:b w:val="0"/>
              </w:rPr>
              <w:t xml:space="preserve">Estado de las actividades. De las nueve actividades del plan de trabajo, tres están completadas —la definición del proyecto y los Sprints 1 y 2—, una está en curso —el Sprint 3— y cinco no han comenzado, todas dentro de sus semanas previstas.</w:t>
            </w:r>
            <w:r>
              <w:rPr>
                <w:rFonts w:ascii="Calibri" w:hAnsi="Calibri" w:cs="Arial"/>
                <w:i/>
                <w:color w:val="548dd4"/>
                <w:sz w:val="20"/>
                <w:szCs w:val="20"/>
                <w:lang w:eastAsia="es-CL"/>
              </w:rPr>
            </w:r>
          </w:p>
          <w:p w14:paraId="62B29CFD" w14:textId="12228CA9">
            <w:pPr>
              <w:pBdr/>
              <w:spacing/>
              <w:ind/>
              <w:jc w:val="both"/>
              <w:rPr>
                <w:rFonts w:ascii="Calibri" w:hAnsi="Calibri" w:cs="Arial"/>
                <w:i/>
                <w:color w:val="548dd4"/>
                <w:sz w:val="20"/>
                <w:szCs w:val="20"/>
                <w:lang w:eastAsia="es-CL"/>
              </w:rPr>
            </w:pPr>
            <w:r>
              <w:rPr>
                <w:b w:val="0"/>
              </w:rPr>
              <w:t xml:space="preserve">Actividades ejecutadas. La definición del proyecto cerró con la visió</w:t>
            </w:r>
            <w:r>
              <w:rPr>
                <w:b w:val="0"/>
              </w:rPr>
              <w:t xml:space="preserve">n de producto, las épicas e historias de usuario con sus criterios de aceptación, el backlog priorizado y el diseño de la arquitectura. El Sprint 1 dejó la infraestructura contenerizada con tres bases de datos aisladas, la integración continua con escaneo </w:t>
            </w:r>
            <w:r>
              <w:rPr>
                <w:b w:val="0"/>
              </w:rPr>
              <w:t xml:space="preserve">de secretos, el gateway con ruteo por prefijo y cortocircuito, y la capa de datos del catálogo con migraciones versionadas. El Sprint 2 entregó la interfaz del catálogo: grilla paginada, filtros por género y año reflejados en la URL, y búsqueda por título.</w:t>
            </w:r>
            <w:r>
              <w:rPr>
                <w:rFonts w:ascii="Calibri" w:hAnsi="Calibri" w:cs="Arial"/>
                <w:i/>
                <w:color w:val="548dd4"/>
                <w:sz w:val="20"/>
                <w:szCs w:val="20"/>
                <w:lang w:eastAsia="es-CL"/>
              </w:rPr>
            </w:r>
          </w:p>
          <w:p w14:paraId="62B29CFD" w14:textId="12228CA9">
            <w:pPr>
              <w:pBdr/>
              <w:spacing/>
              <w:ind/>
              <w:jc w:val="both"/>
              <w:rPr>
                <w:rFonts w:ascii="Calibri" w:hAnsi="Calibri" w:cs="Arial"/>
                <w:i/>
                <w:color w:val="548dd4"/>
                <w:sz w:val="20"/>
                <w:szCs w:val="20"/>
                <w:lang w:eastAsia="es-CL"/>
              </w:rPr>
            </w:pPr>
            <w:r>
              <w:rPr>
                <w:b w:val="0"/>
              </w:rPr>
              <w:t xml:space="preserve">Trabajo en curso. El Sprint 3 aborda la reproducción de episodios. A la fecha del corte, la entrega del contenido por red de distribución está implementada y el registro de licencia de cada contenido multimedia quedó cerrado. La ficha del anime se cierra h</w:t>
            </w:r>
            <w:r>
              <w:rPr>
                <w:b w:val="0"/>
              </w:rPr>
              <w:t xml:space="preserve">oy y el reproductor de video comienza a integrarse. Queda pendiente para la segunda semana del sprint la contenerización del microservicio y la verificación de que el bucket de origen no sea accesible de forma directa. El sprint cierra el 24 de septiembre.</w:t>
            </w:r>
            <w:r>
              <w:rPr>
                <w:rFonts w:ascii="Calibri" w:hAnsi="Calibri" w:cs="Arial"/>
                <w:i/>
                <w:color w:val="548dd4"/>
                <w:sz w:val="20"/>
                <w:szCs w:val="20"/>
                <w:lang w:eastAsia="es-CL"/>
              </w:rPr>
            </w:r>
          </w:p>
          <w:p w14:paraId="62B29CFD" w14:textId="12228CA9">
            <w:pPr>
              <w:pBdr/>
              <w:spacing/>
              <w:ind/>
              <w:jc w:val="both"/>
              <w:rPr>
                <w:rFonts w:ascii="Calibri" w:hAnsi="Calibri" w:cs="Arial"/>
                <w:i/>
                <w:color w:val="548dd4"/>
                <w:sz w:val="20"/>
                <w:szCs w:val="20"/>
                <w:lang w:eastAsia="es-CL"/>
              </w:rPr>
            </w:pPr>
            <w:r>
              <w:rPr>
                <w:b w:val="0"/>
              </w:rPr>
              <w:t xml:space="preserve">Avance medido. Se han completado 27 de las 88 tareas planificadas y 57 de las 224 horas hombre estimadas, un 25 % del esfuerzo total. Tres de las catorce historias de usuario están terminadas, equivalentes a</w:t>
            </w:r>
            <w:r>
              <w:rPr>
                <w:b w:val="0"/>
              </w:rPr>
              <w:t xml:space="preserve"> 26 de los 100 puntos de historia comprometidos. Se han declarado dos versiones del producto: la v0.1.0 el 26 de agosto, con la plataforma base sin interfaz, y la v0.2.0 el 9 de septiembre, primera versión que una persona puede usar sin que se le explique.</w:t>
            </w:r>
            <w:r>
              <w:rPr>
                <w:rFonts w:ascii="Calibri" w:hAnsi="Calibri" w:cs="Arial"/>
                <w:i/>
                <w:color w:val="548dd4"/>
                <w:sz w:val="20"/>
                <w:szCs w:val="20"/>
                <w:lang w:eastAsia="es-CL"/>
              </w:rPr>
            </w:r>
          </w:p>
          <w:p w14:paraId="62B29CFD" w14:textId="12228CA9">
            <w:pPr>
              <w:pBdr/>
              <w:spacing/>
              <w:ind/>
              <w:jc w:val="both"/>
              <w:rPr>
                <w:rFonts w:ascii="Calibri" w:hAnsi="Calibri" w:cs="Arial"/>
                <w:i/>
                <w:color w:val="548dd4"/>
                <w:sz w:val="20"/>
                <w:szCs w:val="20"/>
                <w:lang w:eastAsia="es-CL"/>
              </w:rPr>
            </w:pPr>
            <w:r>
              <w:rPr>
                <w:b w:val="0"/>
              </w:rPr>
              <w:t xml:space="preserve">Objetivos específicos cumplidos. OE1 quedó cumplido en el Sprint 1: el sistema comple</w:t>
            </w:r>
            <w:r>
              <w:rPr>
                <w:b w:val="0"/>
              </w:rPr>
              <w:t xml:space="preserve">to se levanta desde un repositorio recién clonado con un solo comando, con el gateway como punto único de entrada y una base de datos por servicio; se verificó escaneando los puertos desde una máquina externa y apagando deliberadamente un microservicio par</w:t>
            </w:r>
            <w:r>
              <w:rPr>
                <w:b w:val="0"/>
              </w:rPr>
              <w:t xml:space="preserve">a comprobar que el resto sigue respondiendo. OE2 quedó cumplido en el Sprint 2: el catálogo es navegable sin registro previo, paginado, filtrable por género y año y con búsqueda insensible a mayúsculas, verificado en ancho de teléfono, tablet y escritorio.</w:t>
            </w:r>
            <w:r>
              <w:rPr>
                <w:rFonts w:ascii="Calibri" w:hAnsi="Calibri" w:cs="Arial"/>
                <w:i/>
                <w:color w:val="548dd4"/>
                <w:sz w:val="20"/>
                <w:szCs w:val="20"/>
                <w:lang w:eastAsia="es-CL"/>
              </w:rPr>
            </w:r>
          </w:p>
          <w:p w14:paraId="62B29CFD" w14:textId="12228CA9">
            <w:pPr>
              <w:pBdr/>
              <w:spacing/>
              <w:ind/>
              <w:jc w:val="both"/>
              <w:rPr>
                <w:rFonts w:ascii="Calibri" w:hAnsi="Calibri" w:cs="Arial"/>
                <w:i/>
                <w:color w:val="548dd4"/>
                <w:sz w:val="20"/>
                <w:szCs w:val="20"/>
                <w:lang w:eastAsia="es-CL"/>
              </w:rPr>
            </w:pPr>
            <w:r>
              <w:rPr>
                <w:b w:val="0"/>
              </w:rPr>
              <w:t xml:space="preserve">Objetivos en curso y pendientes. OE3, sobre reproducción de episodios, está en curso en el Sprint 3 y se espera cumplido al 24 de septiembre. OE8,</w:t>
            </w:r>
            <w:r>
              <w:rPr>
                <w:b w:val="0"/>
              </w:rPr>
              <w:t xml:space="preserve"> sobre documentación, avanza de forma continua desde el primer sprint en su parte de gestión; su parte de plan de pruebas y matriz de trazabilidad corresponde al Sprint 8. Los objetivos OE4 a OE7 no han comenzado y están programados para los Sprints 4 a 7.</w:t>
            </w:r>
            <w:r>
              <w:rPr>
                <w:rFonts w:ascii="Calibri" w:hAnsi="Calibri" w:cs="Arial"/>
                <w:i/>
                <w:color w:val="548dd4"/>
                <w:sz w:val="20"/>
                <w:szCs w:val="20"/>
                <w:lang w:eastAsia="es-CL"/>
              </w:rPr>
            </w:r>
          </w:p>
          <w:p w14:paraId="62B29CFD" w14:textId="12228CA9">
            <w:pPr>
              <w:pBdr/>
              <w:spacing/>
              <w:ind/>
              <w:jc w:val="both"/>
              <w:rPr>
                <w:rFonts w:ascii="Calibri" w:hAnsi="Calibri" w:cs="Arial"/>
                <w:i/>
                <w:color w:val="548dd4"/>
                <w:sz w:val="20"/>
                <w:szCs w:val="20"/>
                <w:lang w:eastAsia="es-CL"/>
              </w:rPr>
            </w:pPr>
            <w:r>
              <w:rPr>
                <w:b w:val="0"/>
              </w:rPr>
              <w:t xml:space="preserve">Ajustes realizados</w:t>
            </w:r>
            <w:r>
              <w:rPr>
                <w:b w:val="0"/>
              </w:rPr>
              <w:t xml:space="preserve">. El plan de trabajo mantiene sus nueve actividades, su duración y sus fechas. Se han hecho dos ajustes de contenido, ambos decididos en la revisión del Sprint 1: la épica de registro y autenticación se difirió porque no cabía junto con la infraestructura </w:t>
            </w:r>
            <w:r>
              <w:rPr>
                <w:b w:val="0"/>
              </w:rPr>
              <w:t xml:space="preserve">y la capa de datos, y quedó reprogramada al Sprint 7; y la interfaz del catálogo se arrastró al Sprint 2, al constatar que la historia abarcaba servicio e interfaz, que son trabajos distintos y con responsables distintos. Ninguna actividad se ha eliminado.</w:t>
            </w:r>
            <w:r>
              <w:rPr>
                <w:rFonts w:ascii="Calibri" w:hAnsi="Calibri" w:cs="Arial"/>
                <w:i/>
                <w:color w:val="548dd4"/>
                <w:sz w:val="20"/>
                <w:szCs w:val="20"/>
                <w:lang w:eastAsia="es-CL"/>
              </w:rPr>
            </w:r>
          </w:p>
          <w:p w14:paraId="62B29CFD" w14:textId="12228CA9">
            <w:pPr>
              <w:pBdr/>
              <w:spacing/>
              <w:ind/>
              <w:jc w:val="both"/>
              <w:rPr>
                <w:rFonts w:ascii="Calibri" w:hAnsi="Calibri" w:cs="Arial"/>
                <w:i/>
                <w:color w:val="548dd4"/>
                <w:sz w:val="20"/>
                <w:szCs w:val="20"/>
                <w:lang w:eastAsia="es-CL"/>
              </w:rPr>
            </w:pPr>
            <w:r>
              <w:rPr>
                <w:b w:val="0"/>
              </w:rPr>
              <w:t xml:space="preserve">Proyección del alcance. Quedan 74 de los 100 puntos compr</w:t>
            </w:r>
            <w:r>
              <w:rPr>
                <w:b w:val="0"/>
              </w:rPr>
              <w:t xml:space="preserve">ometidos y seis sprints, lo que exige un promedio de 12,3 puntos por sprint. La velocidad observada en los dos sprints cerrados es de 13 puntos por sprint, de modo que el alcance cabe, pero con un margen estrecho y sin holgura para un sprint que no entregu</w:t>
            </w:r>
            <w:r>
              <w:rPr>
                <w:b w:val="0"/>
              </w:rPr>
              <w:t xml:space="preserve">e. Es el riesgo que el equipo vigilará en cada revisión de aquí en adelante; si la velocidad cae, la épica de suscripción y pagos es la candidata a retirarse, por ser la de menor prioridad y estar marcada como opcional en el backlog desde su incorporación.</w:t>
            </w:r>
            <w:r>
              <w:rPr>
                <w:rFonts w:ascii="Calibri" w:hAnsi="Calibri" w:cs="Arial"/>
                <w:i/>
                <w:color w:val="548dd4"/>
                <w:sz w:val="20"/>
                <w:szCs w:val="20"/>
                <w:lang w:eastAsia="es-CL"/>
              </w:rPr>
            </w:r>
          </w:p>
        </w:tc>
      </w:tr>
      <w:tr>
        <w:trPr>
          <w:trHeight w:val="1247"/>
        </w:trPr>
        <w:tc>
          <w:tcPr>
            <w:tcBorders/>
            <w:tcW w:w="2528" w:type="dxa"/>
            <w:vAlign w:val="center"/>
          </w:tcPr>
          <w:p w14:paraId="7942AC12" w14:textId="77777777">
            <w:pPr>
              <w:pBdr/>
              <w:spacing/>
              <w:ind/>
              <w:rPr>
                <w:rFonts w:ascii="Calibri" w:hAnsi="Calibri"/>
                <w:color w:val="1f3864" w:themeColor="accent1" w:themeShade="80"/>
              </w:rPr>
            </w:pPr>
            <w:r>
              <w:rPr>
                <w:rFonts w:ascii="Calibri" w:hAnsi="Calibri"/>
                <w:color w:val="1f3864" w:themeColor="accent1" w:themeShade="80"/>
              </w:rPr>
              <w:t xml:space="preserve">Objetivos</w:t>
            </w:r>
            <w:r>
              <w:rPr>
                <w:rFonts w:ascii="Calibri" w:hAnsi="Calibri"/>
                <w:color w:val="1f3864" w:themeColor="accent1" w:themeShade="80"/>
              </w:rPr>
            </w:r>
          </w:p>
        </w:tc>
        <w:tc>
          <w:tcPr>
            <w:tcBorders/>
            <w:tcW w:w="7111" w:type="dxa"/>
            <w:vAlign w:val="center"/>
          </w:tcPr>
          <w:p w14:paraId="0DD025FA" w14:textId="77777777">
            <w:pPr>
              <w:pBdr/>
              <w:spacing/>
              <w:ind/>
              <w:jc w:val="both"/>
              <w:rPr>
                <w:rFonts w:ascii="Calibri" w:hAnsi="Calibri" w:cs="Arial"/>
                <w:b/>
                <w:i/>
                <w:color w:val="548dd4"/>
                <w:sz w:val="20"/>
                <w:szCs w:val="20"/>
                <w:lang w:eastAsia="es-CL"/>
              </w:rPr>
            </w:pPr>
            <w:r>
              <w:rPr>
                <w:b w:val="0"/>
              </w:rPr>
              <w:t xml:space="preserve">Los ocho objetivos específicos se mantienen tal como fueron formulados en la Fase 1. No se ha modificado, agregado ni eliminado ninguno, y el objetivo general tampoco ha cambiado.</w:t>
            </w:r>
            <w:r>
              <w:rPr>
                <w:rFonts w:ascii="Calibri" w:hAnsi="Calibri" w:cs="Arial"/>
                <w:b/>
                <w:i/>
                <w:color w:val="548dd4"/>
                <w:sz w:val="20"/>
                <w:szCs w:val="20"/>
                <w:lang w:eastAsia="es-CL"/>
              </w:rPr>
            </w:r>
          </w:p>
          <w:p w14:paraId="0DD025FA" w14:textId="77777777">
            <w:pPr>
              <w:pBdr/>
              <w:spacing/>
              <w:ind/>
              <w:jc w:val="both"/>
              <w:rPr>
                <w:rFonts w:ascii="Calibri" w:hAnsi="Calibri" w:cs="Arial"/>
                <w:b/>
                <w:i/>
                <w:color w:val="548dd4"/>
                <w:sz w:val="20"/>
                <w:szCs w:val="20"/>
                <w:lang w:eastAsia="es-CL"/>
              </w:rPr>
            </w:pPr>
            <w:r>
              <w:rPr>
                <w:b w:val="0"/>
              </w:rPr>
              <w:t xml:space="preserve">Los dos ajustes realizados al plan son de secuencia, no de al</w:t>
            </w:r>
            <w:r>
              <w:rPr>
                <w:b w:val="0"/>
              </w:rPr>
              <w:t xml:space="preserve">cance: la épica de registro y autenticación cambió de sprint y la interfaz del catálogo se arrastró un sprint. Ambos afectan cuándo se cumple un objetivo, no si se cumple. OE6, asociado a la épica diferida, sigue comprometido y programado para el Sprint 7.</w:t>
            </w:r>
            <w:r>
              <w:rPr>
                <w:rFonts w:ascii="Calibri" w:hAnsi="Calibri" w:cs="Arial"/>
                <w:b/>
                <w:i/>
                <w:color w:val="548dd4"/>
                <w:sz w:val="20"/>
                <w:szCs w:val="20"/>
                <w:lang w:eastAsia="es-CL"/>
              </w:rPr>
            </w:r>
          </w:p>
        </w:tc>
      </w:tr>
      <w:tr>
        <w:trPr>
          <w:trHeight w:val="939"/>
        </w:trPr>
        <w:tc>
          <w:tcPr>
            <w:tcBorders/>
            <w:tcW w:w="2528" w:type="dxa"/>
            <w:vAlign w:val="center"/>
          </w:tcPr>
          <w:p w14:paraId="1064E097" w14:textId="77777777">
            <w:pPr>
              <w:pBdr/>
              <w:spacing/>
              <w:ind/>
              <w:rPr>
                <w:rFonts w:ascii="Calibri" w:hAnsi="Calibri"/>
                <w:color w:val="1f3864" w:themeColor="accent1" w:themeShade="80"/>
              </w:rPr>
            </w:pPr>
            <w:r>
              <w:rPr>
                <w:rFonts w:ascii="Calibri" w:hAnsi="Calibri"/>
                <w:color w:val="1f3864" w:themeColor="accent1" w:themeShade="80"/>
              </w:rPr>
              <w:t xml:space="preserve">Metodología</w:t>
            </w:r>
            <w:r>
              <w:rPr>
                <w:rFonts w:ascii="Calibri" w:hAnsi="Calibri"/>
                <w:color w:val="1f3864" w:themeColor="accent1" w:themeShade="80"/>
              </w:rPr>
            </w:r>
          </w:p>
        </w:tc>
        <w:tc>
          <w:tcPr>
            <w:tcBorders/>
            <w:tcW w:w="7111" w:type="dxa"/>
            <w:vAlign w:val="center"/>
          </w:tcPr>
          <w:p w14:paraId="0908C15F" w14:textId="77777777">
            <w:pPr>
              <w:pBdr/>
              <w:spacing/>
              <w:ind/>
              <w:jc w:val="both"/>
              <w:rPr>
                <w:rFonts w:ascii="Calibri" w:hAnsi="Calibri" w:cs="Arial"/>
                <w:i/>
                <w:color w:val="548dd4"/>
                <w:sz w:val="20"/>
                <w:szCs w:val="20"/>
                <w:lang w:eastAsia="es-CL"/>
              </w:rPr>
            </w:pPr>
            <w:r>
              <w:rPr>
                <w:b w:val="0"/>
              </w:rPr>
              <w:t xml:space="preserve">El marco de trabajo se mantiene: Scrum, </w:t>
            </w:r>
            <w:r>
              <w:rPr>
                <w:b w:val="0"/>
              </w:rPr>
              <w:t xml:space="preserve">sprints de dos semanas, con los mismos roles y las mismas ceremonias definidas en la Fase 1. Se han realizado dos retrospectivas, al cierre de los Sprints 1 y 2, que levantaron tres acciones de mejora. Los ajustes a la forma de trabajar provienen de ellas.</w:t>
            </w:r>
            <w:r>
              <w:rPr>
                <w:rFonts w:ascii="Calibri" w:hAnsi="Calibri" w:cs="Arial"/>
                <w:i/>
                <w:color w:val="548dd4"/>
                <w:sz w:val="20"/>
                <w:szCs w:val="20"/>
                <w:lang w:eastAsia="es-CL"/>
              </w:rPr>
            </w:r>
          </w:p>
          <w:p w14:paraId="0908C15F" w14:textId="77777777">
            <w:pPr>
              <w:pBdr/>
              <w:spacing/>
              <w:ind/>
              <w:jc w:val="both"/>
              <w:rPr>
                <w:rFonts w:ascii="Calibri" w:hAnsi="Calibri" w:cs="Arial"/>
                <w:i/>
                <w:color w:val="548dd4"/>
                <w:sz w:val="20"/>
                <w:szCs w:val="20"/>
                <w:lang w:eastAsia="es-CL"/>
              </w:rPr>
            </w:pPr>
            <w:r>
              <w:rPr>
                <w:b w:val="0"/>
              </w:rPr>
              <w:t xml:space="preserve">Primero, las historias que abarcan servicio e interfaz se dividen en el backlog, de modo que cada parte </w:t>
            </w:r>
            <w:r>
              <w:rPr>
                <w:b w:val="0"/>
              </w:rPr>
              <w:t xml:space="preserve">pueda terminarse por separado. El acuerdo nace de que la historia del catálogo se comprometió entera en el Sprint 1 y terminó a ocho de sus trece puntos. Está aplicado desde el Sprint 3, cuyas tareas de servicio y de interfaz tienen responsables distintos.</w:t>
            </w:r>
            <w:r>
              <w:rPr>
                <w:rFonts w:ascii="Calibri" w:hAnsi="Calibri" w:cs="Arial"/>
                <w:i/>
                <w:color w:val="548dd4"/>
                <w:sz w:val="20"/>
                <w:szCs w:val="20"/>
                <w:lang w:eastAsia="es-CL"/>
              </w:rPr>
            </w:r>
          </w:p>
          <w:p w14:paraId="0908C15F" w14:textId="77777777">
            <w:pPr>
              <w:pBdr/>
              <w:spacing/>
              <w:ind/>
              <w:jc w:val="both"/>
              <w:rPr>
                <w:rFonts w:ascii="Calibri" w:hAnsi="Calibri" w:cs="Arial"/>
                <w:i/>
                <w:color w:val="548dd4"/>
                <w:sz w:val="20"/>
                <w:szCs w:val="20"/>
                <w:lang w:eastAsia="es-CL"/>
              </w:rPr>
            </w:pPr>
            <w:r>
              <w:rPr>
                <w:b w:val="0"/>
              </w:rPr>
              <w:t xml:space="preserve">Segundo, no se planifica un sprint alrededor de una sola historia pequeña. El Sprint 2 se planificó así y ocupó diez horas hombre en dos semanas, todas de una integrante, dejando a los otros dos sin trabajo asignado.</w:t>
            </w:r>
            <w:r>
              <w:rPr>
                <w:rFonts w:ascii="Calibri" w:hAnsi="Calibri" w:cs="Arial"/>
                <w:i/>
                <w:color w:val="548dd4"/>
                <w:sz w:val="20"/>
                <w:szCs w:val="20"/>
                <w:lang w:eastAsia="es-CL"/>
              </w:rPr>
            </w:r>
          </w:p>
          <w:p w14:paraId="0908C15F" w14:textId="77777777">
            <w:pPr>
              <w:pBdr/>
              <w:spacing/>
              <w:ind/>
              <w:jc w:val="both"/>
              <w:rPr>
                <w:rFonts w:ascii="Calibri" w:hAnsi="Calibri" w:cs="Arial"/>
                <w:i/>
                <w:color w:val="548dd4"/>
                <w:sz w:val="20"/>
                <w:szCs w:val="20"/>
                <w:lang w:eastAsia="es-CL"/>
              </w:rPr>
            </w:pPr>
            <w:r>
              <w:rPr>
                <w:b w:val="0"/>
              </w:rPr>
              <w:t xml:space="preserve">Tercero, y es el acuerdo que todavía no se cumple: la planificación debe revisar que cada integrante salga con tareas asignadas. La acción se levantó en la retrospectiva del Sprint 1 y</w:t>
            </w:r>
            <w:r>
              <w:rPr>
                <w:b w:val="0"/>
              </w:rPr>
              <w:t xml:space="preserve"> el Sprint 3 en curso vuelve a dejar a un integrante sin tareas propias. Se registra aquí como incumplida en lugar de darla por vigente, porque una acción de mejora que no se verifica en la retrospectiva siguiente es indistinguible de no haberla levantado.</w:t>
            </w:r>
            <w:r>
              <w:rPr>
                <w:rFonts w:ascii="Calibri" w:hAnsi="Calibri" w:cs="Arial"/>
                <w:i/>
                <w:color w:val="548dd4"/>
                <w:sz w:val="20"/>
                <w:szCs w:val="20"/>
                <w:lang w:eastAsia="es-CL"/>
              </w:rPr>
            </w:r>
          </w:p>
          <w:p w14:paraId="0908C15F" w14:textId="77777777">
            <w:pPr>
              <w:pBdr/>
              <w:spacing/>
              <w:ind/>
              <w:jc w:val="both"/>
              <w:rPr>
                <w:rFonts w:ascii="Calibri" w:hAnsi="Calibri" w:cs="Arial"/>
                <w:i/>
                <w:color w:val="548dd4"/>
                <w:sz w:val="20"/>
                <w:szCs w:val="20"/>
                <w:lang w:eastAsia="es-CL"/>
              </w:rPr>
            </w:pPr>
            <w:r>
              <w:rPr>
                <w:b w:val="0"/>
              </w:rPr>
              <w:t xml:space="preserve">Un cambio de formato acompaña lo anterior: desde la retrospectiva del Sprint 2, la reunión abre revisando el estado de las acciones del sprint anterior antes de levantar nuevas.</w:t>
            </w:r>
            <w:r>
              <w:rPr>
                <w:rFonts w:ascii="Calibri" w:hAnsi="Calibri" w:cs="Arial"/>
                <w:i/>
                <w:color w:val="548dd4"/>
                <w:sz w:val="20"/>
                <w:szCs w:val="20"/>
                <w:lang w:eastAsia="es-CL"/>
              </w:rPr>
            </w:r>
          </w:p>
        </w:tc>
      </w:tr>
      <w:tr>
        <w:trPr>
          <w:trHeight w:val="2377"/>
        </w:trPr>
        <w:tc>
          <w:tcPr>
            <w:tcBorders/>
            <w:tcW w:w="2528" w:type="dxa"/>
            <w:vAlign w:val="center"/>
          </w:tcPr>
          <w:p w14:paraId="0313DD97" w14:textId="77777777">
            <w:pPr>
              <w:pBdr/>
              <w:spacing/>
              <w:ind/>
              <w:rPr>
                <w:rFonts w:ascii="Calibri" w:hAnsi="Calibri"/>
                <w:color w:val="1f3864" w:themeColor="accent1" w:themeShade="80"/>
              </w:rPr>
            </w:pPr>
            <w:r>
              <w:rPr>
                <w:rFonts w:ascii="Calibri" w:hAnsi="Calibri"/>
                <w:color w:val="1f3864" w:themeColor="accent1" w:themeShade="80"/>
              </w:rPr>
              <w:t xml:space="preserve">Evidencias de avance</w:t>
            </w:r>
            <w:r>
              <w:rPr>
                <w:rFonts w:ascii="Calibri" w:hAnsi="Calibri"/>
                <w:color w:val="1f3864" w:themeColor="accent1" w:themeShade="80"/>
              </w:rPr>
            </w:r>
          </w:p>
        </w:tc>
        <w:tc>
          <w:tcPr>
            <w:tcBorders/>
            <w:tcW w:w="7111" w:type="dxa"/>
            <w:vAlign w:val="center"/>
          </w:tcPr>
          <w:p w14:paraId="2C28AC8B" w14:textId="7676AFBF">
            <w:pPr>
              <w:pBdr/>
              <w:spacing/>
              <w:ind/>
              <w:jc w:val="both"/>
              <w:rPr>
                <w:rFonts w:ascii="Calibri" w:hAnsi="Calibri" w:cs="Arial"/>
                <w:i/>
                <w:color w:val="548dd4"/>
                <w:sz w:val="20"/>
                <w:szCs w:val="20"/>
                <w:lang w:eastAsia="es-CL"/>
              </w:rPr>
            </w:pPr>
            <w:r>
              <w:rPr>
                <w:b w:val="0"/>
              </w:rPr>
              <w:t xml:space="preserve">Se presentan tres evidencias de avance, acordadas con el docente.</w:t>
            </w:r>
            <w:r>
              <w:rPr>
                <w:rFonts w:ascii="Calibri" w:hAnsi="Calibri" w:cs="Arial"/>
                <w:i/>
                <w:color w:val="548dd4"/>
                <w:sz w:val="20"/>
                <w:szCs w:val="20"/>
                <w:lang w:eastAsia="es-CL"/>
              </w:rPr>
            </w:r>
          </w:p>
          <w:p w14:paraId="2C28AC8B" w14:textId="7676AFBF">
            <w:pPr>
              <w:pBdr/>
              <w:spacing/>
              <w:ind/>
              <w:jc w:val="both"/>
              <w:rPr>
                <w:rFonts w:ascii="Calibri" w:hAnsi="Calibri" w:cs="Arial"/>
                <w:i/>
                <w:color w:val="548dd4"/>
                <w:sz w:val="20"/>
                <w:szCs w:val="20"/>
                <w:lang w:eastAsia="es-CL"/>
              </w:rPr>
            </w:pPr>
            <w:r>
              <w:rPr>
                <w:b w:val="0"/>
              </w:rPr>
              <w:t xml:space="preserve">1. Repositorio del proyecto con historial e integración continua. Contiene el código de los servicios construidos hasta la fecha y de la aplicación web, con la rama principal protegida y un pipeline que ejecuta la compilación, la suite de </w:t>
            </w:r>
            <w:r>
              <w:rPr>
                <w:b w:val="0"/>
              </w:rPr>
              <w:t xml:space="preserve">pruebas y un escaneo de secretos ante cada cambio propuesto, bloqueando la integración si alguno falla. Da cuenta del trabajo real y de su distribución en el tiempo y entre integrantes: el historial es la única evidencia que no se puede construir al final.</w:t>
            </w:r>
            <w:r>
              <w:rPr>
                <w:rFonts w:ascii="Calibri" w:hAnsi="Calibri" w:cs="Arial"/>
                <w:i/>
                <w:color w:val="548dd4"/>
                <w:sz w:val="20"/>
                <w:szCs w:val="20"/>
                <w:lang w:eastAsia="es-CL"/>
              </w:rPr>
            </w:r>
          </w:p>
          <w:p w14:paraId="2C28AC8B" w14:textId="7676AFBF">
            <w:pPr>
              <w:pBdr/>
              <w:spacing/>
              <w:ind/>
              <w:jc w:val="both"/>
              <w:rPr>
                <w:rFonts w:ascii="Calibri" w:hAnsi="Calibri" w:cs="Arial"/>
                <w:i/>
                <w:color w:val="548dd4"/>
                <w:sz w:val="20"/>
                <w:szCs w:val="20"/>
                <w:lang w:eastAsia="es-CL"/>
              </w:rPr>
            </w:pPr>
            <w:r>
              <w:rPr>
                <w:b w:val="0"/>
              </w:rPr>
              <w:t xml:space="preserve">2. Incremento funcional desplegable en entorno local, versión v0.2.0. El sistema se levanta completo con un solo comando desde un repositorio recién clonado, y el catálogo es navegable desde el navegado</w:t>
            </w:r>
            <w:r>
              <w:rPr>
                <w:b w:val="0"/>
              </w:rPr>
              <w:t xml:space="preserve">r sin registro previo, con filtros y búsqueda operativos. Demuestra que la arquitectura elegida funciona de extremo a extremo en la cuarta parte del proyecto, y no solo en el diagrama: es lo que permite corregir el rumbo mientras queda tiempo para hacerlo.</w:t>
            </w:r>
            <w:r>
              <w:rPr>
                <w:rFonts w:ascii="Calibri" w:hAnsi="Calibri" w:cs="Arial"/>
                <w:i/>
                <w:color w:val="548dd4"/>
                <w:sz w:val="20"/>
                <w:szCs w:val="20"/>
                <w:lang w:eastAsia="es-CL"/>
              </w:rPr>
            </w:r>
          </w:p>
          <w:p w14:paraId="2C28AC8B" w14:textId="7676AFBF">
            <w:pPr>
              <w:pBdr/>
              <w:spacing/>
              <w:ind/>
              <w:jc w:val="both"/>
              <w:rPr>
                <w:rFonts w:ascii="Calibri" w:hAnsi="Calibri" w:cs="Arial"/>
                <w:i/>
                <w:color w:val="548dd4"/>
                <w:sz w:val="20"/>
                <w:szCs w:val="20"/>
                <w:lang w:eastAsia="es-CL"/>
              </w:rPr>
            </w:pPr>
            <w:r>
              <w:rPr>
                <w:b w:val="0"/>
              </w:rPr>
              <w:t xml:space="preserve">3. Documentación de gestión del periodo. Product Backlog priorizado con criterios de aceptación por historia, planificación y backlog </w:t>
            </w:r>
            <w:r>
              <w:rPr>
                <w:b w:val="0"/>
              </w:rPr>
              <w:t xml:space="preserve">de los Sprints 1 a 3, gráfico de avance del trabajo pendiente, actas de reunión diaria, de revisión y de retrospectiva, y registro de impedimentos con cinco entradas. Evidencia que el marco de trabajo declarado se aplicó efectivamente y no solo se enunció.</w:t>
            </w:r>
            <w:r>
              <w:rPr>
                <w:rFonts w:ascii="Calibri" w:hAnsi="Calibri" w:cs="Arial"/>
                <w:i/>
                <w:color w:val="548dd4"/>
                <w:sz w:val="20"/>
                <w:szCs w:val="20"/>
                <w:lang w:eastAsia="es-CL"/>
              </w:rPr>
            </w:r>
          </w:p>
          <w:p w14:paraId="2C28AC8B" w14:textId="7676AFBF">
            <w:pPr>
              <w:pBdr/>
              <w:spacing/>
              <w:ind/>
              <w:jc w:val="both"/>
              <w:rPr>
                <w:rFonts w:ascii="Calibri" w:hAnsi="Calibri" w:cs="Arial"/>
                <w:i/>
                <w:color w:val="548dd4"/>
                <w:sz w:val="20"/>
                <w:szCs w:val="20"/>
                <w:lang w:eastAsia="es-CL"/>
              </w:rPr>
            </w:pPr>
            <w:r>
              <w:rPr>
                <w:b w:val="0"/>
              </w:rPr>
              <w:t xml:space="preserve">R</w:t>
            </w:r>
            <w:r>
              <w:rPr>
                <w:b w:val="0"/>
              </w:rPr>
              <w:t xml:space="preserve">esguardo de la calidad. La calidad se resguarda con tres mecanismos propios de la disciplina, verificables sobre las evidencias anteriores. El primero es una Definición de Terminado transversal, que fija qué condiciones debe cumplir un trabajo para conside</w:t>
            </w:r>
            <w:r>
              <w:rPr>
                <w:b w:val="0"/>
              </w:rPr>
              <w:t xml:space="preserve">rarse hecho, con criterios obligatorios que bloquean la integración y criterios que se comprueban en la revisión entre pares. El segundo es la verificación automatizada en el pipeline: compilación, pruebas unitarias con dobles de prueba, pruebas de integra</w:t>
            </w:r>
            <w:r>
              <w:rPr>
                <w:b w:val="0"/>
              </w:rPr>
              <w:t xml:space="preserve">ción sobre contenedores reales, cobertura por sobre el umbral definido en la capa de servicios y escaneo de secretos; su resultado bloquea la integración, de modo que el criterio no depende de la disciplina de nadie. El tercero es la verificación manual de</w:t>
            </w:r>
            <w:r>
              <w:rPr>
                <w:b w:val="0"/>
              </w:rPr>
              <w:t xml:space="preserve"> lo que no admite automatización razonable en este alcance: comportamiento responsivo en distintos anchos de pantalla, degradación de la interfaz apagando deliberadamente un servicio, y cierre efectivo de puertos mediante escaneo desde una máquina externa.</w:t>
            </w:r>
            <w:r>
              <w:rPr>
                <w:rFonts w:ascii="Calibri" w:hAnsi="Calibri" w:cs="Arial"/>
                <w:i/>
                <w:color w:val="548dd4"/>
                <w:sz w:val="20"/>
                <w:szCs w:val="20"/>
                <w:lang w:eastAsia="es-CL"/>
              </w:rPr>
            </w:r>
          </w:p>
          <w:p w14:paraId="2C28AC8B" w14:textId="7676AFBF">
            <w:pPr>
              <w:pBdr/>
              <w:spacing/>
              <w:ind/>
              <w:jc w:val="both"/>
              <w:rPr>
                <w:rFonts w:ascii="Calibri" w:hAnsi="Calibri" w:cs="Arial"/>
                <w:i/>
                <w:color w:val="548dd4"/>
                <w:sz w:val="20"/>
                <w:szCs w:val="20"/>
                <w:lang w:eastAsia="es-CL"/>
              </w:rPr>
            </w:pPr>
            <w:r>
              <w:rPr>
                <w:b w:val="0"/>
              </w:rPr>
              <w:t xml:space="preserve">Una observación sobre cómo evoluciona este resguardo. Durante el Sprint 1, al probar la degradación controlada, se detectó que el cortocircuito se abría con llamadas que respondían correctamente: </w:t>
            </w:r>
            <w:r>
              <w:rPr>
                <w:b w:val="0"/>
              </w:rPr>
              <w:t xml:space="preserve">el límite de tiempo por omisión de la biblioteca de resiliencia resultó ser de un segundo, por debajo de lo que tarda el servicio en una respuesta normal. El defecto no lo habría encontrado ningún criterio automatizado, porque el código compilaba y las pru</w:t>
            </w:r>
            <w:r>
              <w:rPr>
                <w:b w:val="0"/>
              </w:rPr>
              <w:t xml:space="preserve">ebas pasaban; lo encontró apagar un servicio de verdad. La lección que el equipo extrajo es que un valor por omisión de una biblioteca es un supuesto y no una configuración, y que debe quedar escrito de forma explícita aunque coincida con el valor deseado.</w:t>
            </w:r>
            <w:r>
              <w:rPr>
                <w:rFonts w:ascii="Calibri" w:hAnsi="Calibri" w:cs="Arial"/>
                <w:i/>
                <w:color w:val="548dd4"/>
                <w:sz w:val="20"/>
                <w:szCs w:val="20"/>
                <w:lang w:eastAsia="es-CL"/>
              </w:rPr>
            </w:r>
          </w:p>
        </w:tc>
      </w:tr>
    </w:tbl>
    <w:p w14:paraId="01EA4AF3">
      <w:pPr>
        <w:pBdr/>
        <w:shd w:val="nil"/>
        <w:spacing/>
        <w:ind/>
        <w:rPr>
          <w:rFonts w:cs="Calibri Light"/>
          <w:color w:val="595959" w:themeColor="text1" w:themeTint="A6"/>
          <w:sz w:val="24"/>
          <w:szCs w:val="24"/>
          <w:lang w:val="es-ES"/>
        </w:rPr>
      </w:pPr>
      <w:r>
        <w:rPr>
          <w:rFonts w:cs="Calibri Light"/>
          <w:color w:val="595959" w:themeColor="text1" w:themeTint="A6"/>
          <w:sz w:val="24"/>
          <w:szCs w:val="24"/>
          <w:lang w:val="es-ES"/>
        </w:rPr>
        <w:br w:type="page" w:clear="all"/>
      </w:r>
      <w:r>
        <w:rPr>
          <w:rFonts w:cs="Calibri Light"/>
          <w:color w:val="595959" w:themeColor="text1" w:themeTint="A6"/>
          <w:sz w:val="24"/>
          <w:szCs w:val="24"/>
          <w:lang w:val="es-ES"/>
        </w:rPr>
      </w:r>
      <w:r>
        <w:rPr>
          <w:rFonts w:cs="Calibri Light"/>
          <w:color w:val="595959" w:themeColor="text1" w:themeTint="A6"/>
          <w:sz w:val="24"/>
          <w:szCs w:val="24"/>
          <w:lang w:val="es-ES"/>
        </w:rPr>
      </w:r>
    </w:p>
    <w:p w14:paraId="5DABEEF6" w14:textId="59A60B1E">
      <w:pPr>
        <w:pBdr/>
        <w:spacing w:after="0" w:line="240" w:lineRule="auto"/>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tbl>
      <w:tblPr>
        <w:tblStyle w:val="777"/>
        <w:tblW w:w="964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Pr w:horzAnchor="page" w:tblpX="1125" w:vertAnchor="page" w:tblpY="1927" w:leftFromText="141" w:topFromText="0" w:rightFromText="141" w:bottomFromText="0"/>
        <w:tblLook w:val="04A0" w:firstRow="1" w:lastRow="0" w:firstColumn="1" w:lastColumn="0" w:noHBand="0" w:noVBand="1"/>
      </w:tblPr>
      <w:tblGrid>
        <w:gridCol w:w="9640"/>
      </w:tblGrid>
      <w:tr>
        <w:trPr>
          <w:trHeight w:val="440"/>
        </w:trPr>
        <w:tc>
          <w:tcPr>
            <w:tcBorders/>
            <w:tcW w:w="9640" w:type="dxa"/>
            <w:vAlign w:val="center"/>
          </w:tcPr>
          <w:p w14:paraId="26CA16E7" w14:textId="77777777">
            <w:pPr>
              <w:pBdr/>
              <w:spacing/>
              <w:ind/>
              <w:rPr>
                <w:b/>
                <w:color w:val="1f3864" w:themeColor="accent1" w:themeShade="80"/>
                <w:sz w:val="28"/>
                <w:szCs w:val="28"/>
              </w:rPr>
            </w:pPr>
            <w:r>
              <w:rPr>
                <w:b/>
                <w:color w:val="1f3864" w:themeColor="accent1" w:themeShade="80"/>
                <w:sz w:val="28"/>
                <w:szCs w:val="28"/>
              </w:rPr>
              <w:t xml:space="preserve">2</w:t>
            </w:r>
            <w:r>
              <w:rPr>
                <w:b/>
                <w:color w:val="1f3864" w:themeColor="accent1" w:themeShade="80"/>
                <w:sz w:val="28"/>
                <w:szCs w:val="28"/>
              </w:rPr>
              <w:t xml:space="preserve">. </w:t>
            </w:r>
            <w:r>
              <w:rPr>
                <w:b/>
                <w:color w:val="1f3864" w:themeColor="accent1" w:themeShade="80"/>
                <w:sz w:val="28"/>
                <w:szCs w:val="28"/>
              </w:rPr>
              <w:t xml:space="preserve">Monitoreo del Plan de Trabajo </w:t>
            </w:r>
            <w:r>
              <w:rPr>
                <w:b/>
                <w:color w:val="1f3864" w:themeColor="accent1" w:themeShade="80"/>
                <w:sz w:val="28"/>
                <w:szCs w:val="28"/>
              </w:rPr>
            </w:r>
          </w:p>
        </w:tc>
      </w:tr>
      <w:tr>
        <w:trPr>
          <w:trHeight w:val="800"/>
        </w:trPr>
        <w:tc>
          <w:tcPr>
            <w:shd w:val="clear" w:color="auto" w:fill="d9e2f3" w:themeFill="accent1" w:themeFillTint="33"/>
            <w:tcBorders/>
            <w:tcW w:w="9640" w:type="dxa"/>
            <w:vAlign w:val="center"/>
          </w:tcPr>
          <w:p w14:paraId="130D7DED" w14:textId="5701F8AA">
            <w:pPr>
              <w:pBdr/>
              <w:spacing/>
              <w:ind/>
              <w:jc w:val="both"/>
              <w:rPr>
                <w:rFonts w:ascii="Calibri" w:hAnsi="Calibri"/>
                <w:color w:val="1f3864" w:themeColor="accent1" w:themeShade="80"/>
              </w:rPr>
            </w:pPr>
            <w:r>
              <w:rPr>
                <w:rFonts w:ascii="Calibri" w:hAnsi="Calibri"/>
                <w:color w:val="1f3864" w:themeColor="accent1" w:themeShade="80"/>
              </w:rPr>
              <w:t xml:space="preserve">Examina cuidadosamente tu plan de trabajo, enfocándote especialmente en la columna de </w:t>
            </w:r>
            <w:r>
              <w:rPr>
                <w:rFonts w:ascii="Calibri" w:hAnsi="Calibri"/>
                <w:color w:val="1f3864" w:themeColor="accent1" w:themeShade="80"/>
              </w:rPr>
              <w:t xml:space="preserve">estado de avance </w:t>
            </w:r>
            <w:r>
              <w:rPr>
                <w:rFonts w:ascii="Calibri" w:hAnsi="Calibri"/>
                <w:color w:val="1f3864" w:themeColor="accent1" w:themeShade="80"/>
              </w:rPr>
              <w:t xml:space="preserve">y ajustes.</w:t>
            </w:r>
            <w:r>
              <w:rPr>
                <w:rFonts w:ascii="Calibri" w:hAnsi="Calibri"/>
                <w:color w:val="1f3864" w:themeColor="accent1" w:themeShade="80"/>
              </w:rPr>
            </w:r>
          </w:p>
        </w:tc>
      </w:tr>
    </w:tbl>
    <w:tbl>
      <w:tblPr>
        <w:tblStyle w:val="777"/>
        <w:tblW w:w="9776"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pPr w:horzAnchor="margin" w:tblpXSpec="center" w:vertAnchor="page" w:tblpY="3517" w:leftFromText="180" w:topFromText="0" w:rightFromText="180" w:bottomFromText="0"/>
        <w:tblLook w:val="04A0" w:firstRow="1" w:lastRow="0" w:firstColumn="1" w:lastColumn="0" w:noHBand="0" w:noVBand="1"/>
      </w:tblPr>
      <w:tblGrid>
        <w:gridCol w:w="1328"/>
        <w:gridCol w:w="1077"/>
        <w:gridCol w:w="1276"/>
        <w:gridCol w:w="1276"/>
        <w:gridCol w:w="1275"/>
        <w:gridCol w:w="1276"/>
        <w:gridCol w:w="1418"/>
        <w:gridCol w:w="850"/>
      </w:tblGrid>
      <w:tr>
        <w:trPr>
          <w:trHeight w:val="415"/>
        </w:trPr>
        <w:tc>
          <w:tcPr>
            <w:gridSpan w:val="8"/>
            <w:tcBorders/>
            <w:tcW w:w="9776" w:type="dxa"/>
            <w:vAlign w:val="center"/>
          </w:tcPr>
          <w:p w14:paraId="0EAB9185" w14:textId="77777777">
            <w:pPr>
              <w:pBdr/>
              <w:spacing/>
              <w:ind/>
              <w:jc w:val="center"/>
              <w:rPr>
                <w:rFonts w:ascii="Calibri" w:hAnsi="Calibri"/>
                <w:color w:val="1f3864" w:themeColor="accent1" w:themeShade="80"/>
                <w:sz w:val="18"/>
              </w:rPr>
            </w:pPr>
            <w:r>
              <w:rPr>
                <w:rFonts w:ascii="Calibri" w:hAnsi="Calibri"/>
                <w:color w:val="1f3864" w:themeColor="accent1" w:themeShade="80"/>
                <w:sz w:val="18"/>
              </w:rPr>
              <w:t xml:space="preserve">Plan de Trabajo</w:t>
            </w:r>
            <w:r>
              <w:rPr>
                <w:rFonts w:ascii="Calibri" w:hAnsi="Calibri"/>
                <w:color w:val="1f3864" w:themeColor="accent1" w:themeShade="80"/>
                <w:sz w:val="18"/>
              </w:rPr>
            </w:r>
          </w:p>
        </w:tc>
      </w:tr>
      <w:tr>
        <w:trPr>
          <w:trHeight w:val="711"/>
        </w:trPr>
        <w:tc>
          <w:tcPr>
            <w:tcBorders/>
            <w:tcW w:w="1328" w:type="dxa"/>
            <w:vAlign w:val="center"/>
          </w:tcPr>
          <w:p w14:paraId="29F5C735" w14:textId="77777777">
            <w:pPr>
              <w:pBdr/>
              <w:spacing/>
              <w:ind/>
              <w:jc w:val="center"/>
              <w:rPr>
                <w:rFonts w:ascii="Calibri" w:hAnsi="Calibri"/>
                <w:color w:val="1f3864" w:themeColor="accent1" w:themeShade="80"/>
                <w:sz w:val="18"/>
              </w:rPr>
            </w:pPr>
            <w:r>
              <w:rPr>
                <w:rFonts w:ascii="Calibri" w:hAnsi="Calibri"/>
                <w:color w:val="1f3864" w:themeColor="accent1" w:themeShade="80"/>
                <w:sz w:val="18"/>
              </w:rPr>
              <w:t xml:space="preserve">C</w:t>
            </w:r>
            <w:r>
              <w:rPr>
                <w:rFonts w:ascii="Calibri" w:hAnsi="Calibri"/>
                <w:color w:val="1f3864" w:themeColor="accent1" w:themeShade="80"/>
                <w:sz w:val="18"/>
              </w:rPr>
              <w:t xml:space="preserve">ompetencia</w:t>
            </w:r>
            <w:r>
              <w:rPr>
                <w:rFonts w:ascii="Calibri" w:hAnsi="Calibri"/>
                <w:color w:val="1f3864" w:themeColor="accent1" w:themeShade="80"/>
                <w:sz w:val="18"/>
              </w:rPr>
              <w:t xml:space="preserve"> o unidades de competencias</w:t>
            </w:r>
            <w:r>
              <w:rPr>
                <w:rFonts w:ascii="Calibri" w:hAnsi="Calibri"/>
                <w:color w:val="1f3864" w:themeColor="accent1" w:themeShade="80"/>
                <w:sz w:val="18"/>
              </w:rPr>
            </w:r>
          </w:p>
        </w:tc>
        <w:tc>
          <w:tcPr>
            <w:tcBorders/>
            <w:tcW w:w="1077" w:type="dxa"/>
            <w:vAlign w:val="center"/>
          </w:tcPr>
          <w:p w14:paraId="54E7FFFD" w14:textId="77777777">
            <w:pPr>
              <w:pBdr/>
              <w:spacing/>
              <w:ind/>
              <w:jc w:val="center"/>
              <w:rPr>
                <w:rFonts w:ascii="Calibri" w:hAnsi="Calibri"/>
                <w:color w:val="1f3864" w:themeColor="accent1" w:themeShade="80"/>
                <w:sz w:val="18"/>
              </w:rPr>
            </w:pPr>
            <w:r>
              <w:rPr>
                <w:rFonts w:ascii="Calibri" w:hAnsi="Calibri"/>
                <w:color w:val="1f3864" w:themeColor="accent1" w:themeShade="80"/>
                <w:sz w:val="18"/>
              </w:rPr>
              <w:t xml:space="preserve">Actividades</w:t>
            </w:r>
            <w:r>
              <w:rPr>
                <w:rFonts w:ascii="Calibri" w:hAnsi="Calibri"/>
                <w:color w:val="1f3864" w:themeColor="accent1" w:themeShade="80"/>
                <w:sz w:val="18"/>
              </w:rPr>
            </w:r>
          </w:p>
        </w:tc>
        <w:tc>
          <w:tcPr>
            <w:tcBorders/>
            <w:tcW w:w="1276" w:type="dxa"/>
            <w:vAlign w:val="center"/>
          </w:tcPr>
          <w:p w14:paraId="63546E8A" w14:textId="77777777">
            <w:pPr>
              <w:pBdr/>
              <w:spacing/>
              <w:ind/>
              <w:jc w:val="center"/>
              <w:rPr>
                <w:rFonts w:ascii="Calibri" w:hAnsi="Calibri"/>
                <w:color w:val="1f3864" w:themeColor="accent1" w:themeShade="80"/>
                <w:sz w:val="18"/>
              </w:rPr>
            </w:pPr>
            <w:r>
              <w:rPr>
                <w:rFonts w:ascii="Calibri" w:hAnsi="Calibri"/>
                <w:color w:val="1f3864" w:themeColor="accent1" w:themeShade="80"/>
                <w:sz w:val="18"/>
              </w:rPr>
              <w:t xml:space="preserve">Recursos</w:t>
            </w:r>
            <w:r>
              <w:rPr>
                <w:rFonts w:ascii="Calibri" w:hAnsi="Calibri"/>
                <w:color w:val="1f3864" w:themeColor="accent1" w:themeShade="80"/>
                <w:sz w:val="18"/>
              </w:rPr>
            </w:r>
          </w:p>
        </w:tc>
        <w:tc>
          <w:tcPr>
            <w:tcBorders/>
            <w:tcW w:w="1276" w:type="dxa"/>
            <w:vAlign w:val="center"/>
          </w:tcPr>
          <w:p w14:paraId="392197F9" w14:textId="77777777">
            <w:pPr>
              <w:pBdr/>
              <w:spacing/>
              <w:ind/>
              <w:jc w:val="center"/>
              <w:rPr>
                <w:rFonts w:ascii="Calibri" w:hAnsi="Calibri"/>
                <w:color w:val="1f3864" w:themeColor="accent1" w:themeShade="80"/>
                <w:sz w:val="18"/>
              </w:rPr>
            </w:pPr>
            <w:r>
              <w:rPr>
                <w:rFonts w:ascii="Calibri" w:hAnsi="Calibri"/>
                <w:color w:val="1f3864" w:themeColor="accent1" w:themeShade="80"/>
                <w:sz w:val="18"/>
              </w:rPr>
              <w:t xml:space="preserve">Duración de la actividad</w:t>
            </w:r>
            <w:r>
              <w:rPr>
                <w:rFonts w:ascii="Calibri" w:hAnsi="Calibri"/>
                <w:color w:val="1f3864" w:themeColor="accent1" w:themeShade="80"/>
                <w:sz w:val="18"/>
              </w:rPr>
            </w:r>
          </w:p>
        </w:tc>
        <w:tc>
          <w:tcPr>
            <w:tcBorders/>
            <w:tcW w:w="1275" w:type="dxa"/>
            <w:vAlign w:val="center"/>
          </w:tcPr>
          <w:p w14:paraId="58CFFE40" w14:textId="77777777">
            <w:pPr>
              <w:pBdr/>
              <w:spacing/>
              <w:ind/>
              <w:jc w:val="center"/>
              <w:rPr>
                <w:rFonts w:ascii="Calibri" w:hAnsi="Calibri"/>
                <w:color w:val="1f3864" w:themeColor="accent1" w:themeShade="80"/>
                <w:sz w:val="18"/>
              </w:rPr>
            </w:pPr>
            <w:r>
              <w:rPr>
                <w:rFonts w:ascii="Calibri" w:hAnsi="Calibri"/>
                <w:color w:val="1f3864" w:themeColor="accent1" w:themeShade="80"/>
                <w:sz w:val="18"/>
              </w:rPr>
              <w:t xml:space="preserve">Responsable</w:t>
            </w:r>
            <w:r>
              <w:rPr>
                <w:rStyle w:val="782"/>
                <w:rFonts w:ascii="Calibri" w:hAnsi="Calibri"/>
                <w:color w:val="1f3864" w:themeColor="accent1" w:themeShade="80"/>
                <w:sz w:val="18"/>
              </w:rPr>
              <w:footnoteReference w:id="2"/>
            </w:r>
            <w:r>
              <w:rPr>
                <w:rFonts w:ascii="Calibri" w:hAnsi="Calibri"/>
                <w:color w:val="1f3864" w:themeColor="accent1" w:themeShade="80"/>
                <w:sz w:val="18"/>
              </w:rPr>
            </w:r>
          </w:p>
        </w:tc>
        <w:tc>
          <w:tcPr>
            <w:tcBorders/>
            <w:tcW w:w="1276" w:type="dxa"/>
            <w:vAlign w:val="center"/>
          </w:tcPr>
          <w:p w14:paraId="3E59D270" w14:textId="77777777">
            <w:pPr>
              <w:pBdr/>
              <w:spacing/>
              <w:ind/>
              <w:jc w:val="center"/>
              <w:rPr>
                <w:rFonts w:ascii="Calibri" w:hAnsi="Calibri"/>
                <w:color w:val="1f3864" w:themeColor="accent1" w:themeShade="80"/>
                <w:sz w:val="18"/>
              </w:rPr>
            </w:pPr>
            <w:r>
              <w:rPr>
                <w:rFonts w:ascii="Calibri" w:hAnsi="Calibri"/>
                <w:color w:val="1f3864" w:themeColor="accent1" w:themeShade="80"/>
                <w:sz w:val="18"/>
              </w:rPr>
              <w:t xml:space="preserve">Observaciones</w:t>
            </w:r>
            <w:r>
              <w:rPr>
                <w:rFonts w:ascii="Calibri" w:hAnsi="Calibri"/>
                <w:color w:val="1f3864" w:themeColor="accent1" w:themeShade="80"/>
                <w:sz w:val="18"/>
              </w:rPr>
            </w:r>
          </w:p>
        </w:tc>
        <w:tc>
          <w:tcPr>
            <w:tcBorders/>
            <w:tcW w:w="1418" w:type="dxa"/>
            <w:vAlign w:val="center"/>
          </w:tcPr>
          <w:p w14:paraId="16EAEFD4" w14:textId="77777777">
            <w:pPr>
              <w:pBdr/>
              <w:spacing/>
              <w:ind/>
              <w:jc w:val="center"/>
              <w:rPr>
                <w:rFonts w:ascii="Calibri" w:hAnsi="Calibri"/>
                <w:color w:val="1f3864" w:themeColor="accent1" w:themeShade="80"/>
                <w:sz w:val="18"/>
              </w:rPr>
            </w:pPr>
            <w:r>
              <w:rPr>
                <w:rFonts w:ascii="Calibri" w:hAnsi="Calibri"/>
                <w:color w:val="1f3864" w:themeColor="accent1" w:themeShade="80"/>
                <w:sz w:val="18"/>
              </w:rPr>
              <w:t xml:space="preserve">Estado de avance</w:t>
            </w:r>
            <w:r>
              <w:rPr>
                <w:rFonts w:ascii="Calibri" w:hAnsi="Calibri"/>
                <w:color w:val="1f3864" w:themeColor="accent1" w:themeShade="80"/>
                <w:sz w:val="18"/>
              </w:rPr>
            </w:r>
          </w:p>
        </w:tc>
        <w:tc>
          <w:tcPr>
            <w:tcBorders/>
            <w:tcW w:w="850" w:type="dxa"/>
            <w:vAlign w:val="center"/>
          </w:tcPr>
          <w:p w14:paraId="4DFF4306" w14:textId="77777777">
            <w:pPr>
              <w:pBdr/>
              <w:spacing/>
              <w:ind/>
              <w:jc w:val="center"/>
              <w:rPr>
                <w:rFonts w:ascii="Calibri" w:hAnsi="Calibri"/>
                <w:color w:val="1f3864" w:themeColor="accent1" w:themeShade="80"/>
                <w:sz w:val="18"/>
              </w:rPr>
            </w:pPr>
            <w:r>
              <w:rPr>
                <w:rFonts w:ascii="Calibri" w:hAnsi="Calibri"/>
                <w:color w:val="1f3864" w:themeColor="accent1" w:themeShade="80"/>
                <w:sz w:val="18"/>
              </w:rPr>
              <w:t xml:space="preserve">A</w:t>
            </w:r>
            <w:r>
              <w:rPr>
                <w:rFonts w:ascii="Calibri" w:hAnsi="Calibri"/>
                <w:color w:val="1f3864" w:themeColor="accent1" w:themeShade="80"/>
                <w:sz w:val="18"/>
              </w:rPr>
              <w:t xml:space="preserve">justes</w:t>
            </w:r>
            <w:r>
              <w:rPr>
                <w:rFonts w:ascii="Calibri" w:hAnsi="Calibri"/>
                <w:color w:val="1f3864" w:themeColor="accent1" w:themeShade="80"/>
                <w:sz w:val="18"/>
              </w:rPr>
            </w:r>
          </w:p>
        </w:tc>
      </w:tr>
      <w:tr>
        <w:trPr>
          <w:trHeight w:val="2410"/>
        </w:trPr>
        <w:tc>
          <w:tcPr>
            <w:tcBorders/>
            <w:tcW w:w="1328" w:type="dxa"/>
          </w:tcPr>
          <w:p w14:paraId="29F01B29" w14:textId="77777777">
            <w:pPr>
              <w:pBdr/>
              <w:spacing/>
              <w:ind/>
              <w:jc w:val="both"/>
              <w:rPr>
                <w:b/>
                <w:sz w:val="18"/>
                <w:szCs w:val="24"/>
              </w:rPr>
            </w:pPr>
            <w:r>
              <w:rPr>
                <w:b w:val="0"/>
                <w:sz w:val="15"/>
              </w:rPr>
              <w:t xml:space="preserve">C1, C5</w:t>
            </w:r>
            <w:r>
              <w:rPr>
                <w:b/>
                <w:sz w:val="18"/>
                <w:szCs w:val="24"/>
              </w:rPr>
            </w:r>
          </w:p>
        </w:tc>
        <w:tc>
          <w:tcPr>
            <w:tcBorders/>
            <w:tcW w:w="1077" w:type="dxa"/>
          </w:tcPr>
          <w:p w14:paraId="7B4EBE25" w14:textId="77777777">
            <w:pPr>
              <w:pBdr/>
              <w:spacing/>
              <w:ind/>
              <w:jc w:val="both"/>
              <w:rPr>
                <w:rFonts w:ascii="Calibri" w:hAnsi="Calibri" w:cs="Arial"/>
                <w:i/>
                <w:color w:val="548dd4"/>
                <w:sz w:val="18"/>
                <w:szCs w:val="20"/>
                <w:lang w:eastAsia="es-CL"/>
              </w:rPr>
            </w:pPr>
            <w:r>
              <w:rPr>
                <w:b w:val="0"/>
                <w:sz w:val="15"/>
              </w:rPr>
              <w:t xml:space="preserve">Definición del proyecto</w:t>
            </w:r>
            <w:r>
              <w:rPr>
                <w:rFonts w:ascii="Calibri" w:hAnsi="Calibri" w:cs="Arial"/>
                <w:i/>
                <w:color w:val="548dd4"/>
                <w:sz w:val="18"/>
                <w:szCs w:val="20"/>
                <w:lang w:eastAsia="es-CL"/>
              </w:rPr>
            </w:r>
          </w:p>
        </w:tc>
        <w:tc>
          <w:tcPr>
            <w:tcBorders/>
            <w:tcW w:w="1276" w:type="dxa"/>
          </w:tcPr>
          <w:p w14:paraId="16E191DF" w14:textId="77777777">
            <w:pPr>
              <w:pBdr/>
              <w:spacing/>
              <w:ind/>
              <w:jc w:val="both"/>
              <w:rPr>
                <w:b/>
                <w:sz w:val="18"/>
                <w:szCs w:val="24"/>
              </w:rPr>
            </w:pPr>
            <w:r>
              <w:rPr>
                <w:b w:val="0"/>
                <w:sz w:val="15"/>
              </w:rPr>
              <w:t xml:space="preserve">Herramientas de modelado y documentación.</w:t>
            </w:r>
            <w:r>
              <w:rPr>
                <w:b/>
                <w:sz w:val="18"/>
                <w:szCs w:val="24"/>
              </w:rPr>
            </w:r>
          </w:p>
        </w:tc>
        <w:tc>
          <w:tcPr>
            <w:tcBorders/>
            <w:tcW w:w="1276" w:type="dxa"/>
          </w:tcPr>
          <w:p w14:paraId="66A5D860" w14:textId="77777777">
            <w:pPr>
              <w:pBdr/>
              <w:spacing/>
              <w:ind/>
              <w:jc w:val="both"/>
              <w:rPr>
                <w:b/>
                <w:sz w:val="18"/>
                <w:szCs w:val="24"/>
              </w:rPr>
            </w:pPr>
            <w:r>
              <w:rPr>
                <w:b w:val="0"/>
                <w:sz w:val="15"/>
              </w:rPr>
              <w:t xml:space="preserve">Semanas 1-2</w:t>
            </w:r>
            <w:r>
              <w:rPr>
                <w:b/>
                <w:sz w:val="18"/>
                <w:szCs w:val="24"/>
              </w:rPr>
            </w:r>
          </w:p>
        </w:tc>
        <w:tc>
          <w:tcPr>
            <w:tcBorders/>
            <w:tcW w:w="1275" w:type="dxa"/>
          </w:tcPr>
          <w:p w14:paraId="036AB5D8" w14:textId="77777777">
            <w:pPr>
              <w:pBdr/>
              <w:spacing/>
              <w:ind/>
              <w:jc w:val="both"/>
              <w:rPr>
                <w:rFonts w:ascii="Calibri" w:hAnsi="Calibri" w:cs="Arial"/>
                <w:i/>
                <w:color w:val="548dd4"/>
                <w:sz w:val="18"/>
                <w:szCs w:val="20"/>
                <w:lang w:eastAsia="es-CL"/>
              </w:rPr>
            </w:pPr>
            <w:r>
              <w:rPr>
                <w:b w:val="0"/>
                <w:sz w:val="15"/>
              </w:rPr>
              <w:t xml:space="preserve">Marco Hernández</w:t>
            </w:r>
            <w:r>
              <w:rPr>
                <w:rFonts w:ascii="Calibri" w:hAnsi="Calibri" w:cs="Arial"/>
                <w:i/>
                <w:color w:val="548dd4"/>
                <w:sz w:val="18"/>
                <w:szCs w:val="20"/>
                <w:lang w:eastAsia="es-CL"/>
              </w:rPr>
            </w:r>
          </w:p>
        </w:tc>
        <w:tc>
          <w:tcPr>
            <w:tcBorders/>
            <w:tcW w:w="1276" w:type="dxa"/>
          </w:tcPr>
          <w:p w14:paraId="2FCEC037" w14:textId="77777777">
            <w:pPr>
              <w:pBdr/>
              <w:spacing/>
              <w:ind/>
              <w:jc w:val="both"/>
              <w:rPr>
                <w:rFonts w:ascii="Calibri" w:hAnsi="Calibri" w:cs="Arial"/>
                <w:i/>
                <w:color w:val="548dd4"/>
                <w:sz w:val="18"/>
                <w:szCs w:val="20"/>
                <w:lang w:eastAsia="es-CL"/>
              </w:rPr>
            </w:pPr>
            <w:r>
              <w:rPr>
                <w:b w:val="0"/>
                <w:sz w:val="15"/>
              </w:rPr>
              <w:t xml:space="preserve">Facilitador: fijar el alcance antes de escribir código.</w:t>
            </w:r>
            <w:r>
              <w:rPr>
                <w:rFonts w:ascii="Calibri" w:hAnsi="Calibri" w:cs="Arial"/>
                <w:i/>
                <w:color w:val="548dd4"/>
                <w:sz w:val="18"/>
                <w:szCs w:val="20"/>
                <w:lang w:eastAsia="es-CL"/>
              </w:rPr>
            </w:r>
          </w:p>
        </w:tc>
        <w:tc>
          <w:tcPr>
            <w:tcBorders/>
            <w:tcW w:w="1418" w:type="dxa"/>
          </w:tcPr>
          <w:p w14:paraId="29B0BFEB" w14:textId="77777777">
            <w:pPr>
              <w:pBdr/>
              <w:spacing/>
              <w:ind/>
              <w:jc w:val="both"/>
              <w:rPr>
                <w:rFonts w:ascii="Calibri" w:hAnsi="Calibri" w:cs="Arial"/>
                <w:i/>
                <w:color w:val="548dd4"/>
                <w:sz w:val="18"/>
                <w:szCs w:val="20"/>
                <w:lang w:eastAsia="es-CL"/>
              </w:rPr>
            </w:pPr>
            <w:r>
              <w:rPr>
                <w:b w:val="0"/>
                <w:sz w:val="15"/>
              </w:rPr>
              <w:t xml:space="preserve">Completado</w:t>
            </w:r>
            <w:r>
              <w:rPr>
                <w:rFonts w:ascii="Calibri" w:hAnsi="Calibri" w:cs="Arial"/>
                <w:i/>
                <w:color w:val="548dd4"/>
                <w:sz w:val="18"/>
                <w:szCs w:val="20"/>
                <w:lang w:eastAsia="es-CL"/>
              </w:rPr>
            </w:r>
          </w:p>
        </w:tc>
        <w:tc>
          <w:tcPr>
            <w:tcBorders/>
            <w:tcW w:w="850" w:type="dxa"/>
          </w:tcPr>
          <w:p w14:paraId="7C6D6F31" w14:textId="77777777">
            <w:pPr>
              <w:pBdr/>
              <w:spacing/>
              <w:ind/>
              <w:jc w:val="both"/>
              <w:rPr>
                <w:rFonts w:ascii="Calibri" w:hAnsi="Calibri" w:cs="Arial"/>
                <w:i/>
                <w:color w:val="548dd4"/>
                <w:sz w:val="18"/>
                <w:szCs w:val="20"/>
                <w:lang w:eastAsia="es-CL"/>
              </w:rPr>
            </w:pPr>
            <w:r>
              <w:rPr>
                <w:b w:val="0"/>
                <w:sz w:val="15"/>
              </w:rPr>
              <w:t xml:space="preserve">Ninguno.</w:t>
            </w:r>
            <w:r>
              <w:rPr>
                <w:rFonts w:ascii="Calibri" w:hAnsi="Calibri" w:cs="Arial"/>
                <w:i/>
                <w:color w:val="548dd4"/>
                <w:sz w:val="18"/>
                <w:szCs w:val="20"/>
                <w:lang w:eastAsia="es-CL"/>
              </w:rPr>
            </w:r>
          </w:p>
        </w:tc>
      </w:tr>
      <w:tr>
        <w:trPr>
          <w:trHeight w:val="2410"/>
        </w:trPr>
        <w:tc>
          <w:tcPr>
            <w:tcBorders/>
            <w:tcW w:w="1328" w:type="dxa"/>
          </w:tcPr>
          <w:p w14:paraId="29F01B29" w14:textId="77777777">
            <w:pPr>
              <w:pBdr/>
              <w:spacing/>
              <w:ind/>
              <w:jc w:val="both"/>
              <w:rPr>
                <w:b/>
                <w:sz w:val="18"/>
                <w:szCs w:val="24"/>
              </w:rPr>
            </w:pPr>
            <w:r>
              <w:rPr>
                <w:b w:val="0"/>
                <w:sz w:val="15"/>
              </w:rPr>
              <w:t xml:space="preserve">C1, C3, C4</w:t>
            </w:r>
            <w:r>
              <w:rPr>
                <w:b/>
                <w:sz w:val="18"/>
                <w:szCs w:val="24"/>
              </w:rPr>
            </w:r>
          </w:p>
        </w:tc>
        <w:tc>
          <w:tcPr>
            <w:tcBorders/>
            <w:tcW w:w="1077" w:type="dxa"/>
          </w:tcPr>
          <w:p w14:paraId="7B4EBE25" w14:textId="77777777">
            <w:pPr>
              <w:pBdr/>
              <w:spacing/>
              <w:ind/>
              <w:jc w:val="both"/>
              <w:rPr>
                <w:rFonts w:ascii="Calibri" w:hAnsi="Calibri" w:cs="Arial"/>
                <w:i/>
                <w:color w:val="548dd4"/>
                <w:sz w:val="18"/>
                <w:szCs w:val="20"/>
                <w:lang w:eastAsia="es-CL"/>
              </w:rPr>
            </w:pPr>
            <w:r>
              <w:rPr>
                <w:b w:val="0"/>
                <w:sz w:val="15"/>
              </w:rPr>
              <w:t xml:space="preserve">Sprint 1 · Infraestructura y gateway</w:t>
            </w:r>
            <w:r>
              <w:rPr>
                <w:rFonts w:ascii="Calibri" w:hAnsi="Calibri" w:cs="Arial"/>
                <w:i/>
                <w:color w:val="548dd4"/>
                <w:sz w:val="18"/>
                <w:szCs w:val="20"/>
                <w:lang w:eastAsia="es-CL"/>
              </w:rPr>
            </w:r>
          </w:p>
        </w:tc>
        <w:tc>
          <w:tcPr>
            <w:tcBorders/>
            <w:tcW w:w="1276" w:type="dxa"/>
          </w:tcPr>
          <w:p w14:paraId="16E191DF" w14:textId="77777777">
            <w:pPr>
              <w:pBdr/>
              <w:spacing/>
              <w:ind/>
              <w:jc w:val="both"/>
              <w:rPr>
                <w:b/>
                <w:sz w:val="18"/>
                <w:szCs w:val="24"/>
              </w:rPr>
            </w:pPr>
            <w:r>
              <w:rPr>
                <w:b w:val="0"/>
                <w:sz w:val="15"/>
              </w:rPr>
              <w:t xml:space="preserve">Docker Compose, PostgreSQL, Spring Boot, integración continua.</w:t>
            </w:r>
            <w:r>
              <w:rPr>
                <w:b/>
                <w:sz w:val="18"/>
                <w:szCs w:val="24"/>
              </w:rPr>
            </w:r>
          </w:p>
        </w:tc>
        <w:tc>
          <w:tcPr>
            <w:tcBorders/>
            <w:tcW w:w="1276" w:type="dxa"/>
          </w:tcPr>
          <w:p w14:paraId="66A5D860" w14:textId="77777777">
            <w:pPr>
              <w:pBdr/>
              <w:spacing/>
              <w:ind/>
              <w:jc w:val="both"/>
              <w:rPr>
                <w:b/>
                <w:sz w:val="18"/>
                <w:szCs w:val="24"/>
              </w:rPr>
            </w:pPr>
            <w:r>
              <w:rPr>
                <w:b w:val="0"/>
                <w:sz w:val="15"/>
              </w:rPr>
              <w:t xml:space="preserve">Semanas 2-4 · 42 HH</w:t>
            </w:r>
            <w:r>
              <w:rPr>
                <w:b/>
                <w:sz w:val="18"/>
                <w:szCs w:val="24"/>
              </w:rPr>
            </w:r>
          </w:p>
        </w:tc>
        <w:tc>
          <w:tcPr>
            <w:tcBorders/>
            <w:tcW w:w="1275" w:type="dxa"/>
          </w:tcPr>
          <w:p w14:paraId="036AB5D8" w14:textId="77777777">
            <w:pPr>
              <w:pBdr/>
              <w:spacing/>
              <w:ind/>
              <w:jc w:val="both"/>
              <w:rPr>
                <w:rFonts w:ascii="Calibri" w:hAnsi="Calibri" w:cs="Arial"/>
                <w:i/>
                <w:color w:val="548dd4"/>
                <w:sz w:val="18"/>
                <w:szCs w:val="20"/>
                <w:lang w:eastAsia="es-CL"/>
              </w:rPr>
            </w:pPr>
            <w:r>
              <w:rPr>
                <w:b w:val="0"/>
                <w:sz w:val="15"/>
              </w:rPr>
              <w:t xml:space="preserve">Marco Hernández y Elizabeth Alegría</w:t>
            </w:r>
            <w:r>
              <w:rPr>
                <w:rFonts w:ascii="Calibri" w:hAnsi="Calibri" w:cs="Arial"/>
                <w:i/>
                <w:color w:val="548dd4"/>
                <w:sz w:val="18"/>
                <w:szCs w:val="20"/>
                <w:lang w:eastAsia="es-CL"/>
              </w:rPr>
            </w:r>
          </w:p>
        </w:tc>
        <w:tc>
          <w:tcPr>
            <w:tcBorders/>
            <w:tcW w:w="1276" w:type="dxa"/>
          </w:tcPr>
          <w:p w14:paraId="2FCEC037" w14:textId="77777777">
            <w:pPr>
              <w:pBdr/>
              <w:spacing/>
              <w:ind/>
              <w:jc w:val="both"/>
              <w:rPr>
                <w:rFonts w:ascii="Calibri" w:hAnsi="Calibri" w:cs="Arial"/>
                <w:i/>
                <w:color w:val="548dd4"/>
                <w:sz w:val="18"/>
                <w:szCs w:val="20"/>
                <w:lang w:eastAsia="es-CL"/>
              </w:rPr>
            </w:pPr>
            <w:r>
              <w:rPr>
                <w:b w:val="0"/>
                <w:sz w:val="15"/>
              </w:rPr>
              <w:t xml:space="preserve">Dificultad: el límite de tiempo por omisión del cortocircuito cortaba llamadas sanas. Facilitador: resolver la infraestructura primero.</w:t>
            </w:r>
            <w:r>
              <w:rPr>
                <w:rFonts w:ascii="Calibri" w:hAnsi="Calibri" w:cs="Arial"/>
                <w:i/>
                <w:color w:val="548dd4"/>
                <w:sz w:val="18"/>
                <w:szCs w:val="20"/>
                <w:lang w:eastAsia="es-CL"/>
              </w:rPr>
            </w:r>
          </w:p>
        </w:tc>
        <w:tc>
          <w:tcPr>
            <w:tcBorders/>
            <w:tcW w:w="1418" w:type="dxa"/>
          </w:tcPr>
          <w:p w14:paraId="29B0BFEB" w14:textId="77777777">
            <w:pPr>
              <w:pBdr/>
              <w:spacing/>
              <w:ind/>
              <w:jc w:val="both"/>
              <w:rPr>
                <w:rFonts w:ascii="Calibri" w:hAnsi="Calibri" w:cs="Arial"/>
                <w:i/>
                <w:color w:val="548dd4"/>
                <w:sz w:val="18"/>
                <w:szCs w:val="20"/>
                <w:lang w:eastAsia="es-CL"/>
              </w:rPr>
            </w:pPr>
            <w:r>
              <w:rPr>
                <w:b w:val="0"/>
                <w:sz w:val="15"/>
              </w:rPr>
              <w:t xml:space="preserve">Completado (ajustada)</w:t>
            </w:r>
            <w:r>
              <w:rPr>
                <w:rFonts w:ascii="Calibri" w:hAnsi="Calibri" w:cs="Arial"/>
                <w:i/>
                <w:color w:val="548dd4"/>
                <w:sz w:val="18"/>
                <w:szCs w:val="20"/>
                <w:lang w:eastAsia="es-CL"/>
              </w:rPr>
            </w:r>
          </w:p>
        </w:tc>
        <w:tc>
          <w:tcPr>
            <w:tcBorders/>
            <w:tcW w:w="850" w:type="dxa"/>
          </w:tcPr>
          <w:p w14:paraId="7C6D6F31" w14:textId="77777777">
            <w:pPr>
              <w:pBdr/>
              <w:spacing/>
              <w:ind/>
              <w:jc w:val="both"/>
              <w:rPr>
                <w:rFonts w:ascii="Calibri" w:hAnsi="Calibri" w:cs="Arial"/>
                <w:i/>
                <w:color w:val="548dd4"/>
                <w:sz w:val="18"/>
                <w:szCs w:val="20"/>
                <w:lang w:eastAsia="es-CL"/>
              </w:rPr>
            </w:pPr>
            <w:r>
              <w:rPr>
                <w:b w:val="0"/>
                <w:sz w:val="15"/>
              </w:rPr>
              <w:t xml:space="preserve">Autenticación diferida al Sprint 7; interfaz del catálogo, al Sprint 2.</w:t>
            </w:r>
            <w:r>
              <w:rPr>
                <w:rFonts w:ascii="Calibri" w:hAnsi="Calibri" w:cs="Arial"/>
                <w:i/>
                <w:color w:val="548dd4"/>
                <w:sz w:val="18"/>
                <w:szCs w:val="20"/>
                <w:lang w:eastAsia="es-CL"/>
              </w:rPr>
            </w:r>
          </w:p>
        </w:tc>
      </w:tr>
      <w:tr>
        <w:trPr>
          <w:trHeight w:val="2410"/>
        </w:trPr>
        <w:tc>
          <w:tcPr>
            <w:tcBorders/>
            <w:tcW w:w="1328" w:type="dxa"/>
          </w:tcPr>
          <w:p w14:paraId="29F01B29" w14:textId="77777777">
            <w:pPr>
              <w:pBdr/>
              <w:spacing/>
              <w:ind/>
              <w:jc w:val="both"/>
              <w:rPr>
                <w:b/>
                <w:sz w:val="18"/>
                <w:szCs w:val="24"/>
              </w:rPr>
            </w:pPr>
            <w:r>
              <w:rPr>
                <w:b w:val="0"/>
                <w:sz w:val="15"/>
              </w:rPr>
              <w:t xml:space="preserve">C2</w:t>
            </w:r>
            <w:r>
              <w:rPr>
                <w:b/>
                <w:sz w:val="18"/>
                <w:szCs w:val="24"/>
              </w:rPr>
            </w:r>
          </w:p>
        </w:tc>
        <w:tc>
          <w:tcPr>
            <w:tcBorders/>
            <w:tcW w:w="1077" w:type="dxa"/>
          </w:tcPr>
          <w:p w14:paraId="7B4EBE25" w14:textId="77777777">
            <w:pPr>
              <w:pBdr/>
              <w:spacing/>
              <w:ind/>
              <w:jc w:val="both"/>
              <w:rPr>
                <w:rFonts w:ascii="Calibri" w:hAnsi="Calibri" w:cs="Arial"/>
                <w:i/>
                <w:color w:val="548dd4"/>
                <w:sz w:val="18"/>
                <w:szCs w:val="20"/>
                <w:lang w:eastAsia="es-CL"/>
              </w:rPr>
            </w:pPr>
            <w:r>
              <w:rPr>
                <w:b w:val="0"/>
                <w:sz w:val="15"/>
              </w:rPr>
              <w:t xml:space="preserve">Sprint 2 · Interfaz del catálogo</w:t>
            </w:r>
            <w:r>
              <w:rPr>
                <w:rFonts w:ascii="Calibri" w:hAnsi="Calibri" w:cs="Arial"/>
                <w:i/>
                <w:color w:val="548dd4"/>
                <w:sz w:val="18"/>
                <w:szCs w:val="20"/>
                <w:lang w:eastAsia="es-CL"/>
              </w:rPr>
            </w:r>
          </w:p>
        </w:tc>
        <w:tc>
          <w:tcPr>
            <w:tcBorders/>
            <w:tcW w:w="1276" w:type="dxa"/>
          </w:tcPr>
          <w:p w14:paraId="16E191DF" w14:textId="77777777">
            <w:pPr>
              <w:pBdr/>
              <w:spacing/>
              <w:ind/>
              <w:jc w:val="both"/>
              <w:rPr>
                <w:b/>
                <w:sz w:val="18"/>
                <w:szCs w:val="24"/>
              </w:rPr>
            </w:pPr>
            <w:r>
              <w:rPr>
                <w:b w:val="0"/>
                <w:sz w:val="15"/>
              </w:rPr>
              <w:t xml:space="preserve">React y Vite; diseño responsivo.</w:t>
            </w:r>
            <w:r>
              <w:rPr>
                <w:b/>
                <w:sz w:val="18"/>
                <w:szCs w:val="24"/>
              </w:rPr>
            </w:r>
          </w:p>
        </w:tc>
        <w:tc>
          <w:tcPr>
            <w:tcBorders/>
            <w:tcW w:w="1276" w:type="dxa"/>
          </w:tcPr>
          <w:p w14:paraId="66A5D860" w14:textId="77777777">
            <w:pPr>
              <w:pBdr/>
              <w:spacing/>
              <w:ind/>
              <w:jc w:val="both"/>
              <w:rPr>
                <w:b/>
                <w:sz w:val="18"/>
                <w:szCs w:val="24"/>
              </w:rPr>
            </w:pPr>
            <w:r>
              <w:rPr>
                <w:b w:val="0"/>
                <w:sz w:val="15"/>
              </w:rPr>
              <w:t xml:space="preserve">Semanas 4-6 · 10 HH</w:t>
            </w:r>
            <w:r>
              <w:rPr>
                <w:b/>
                <w:sz w:val="18"/>
                <w:szCs w:val="24"/>
              </w:rPr>
            </w:r>
          </w:p>
        </w:tc>
        <w:tc>
          <w:tcPr>
            <w:tcBorders/>
            <w:tcW w:w="1275" w:type="dxa"/>
          </w:tcPr>
          <w:p w14:paraId="036AB5D8" w14:textId="77777777">
            <w:pPr>
              <w:pBdr/>
              <w:spacing/>
              <w:ind/>
              <w:jc w:val="both"/>
              <w:rPr>
                <w:rFonts w:ascii="Calibri" w:hAnsi="Calibri" w:cs="Arial"/>
                <w:i/>
                <w:color w:val="548dd4"/>
                <w:sz w:val="18"/>
                <w:szCs w:val="20"/>
                <w:lang w:eastAsia="es-CL"/>
              </w:rPr>
            </w:pPr>
            <w:r>
              <w:rPr>
                <w:b w:val="0"/>
                <w:sz w:val="15"/>
              </w:rPr>
              <w:t xml:space="preserve">Natalia Benítez</w:t>
            </w:r>
            <w:r>
              <w:rPr>
                <w:rFonts w:ascii="Calibri" w:hAnsi="Calibri" w:cs="Arial"/>
                <w:i/>
                <w:color w:val="548dd4"/>
                <w:sz w:val="18"/>
                <w:szCs w:val="20"/>
                <w:lang w:eastAsia="es-CL"/>
              </w:rPr>
            </w:r>
          </w:p>
        </w:tc>
        <w:tc>
          <w:tcPr>
            <w:tcBorders/>
            <w:tcW w:w="1276" w:type="dxa"/>
          </w:tcPr>
          <w:p w14:paraId="2FCEC037" w14:textId="77777777">
            <w:pPr>
              <w:pBdr/>
              <w:spacing/>
              <w:ind/>
              <w:jc w:val="both"/>
              <w:rPr>
                <w:rFonts w:ascii="Calibri" w:hAnsi="Calibri" w:cs="Arial"/>
                <w:i/>
                <w:color w:val="548dd4"/>
                <w:sz w:val="18"/>
                <w:szCs w:val="20"/>
                <w:lang w:eastAsia="es-CL"/>
              </w:rPr>
            </w:pPr>
            <w:r>
              <w:rPr>
                <w:b w:val="0"/>
                <w:sz w:val="15"/>
              </w:rPr>
              <w:t xml:space="preserve">Dificultad: una sola historia pequeña dejó a dos integrantes sin trabajo asignado.</w:t>
            </w:r>
            <w:r>
              <w:rPr>
                <w:rFonts w:ascii="Calibri" w:hAnsi="Calibri" w:cs="Arial"/>
                <w:i/>
                <w:color w:val="548dd4"/>
                <w:sz w:val="18"/>
                <w:szCs w:val="20"/>
                <w:lang w:eastAsia="es-CL"/>
              </w:rPr>
            </w:r>
          </w:p>
        </w:tc>
        <w:tc>
          <w:tcPr>
            <w:tcBorders/>
            <w:tcW w:w="1418" w:type="dxa"/>
          </w:tcPr>
          <w:p w14:paraId="29B0BFEB" w14:textId="77777777">
            <w:pPr>
              <w:pBdr/>
              <w:spacing/>
              <w:ind/>
              <w:jc w:val="both"/>
              <w:rPr>
                <w:rFonts w:ascii="Calibri" w:hAnsi="Calibri" w:cs="Arial"/>
                <w:i/>
                <w:color w:val="548dd4"/>
                <w:sz w:val="18"/>
                <w:szCs w:val="20"/>
                <w:lang w:eastAsia="es-CL"/>
              </w:rPr>
            </w:pPr>
            <w:r>
              <w:rPr>
                <w:b w:val="0"/>
                <w:sz w:val="15"/>
              </w:rPr>
              <w:t xml:space="preserve">Completado</w:t>
            </w:r>
            <w:r>
              <w:rPr>
                <w:rFonts w:ascii="Calibri" w:hAnsi="Calibri" w:cs="Arial"/>
                <w:i/>
                <w:color w:val="548dd4"/>
                <w:sz w:val="18"/>
                <w:szCs w:val="20"/>
                <w:lang w:eastAsia="es-CL"/>
              </w:rPr>
            </w:r>
          </w:p>
        </w:tc>
        <w:tc>
          <w:tcPr>
            <w:tcBorders/>
            <w:tcW w:w="850" w:type="dxa"/>
          </w:tcPr>
          <w:p w14:paraId="7C6D6F31" w14:textId="77777777">
            <w:pPr>
              <w:pBdr/>
              <w:spacing/>
              <w:ind/>
              <w:jc w:val="both"/>
              <w:rPr>
                <w:rFonts w:ascii="Calibri" w:hAnsi="Calibri" w:cs="Arial"/>
                <w:i/>
                <w:color w:val="548dd4"/>
                <w:sz w:val="18"/>
                <w:szCs w:val="20"/>
                <w:lang w:eastAsia="es-CL"/>
              </w:rPr>
            </w:pPr>
            <w:r>
              <w:rPr>
                <w:b w:val="0"/>
                <w:sz w:val="15"/>
              </w:rPr>
              <w:t xml:space="preserve">Recibe la interfaz arrastrada del Sprint 1.</w:t>
            </w:r>
            <w:r>
              <w:rPr>
                <w:rFonts w:ascii="Calibri" w:hAnsi="Calibri" w:cs="Arial"/>
                <w:i/>
                <w:color w:val="548dd4"/>
                <w:sz w:val="18"/>
                <w:szCs w:val="20"/>
                <w:lang w:eastAsia="es-CL"/>
              </w:rPr>
            </w:r>
          </w:p>
        </w:tc>
      </w:tr>
      <w:tr>
        <w:trPr>
          <w:trHeight w:val="2410"/>
        </w:trPr>
        <w:tc>
          <w:tcPr>
            <w:tcBorders/>
            <w:tcW w:w="1328" w:type="dxa"/>
          </w:tcPr>
          <w:p w14:paraId="29F01B29" w14:textId="77777777">
            <w:pPr>
              <w:pBdr/>
              <w:spacing/>
              <w:ind/>
              <w:jc w:val="both"/>
              <w:rPr>
                <w:b/>
                <w:sz w:val="18"/>
                <w:szCs w:val="24"/>
              </w:rPr>
            </w:pPr>
            <w:r>
              <w:rPr>
                <w:b w:val="0"/>
                <w:sz w:val="15"/>
              </w:rPr>
              <w:t xml:space="preserve">C2, C4, C6</w:t>
            </w:r>
            <w:r>
              <w:rPr>
                <w:b/>
                <w:sz w:val="18"/>
                <w:szCs w:val="24"/>
              </w:rPr>
            </w:r>
          </w:p>
        </w:tc>
        <w:tc>
          <w:tcPr>
            <w:tcBorders/>
            <w:tcW w:w="1077" w:type="dxa"/>
          </w:tcPr>
          <w:p w14:paraId="7B4EBE25" w14:textId="77777777">
            <w:pPr>
              <w:pBdr/>
              <w:spacing/>
              <w:ind/>
              <w:jc w:val="both"/>
              <w:rPr>
                <w:rFonts w:ascii="Calibri" w:hAnsi="Calibri" w:cs="Arial"/>
                <w:i/>
                <w:color w:val="548dd4"/>
                <w:sz w:val="18"/>
                <w:szCs w:val="20"/>
                <w:lang w:eastAsia="es-CL"/>
              </w:rPr>
            </w:pPr>
            <w:r>
              <w:rPr>
                <w:b w:val="0"/>
                <w:sz w:val="15"/>
              </w:rPr>
              <w:t xml:space="preserve">Sprint 3 · Reproducción de episodios</w:t>
            </w:r>
            <w:r>
              <w:rPr>
                <w:rFonts w:ascii="Calibri" w:hAnsi="Calibri" w:cs="Arial"/>
                <w:i/>
                <w:color w:val="548dd4"/>
                <w:sz w:val="18"/>
                <w:szCs w:val="20"/>
                <w:lang w:eastAsia="es-CL"/>
              </w:rPr>
            </w:r>
          </w:p>
        </w:tc>
        <w:tc>
          <w:tcPr>
            <w:tcBorders/>
            <w:tcW w:w="1276" w:type="dxa"/>
          </w:tcPr>
          <w:p w14:paraId="16E191DF" w14:textId="77777777">
            <w:pPr>
              <w:pBdr/>
              <w:spacing/>
              <w:ind/>
              <w:jc w:val="both"/>
              <w:rPr>
                <w:b/>
                <w:sz w:val="18"/>
                <w:szCs w:val="24"/>
              </w:rPr>
            </w:pPr>
            <w:r>
              <w:rPr>
                <w:b w:val="0"/>
                <w:sz w:val="15"/>
              </w:rPr>
              <w:t xml:space="preserve">Almacenamiento de objetos y red de distribución; reproductor.</w:t>
            </w:r>
            <w:r>
              <w:rPr>
                <w:b/>
                <w:sz w:val="18"/>
                <w:szCs w:val="24"/>
              </w:rPr>
            </w:r>
          </w:p>
        </w:tc>
        <w:tc>
          <w:tcPr>
            <w:tcBorders/>
            <w:tcW w:w="1276" w:type="dxa"/>
          </w:tcPr>
          <w:p w14:paraId="66A5D860" w14:textId="77777777">
            <w:pPr>
              <w:pBdr/>
              <w:spacing/>
              <w:ind/>
              <w:jc w:val="both"/>
              <w:rPr>
                <w:b/>
                <w:sz w:val="18"/>
                <w:szCs w:val="24"/>
              </w:rPr>
            </w:pPr>
            <w:r>
              <w:rPr>
                <w:b w:val="0"/>
                <w:sz w:val="15"/>
              </w:rPr>
              <w:t xml:space="preserve">Semanas 6-8 · 16 HH</w:t>
            </w:r>
            <w:r>
              <w:rPr>
                <w:b/>
                <w:sz w:val="18"/>
                <w:szCs w:val="24"/>
              </w:rPr>
            </w:r>
          </w:p>
        </w:tc>
        <w:tc>
          <w:tcPr>
            <w:tcBorders/>
            <w:tcW w:w="1275" w:type="dxa"/>
          </w:tcPr>
          <w:p w14:paraId="036AB5D8" w14:textId="77777777">
            <w:pPr>
              <w:pBdr/>
              <w:spacing/>
              <w:ind/>
              <w:jc w:val="both"/>
              <w:rPr>
                <w:rFonts w:ascii="Calibri" w:hAnsi="Calibri" w:cs="Arial"/>
                <w:i/>
                <w:color w:val="548dd4"/>
                <w:sz w:val="18"/>
                <w:szCs w:val="20"/>
                <w:lang w:eastAsia="es-CL"/>
              </w:rPr>
            </w:pPr>
            <w:r>
              <w:rPr>
                <w:b w:val="0"/>
                <w:sz w:val="15"/>
              </w:rPr>
              <w:t xml:space="preserve">Elizabeth Alegría y Natalia Benítez</w:t>
            </w:r>
            <w:r>
              <w:rPr>
                <w:rFonts w:ascii="Calibri" w:hAnsi="Calibri" w:cs="Arial"/>
                <w:i/>
                <w:color w:val="548dd4"/>
                <w:sz w:val="18"/>
                <w:szCs w:val="20"/>
                <w:lang w:eastAsia="es-CL"/>
              </w:rPr>
            </w:r>
          </w:p>
        </w:tc>
        <w:tc>
          <w:tcPr>
            <w:tcBorders/>
            <w:tcW w:w="1276" w:type="dxa"/>
          </w:tcPr>
          <w:p w14:paraId="2FCEC037" w14:textId="77777777">
            <w:pPr>
              <w:pBdr/>
              <w:spacing/>
              <w:ind/>
              <w:jc w:val="both"/>
              <w:rPr>
                <w:rFonts w:ascii="Calibri" w:hAnsi="Calibri" w:cs="Arial"/>
                <w:i/>
                <w:color w:val="548dd4"/>
                <w:sz w:val="18"/>
                <w:szCs w:val="20"/>
                <w:lang w:eastAsia="es-CL"/>
              </w:rPr>
            </w:pPr>
            <w:r>
              <w:rPr>
                <w:b w:val="0"/>
                <w:sz w:val="15"/>
              </w:rPr>
              <w:t xml:space="preserve">Dificultad: la Ley 17.336 restringe el contenido de prueba; se resolvió registrando la licencia en el modelo. Un integrante queda sin tareas propias.</w:t>
            </w:r>
            <w:r>
              <w:rPr>
                <w:rFonts w:ascii="Calibri" w:hAnsi="Calibri" w:cs="Arial"/>
                <w:i/>
                <w:color w:val="548dd4"/>
                <w:sz w:val="18"/>
                <w:szCs w:val="20"/>
                <w:lang w:eastAsia="es-CL"/>
              </w:rPr>
            </w:r>
          </w:p>
        </w:tc>
        <w:tc>
          <w:tcPr>
            <w:tcBorders/>
            <w:tcW w:w="1418" w:type="dxa"/>
          </w:tcPr>
          <w:p w14:paraId="29B0BFEB" w14:textId="77777777">
            <w:pPr>
              <w:pBdr/>
              <w:spacing/>
              <w:ind/>
              <w:jc w:val="both"/>
              <w:rPr>
                <w:rFonts w:ascii="Calibri" w:hAnsi="Calibri" w:cs="Arial"/>
                <w:i/>
                <w:color w:val="548dd4"/>
                <w:sz w:val="18"/>
                <w:szCs w:val="20"/>
                <w:lang w:eastAsia="es-CL"/>
              </w:rPr>
            </w:pPr>
            <w:r>
              <w:rPr>
                <w:b w:val="0"/>
                <w:sz w:val="15"/>
              </w:rPr>
              <w:t xml:space="preserve">En curso (día 6 de 10)</w:t>
            </w:r>
            <w:r>
              <w:rPr>
                <w:rFonts w:ascii="Calibri" w:hAnsi="Calibri" w:cs="Arial"/>
                <w:i/>
                <w:color w:val="548dd4"/>
                <w:sz w:val="18"/>
                <w:szCs w:val="20"/>
                <w:lang w:eastAsia="es-CL"/>
              </w:rPr>
            </w:r>
          </w:p>
        </w:tc>
        <w:tc>
          <w:tcPr>
            <w:tcBorders/>
            <w:tcW w:w="850" w:type="dxa"/>
          </w:tcPr>
          <w:p w14:paraId="7C6D6F31" w14:textId="77777777">
            <w:pPr>
              <w:pBdr/>
              <w:spacing/>
              <w:ind/>
              <w:jc w:val="both"/>
              <w:rPr>
                <w:rFonts w:ascii="Calibri" w:hAnsi="Calibri" w:cs="Arial"/>
                <w:i/>
                <w:color w:val="548dd4"/>
                <w:sz w:val="18"/>
                <w:szCs w:val="20"/>
                <w:lang w:eastAsia="es-CL"/>
              </w:rPr>
            </w:pPr>
            <w:r>
              <w:rPr>
                <w:b w:val="0"/>
                <w:sz w:val="15"/>
              </w:rPr>
              <w:t xml:space="preserve">En evaluación: el registro del punto de reproducción depende de un microservicio que aún no existe. Se decidirá en la revisión del 24 de septiembre.</w:t>
            </w:r>
            <w:r>
              <w:rPr>
                <w:rFonts w:ascii="Calibri" w:hAnsi="Calibri" w:cs="Arial"/>
                <w:i/>
                <w:color w:val="548dd4"/>
                <w:sz w:val="18"/>
                <w:szCs w:val="20"/>
                <w:lang w:eastAsia="es-CL"/>
              </w:rPr>
            </w:r>
          </w:p>
        </w:tc>
      </w:tr>
      <w:tr>
        <w:trPr>
          <w:trHeight w:val="2410"/>
        </w:trPr>
        <w:tc>
          <w:tcPr>
            <w:tcBorders/>
            <w:tcW w:w="1328" w:type="dxa"/>
          </w:tcPr>
          <w:p w14:paraId="29F01B29" w14:textId="77777777">
            <w:pPr>
              <w:pBdr/>
              <w:spacing/>
              <w:ind/>
              <w:jc w:val="both"/>
              <w:rPr>
                <w:b/>
                <w:sz w:val="18"/>
                <w:szCs w:val="24"/>
              </w:rPr>
            </w:pPr>
            <w:r>
              <w:rPr>
                <w:b w:val="0"/>
                <w:sz w:val="15"/>
              </w:rPr>
              <w:t xml:space="preserve">C2</w:t>
            </w:r>
            <w:r>
              <w:rPr>
                <w:b/>
                <w:sz w:val="18"/>
                <w:szCs w:val="24"/>
              </w:rPr>
            </w:r>
          </w:p>
        </w:tc>
        <w:tc>
          <w:tcPr>
            <w:tcBorders/>
            <w:tcW w:w="1077" w:type="dxa"/>
          </w:tcPr>
          <w:p w14:paraId="7B4EBE25" w14:textId="77777777">
            <w:pPr>
              <w:pBdr/>
              <w:spacing/>
              <w:ind/>
              <w:jc w:val="both"/>
              <w:rPr>
                <w:rFonts w:ascii="Calibri" w:hAnsi="Calibri" w:cs="Arial"/>
                <w:i/>
                <w:color w:val="548dd4"/>
                <w:sz w:val="18"/>
                <w:szCs w:val="20"/>
                <w:lang w:eastAsia="es-CL"/>
              </w:rPr>
            </w:pPr>
            <w:r>
              <w:rPr>
                <w:b w:val="0"/>
                <w:sz w:val="15"/>
              </w:rPr>
              <w:t xml:space="preserve">Sprint 4 · Sincronización externa</w:t>
            </w:r>
            <w:r>
              <w:rPr>
                <w:rFonts w:ascii="Calibri" w:hAnsi="Calibri" w:cs="Arial"/>
                <w:i/>
                <w:color w:val="548dd4"/>
                <w:sz w:val="18"/>
                <w:szCs w:val="20"/>
                <w:lang w:eastAsia="es-CL"/>
              </w:rPr>
            </w:r>
          </w:p>
        </w:tc>
        <w:tc>
          <w:tcPr>
            <w:tcBorders/>
            <w:tcW w:w="1276" w:type="dxa"/>
          </w:tcPr>
          <w:p w14:paraId="16E191DF" w14:textId="77777777">
            <w:pPr>
              <w:pBdr/>
              <w:spacing/>
              <w:ind/>
              <w:jc w:val="both"/>
              <w:rPr>
                <w:b/>
                <w:sz w:val="18"/>
                <w:szCs w:val="24"/>
              </w:rPr>
            </w:pPr>
            <w:r>
              <w:rPr>
                <w:b w:val="0"/>
                <w:sz w:val="15"/>
              </w:rPr>
              <w:t xml:space="preserve">API pública de anime; biblioteca de resiliencia.</w:t>
            </w:r>
            <w:r>
              <w:rPr>
                <w:b/>
                <w:sz w:val="18"/>
                <w:szCs w:val="24"/>
              </w:rPr>
            </w:r>
          </w:p>
        </w:tc>
        <w:tc>
          <w:tcPr>
            <w:tcBorders/>
            <w:tcW w:w="1276" w:type="dxa"/>
          </w:tcPr>
          <w:p w14:paraId="66A5D860" w14:textId="77777777">
            <w:pPr>
              <w:pBdr/>
              <w:spacing/>
              <w:ind/>
              <w:jc w:val="both"/>
              <w:rPr>
                <w:b/>
                <w:sz w:val="18"/>
                <w:szCs w:val="24"/>
              </w:rPr>
            </w:pPr>
            <w:r>
              <w:rPr>
                <w:b w:val="0"/>
                <w:sz w:val="15"/>
              </w:rPr>
              <w:t xml:space="preserve">Semanas 8-10 · 16 HH</w:t>
            </w:r>
            <w:r>
              <w:rPr>
                <w:b/>
                <w:sz w:val="18"/>
                <w:szCs w:val="24"/>
              </w:rPr>
            </w:r>
          </w:p>
        </w:tc>
        <w:tc>
          <w:tcPr>
            <w:tcBorders/>
            <w:tcW w:w="1275" w:type="dxa"/>
          </w:tcPr>
          <w:p w14:paraId="036AB5D8" w14:textId="77777777">
            <w:pPr>
              <w:pBdr/>
              <w:spacing/>
              <w:ind/>
              <w:jc w:val="both"/>
              <w:rPr>
                <w:rFonts w:ascii="Calibri" w:hAnsi="Calibri" w:cs="Arial"/>
                <w:i/>
                <w:color w:val="548dd4"/>
                <w:sz w:val="18"/>
                <w:szCs w:val="20"/>
                <w:lang w:eastAsia="es-CL"/>
              </w:rPr>
            </w:pPr>
            <w:r>
              <w:rPr>
                <w:b w:val="0"/>
                <w:sz w:val="15"/>
              </w:rPr>
              <w:t xml:space="preserve">Elizabeth Alegría</w:t>
            </w:r>
            <w:r>
              <w:rPr>
                <w:rFonts w:ascii="Calibri" w:hAnsi="Calibri" w:cs="Arial"/>
                <w:i/>
                <w:color w:val="548dd4"/>
                <w:sz w:val="18"/>
                <w:szCs w:val="20"/>
                <w:lang w:eastAsia="es-CL"/>
              </w:rPr>
            </w:r>
          </w:p>
        </w:tc>
        <w:tc>
          <w:tcPr>
            <w:tcBorders/>
            <w:tcW w:w="1276" w:type="dxa"/>
          </w:tcPr>
          <w:p w14:paraId="2FCEC037" w14:textId="77777777">
            <w:pPr>
              <w:pBdr/>
              <w:spacing/>
              <w:ind/>
              <w:jc w:val="both"/>
              <w:rPr>
                <w:rFonts w:ascii="Calibri" w:hAnsi="Calibri" w:cs="Arial"/>
                <w:i/>
                <w:color w:val="548dd4"/>
                <w:sz w:val="18"/>
                <w:szCs w:val="20"/>
                <w:lang w:eastAsia="es-CL"/>
              </w:rPr>
            </w:pPr>
            <w:r>
              <w:rPr>
                <w:b w:val="0"/>
                <w:sz w:val="15"/>
              </w:rPr>
              <w:t xml:space="preserve">Riesgo anticipado: la llamada saliente a la API pública tarda más que una llamada interna, de modo que su límite de tiempo debe calibrarse por separado.</w:t>
            </w:r>
            <w:r>
              <w:rPr>
                <w:rFonts w:ascii="Calibri" w:hAnsi="Calibri" w:cs="Arial"/>
                <w:i/>
                <w:color w:val="548dd4"/>
                <w:sz w:val="18"/>
                <w:szCs w:val="20"/>
                <w:lang w:eastAsia="es-CL"/>
              </w:rPr>
            </w:r>
          </w:p>
        </w:tc>
        <w:tc>
          <w:tcPr>
            <w:tcBorders/>
            <w:tcW w:w="1418" w:type="dxa"/>
          </w:tcPr>
          <w:p w14:paraId="29B0BFEB" w14:textId="77777777">
            <w:pPr>
              <w:pBdr/>
              <w:spacing/>
              <w:ind/>
              <w:jc w:val="both"/>
              <w:rPr>
                <w:rFonts w:ascii="Calibri" w:hAnsi="Calibri" w:cs="Arial"/>
                <w:i/>
                <w:color w:val="548dd4"/>
                <w:sz w:val="18"/>
                <w:szCs w:val="20"/>
                <w:lang w:eastAsia="es-CL"/>
              </w:rPr>
            </w:pPr>
            <w:r>
              <w:rPr>
                <w:b w:val="0"/>
                <w:sz w:val="15"/>
              </w:rPr>
              <w:t xml:space="preserve">No iniciado</w:t>
            </w:r>
            <w:r>
              <w:rPr>
                <w:rFonts w:ascii="Calibri" w:hAnsi="Calibri" w:cs="Arial"/>
                <w:i/>
                <w:color w:val="548dd4"/>
                <w:sz w:val="18"/>
                <w:szCs w:val="20"/>
                <w:lang w:eastAsia="es-CL"/>
              </w:rPr>
            </w:r>
          </w:p>
        </w:tc>
        <w:tc>
          <w:tcPr>
            <w:tcBorders/>
            <w:tcW w:w="850" w:type="dxa"/>
          </w:tcPr>
          <w:p w14:paraId="7C6D6F31" w14:textId="77777777">
            <w:pPr>
              <w:pBdr/>
              <w:spacing/>
              <w:ind/>
              <w:jc w:val="both"/>
              <w:rPr>
                <w:rFonts w:ascii="Calibri" w:hAnsi="Calibri" w:cs="Arial"/>
                <w:i/>
                <w:color w:val="548dd4"/>
                <w:sz w:val="18"/>
                <w:szCs w:val="20"/>
                <w:lang w:eastAsia="es-CL"/>
              </w:rPr>
            </w:pPr>
            <w:r>
              <w:rPr>
                <w:b w:val="0"/>
                <w:sz w:val="15"/>
              </w:rPr>
              <w:t xml:space="preserve">Sin ajustes a la fecha.</w:t>
            </w:r>
            <w:r>
              <w:rPr>
                <w:rFonts w:ascii="Calibri" w:hAnsi="Calibri" w:cs="Arial"/>
                <w:i/>
                <w:color w:val="548dd4"/>
                <w:sz w:val="18"/>
                <w:szCs w:val="20"/>
                <w:lang w:eastAsia="es-CL"/>
              </w:rPr>
            </w:r>
          </w:p>
        </w:tc>
      </w:tr>
      <w:tr>
        <w:trPr>
          <w:trHeight w:val="2410"/>
        </w:trPr>
        <w:tc>
          <w:tcPr>
            <w:tcBorders/>
            <w:tcW w:w="1328" w:type="dxa"/>
          </w:tcPr>
          <w:p w14:paraId="29F01B29" w14:textId="77777777">
            <w:pPr>
              <w:pBdr/>
              <w:spacing/>
              <w:ind/>
              <w:jc w:val="both"/>
              <w:rPr>
                <w:b/>
                <w:sz w:val="18"/>
                <w:szCs w:val="24"/>
              </w:rPr>
            </w:pPr>
            <w:r>
              <w:rPr>
                <w:b w:val="0"/>
                <w:sz w:val="15"/>
              </w:rPr>
              <w:t xml:space="preserve">C2, C3</w:t>
            </w:r>
            <w:r>
              <w:rPr>
                <w:b/>
                <w:sz w:val="18"/>
                <w:szCs w:val="24"/>
              </w:rPr>
            </w:r>
          </w:p>
        </w:tc>
        <w:tc>
          <w:tcPr>
            <w:tcBorders/>
            <w:tcW w:w="1077" w:type="dxa"/>
          </w:tcPr>
          <w:p w14:paraId="7B4EBE25" w14:textId="77777777">
            <w:pPr>
              <w:pBdr/>
              <w:spacing/>
              <w:ind/>
              <w:jc w:val="both"/>
              <w:rPr>
                <w:rFonts w:ascii="Calibri" w:hAnsi="Calibri" w:cs="Arial"/>
                <w:i/>
                <w:color w:val="548dd4"/>
                <w:sz w:val="18"/>
                <w:szCs w:val="20"/>
                <w:lang w:eastAsia="es-CL"/>
              </w:rPr>
            </w:pPr>
            <w:r>
              <w:rPr>
                <w:b w:val="0"/>
                <w:sz w:val="15"/>
              </w:rPr>
              <w:t xml:space="preserve">Sprint 5 · Cierre de sincronización y traducción</w:t>
            </w:r>
            <w:r>
              <w:rPr>
                <w:rFonts w:ascii="Calibri" w:hAnsi="Calibri" w:cs="Arial"/>
                <w:i/>
                <w:color w:val="548dd4"/>
                <w:sz w:val="18"/>
                <w:szCs w:val="20"/>
                <w:lang w:eastAsia="es-CL"/>
              </w:rPr>
            </w:r>
          </w:p>
        </w:tc>
        <w:tc>
          <w:tcPr>
            <w:tcBorders/>
            <w:tcW w:w="1276" w:type="dxa"/>
          </w:tcPr>
          <w:p w14:paraId="16E191DF" w14:textId="77777777">
            <w:pPr>
              <w:pBdr/>
              <w:spacing/>
              <w:ind/>
              <w:jc w:val="both"/>
              <w:rPr>
                <w:b/>
                <w:sz w:val="18"/>
                <w:szCs w:val="24"/>
              </w:rPr>
            </w:pPr>
            <w:r>
              <w:rPr>
                <w:b w:val="0"/>
                <w:sz w:val="15"/>
              </w:rPr>
              <w:t xml:space="preserve">Servicio de traducción; migraciones de datos semilla.</w:t>
            </w:r>
            <w:r>
              <w:rPr>
                <w:b/>
                <w:sz w:val="18"/>
                <w:szCs w:val="24"/>
              </w:rPr>
            </w:r>
          </w:p>
        </w:tc>
        <w:tc>
          <w:tcPr>
            <w:tcBorders/>
            <w:tcW w:w="1276" w:type="dxa"/>
          </w:tcPr>
          <w:p w14:paraId="66A5D860" w14:textId="77777777">
            <w:pPr>
              <w:pBdr/>
              <w:spacing/>
              <w:ind/>
              <w:jc w:val="both"/>
              <w:rPr>
                <w:b/>
                <w:sz w:val="18"/>
                <w:szCs w:val="24"/>
              </w:rPr>
            </w:pPr>
            <w:r>
              <w:rPr>
                <w:b w:val="0"/>
                <w:sz w:val="15"/>
              </w:rPr>
              <w:t xml:space="preserve">Semanas 10-12 · 20 HH</w:t>
            </w:r>
            <w:r>
              <w:rPr>
                <w:b/>
                <w:sz w:val="18"/>
                <w:szCs w:val="24"/>
              </w:rPr>
            </w:r>
          </w:p>
        </w:tc>
        <w:tc>
          <w:tcPr>
            <w:tcBorders/>
            <w:tcW w:w="1275" w:type="dxa"/>
          </w:tcPr>
          <w:p w14:paraId="036AB5D8" w14:textId="77777777">
            <w:pPr>
              <w:pBdr/>
              <w:spacing/>
              <w:ind/>
              <w:jc w:val="both"/>
              <w:rPr>
                <w:rFonts w:ascii="Calibri" w:hAnsi="Calibri" w:cs="Arial"/>
                <w:i/>
                <w:color w:val="548dd4"/>
                <w:sz w:val="18"/>
                <w:szCs w:val="20"/>
                <w:lang w:eastAsia="es-CL"/>
              </w:rPr>
            </w:pPr>
            <w:r>
              <w:rPr>
                <w:b w:val="0"/>
                <w:sz w:val="15"/>
              </w:rPr>
              <w:t xml:space="preserve">Elizabeth Alegría</w:t>
            </w:r>
            <w:r>
              <w:rPr>
                <w:rFonts w:ascii="Calibri" w:hAnsi="Calibri" w:cs="Arial"/>
                <w:i/>
                <w:color w:val="548dd4"/>
                <w:sz w:val="18"/>
                <w:szCs w:val="20"/>
                <w:lang w:eastAsia="es-CL"/>
              </w:rPr>
            </w:r>
          </w:p>
        </w:tc>
        <w:tc>
          <w:tcPr>
            <w:tcBorders/>
            <w:tcW w:w="1276" w:type="dxa"/>
          </w:tcPr>
          <w:p w14:paraId="2FCEC037" w14:textId="77777777">
            <w:pPr>
              <w:pBdr/>
              <w:spacing/>
              <w:ind/>
              <w:jc w:val="both"/>
              <w:rPr>
                <w:rFonts w:ascii="Calibri" w:hAnsi="Calibri" w:cs="Arial"/>
                <w:i/>
                <w:color w:val="548dd4"/>
                <w:sz w:val="18"/>
                <w:szCs w:val="20"/>
                <w:lang w:eastAsia="es-CL"/>
              </w:rPr>
            </w:pPr>
            <w:r>
              <w:rPr>
                <w:b w:val="0"/>
                <w:sz w:val="15"/>
              </w:rPr>
              <w:t xml:space="preserve">Facilitador anticipado: el conjunto de datos semilla desacopla el desarrollo de la disponibilidad de la fuente externa.</w:t>
            </w:r>
            <w:r>
              <w:rPr>
                <w:rFonts w:ascii="Calibri" w:hAnsi="Calibri" w:cs="Arial"/>
                <w:i/>
                <w:color w:val="548dd4"/>
                <w:sz w:val="18"/>
                <w:szCs w:val="20"/>
                <w:lang w:eastAsia="es-CL"/>
              </w:rPr>
            </w:r>
          </w:p>
        </w:tc>
        <w:tc>
          <w:tcPr>
            <w:tcBorders/>
            <w:tcW w:w="1418" w:type="dxa"/>
          </w:tcPr>
          <w:p w14:paraId="29B0BFEB" w14:textId="77777777">
            <w:pPr>
              <w:pBdr/>
              <w:spacing/>
              <w:ind/>
              <w:jc w:val="both"/>
              <w:rPr>
                <w:rFonts w:ascii="Calibri" w:hAnsi="Calibri" w:cs="Arial"/>
                <w:i/>
                <w:color w:val="548dd4"/>
                <w:sz w:val="18"/>
                <w:szCs w:val="20"/>
                <w:lang w:eastAsia="es-CL"/>
              </w:rPr>
            </w:pPr>
            <w:r>
              <w:rPr>
                <w:b w:val="0"/>
                <w:sz w:val="15"/>
              </w:rPr>
              <w:t xml:space="preserve">No iniciado</w:t>
            </w:r>
            <w:r>
              <w:rPr>
                <w:rFonts w:ascii="Calibri" w:hAnsi="Calibri" w:cs="Arial"/>
                <w:i/>
                <w:color w:val="548dd4"/>
                <w:sz w:val="18"/>
                <w:szCs w:val="20"/>
                <w:lang w:eastAsia="es-CL"/>
              </w:rPr>
            </w:r>
          </w:p>
        </w:tc>
        <w:tc>
          <w:tcPr>
            <w:tcBorders/>
            <w:tcW w:w="850" w:type="dxa"/>
          </w:tcPr>
          <w:p w14:paraId="7C6D6F31" w14:textId="77777777">
            <w:pPr>
              <w:pBdr/>
              <w:spacing/>
              <w:ind/>
              <w:jc w:val="both"/>
              <w:rPr>
                <w:rFonts w:ascii="Calibri" w:hAnsi="Calibri" w:cs="Arial"/>
                <w:i/>
                <w:color w:val="548dd4"/>
                <w:sz w:val="18"/>
                <w:szCs w:val="20"/>
                <w:lang w:eastAsia="es-CL"/>
              </w:rPr>
            </w:pPr>
            <w:r>
              <w:rPr>
                <w:b w:val="0"/>
                <w:sz w:val="15"/>
              </w:rPr>
              <w:t xml:space="preserve">Sin ajustes a la fecha.</w:t>
            </w:r>
            <w:r>
              <w:rPr>
                <w:rFonts w:ascii="Calibri" w:hAnsi="Calibri" w:cs="Arial"/>
                <w:i/>
                <w:color w:val="548dd4"/>
                <w:sz w:val="18"/>
                <w:szCs w:val="20"/>
                <w:lang w:eastAsia="es-CL"/>
              </w:rPr>
            </w:r>
          </w:p>
        </w:tc>
      </w:tr>
      <w:tr>
        <w:trPr>
          <w:trHeight w:val="2410"/>
        </w:trPr>
        <w:tc>
          <w:tcPr>
            <w:tcBorders/>
            <w:tcW w:w="1328" w:type="dxa"/>
          </w:tcPr>
          <w:p w14:paraId="29F01B29" w14:textId="77777777">
            <w:pPr>
              <w:pBdr/>
              <w:spacing/>
              <w:ind/>
              <w:jc w:val="both"/>
              <w:rPr>
                <w:b/>
                <w:sz w:val="18"/>
                <w:szCs w:val="24"/>
              </w:rPr>
            </w:pPr>
            <w:r>
              <w:rPr>
                <w:b w:val="0"/>
                <w:sz w:val="15"/>
              </w:rPr>
              <w:t xml:space="preserve">C1, C2, C3</w:t>
            </w:r>
            <w:r>
              <w:rPr>
                <w:b/>
                <w:sz w:val="18"/>
                <w:szCs w:val="24"/>
              </w:rPr>
            </w:r>
          </w:p>
        </w:tc>
        <w:tc>
          <w:tcPr>
            <w:tcBorders/>
            <w:tcW w:w="1077" w:type="dxa"/>
          </w:tcPr>
          <w:p w14:paraId="7B4EBE25" w14:textId="77777777">
            <w:pPr>
              <w:pBdr/>
              <w:spacing/>
              <w:ind/>
              <w:jc w:val="both"/>
              <w:rPr>
                <w:rFonts w:ascii="Calibri" w:hAnsi="Calibri" w:cs="Arial"/>
                <w:i/>
                <w:color w:val="548dd4"/>
                <w:sz w:val="18"/>
                <w:szCs w:val="20"/>
                <w:lang w:eastAsia="es-CL"/>
              </w:rPr>
            </w:pPr>
            <w:r>
              <w:rPr>
                <w:b w:val="0"/>
                <w:sz w:val="15"/>
              </w:rPr>
              <w:t xml:space="preserve">Sprint 6 · Favoritos, progreso y recomendaciones</w:t>
            </w:r>
            <w:r>
              <w:rPr>
                <w:rFonts w:ascii="Calibri" w:hAnsi="Calibri" w:cs="Arial"/>
                <w:i/>
                <w:color w:val="548dd4"/>
                <w:sz w:val="18"/>
                <w:szCs w:val="20"/>
                <w:lang w:eastAsia="es-CL"/>
              </w:rPr>
            </w:r>
          </w:p>
        </w:tc>
        <w:tc>
          <w:tcPr>
            <w:tcBorders/>
            <w:tcW w:w="1276" w:type="dxa"/>
          </w:tcPr>
          <w:p w14:paraId="16E191DF" w14:textId="77777777">
            <w:pPr>
              <w:pBdr/>
              <w:spacing/>
              <w:ind/>
              <w:jc w:val="both"/>
              <w:rPr>
                <w:b/>
                <w:sz w:val="18"/>
                <w:szCs w:val="24"/>
              </w:rPr>
            </w:pPr>
            <w:r>
              <w:rPr>
                <w:b w:val="0"/>
                <w:sz w:val="15"/>
              </w:rPr>
              <w:t xml:space="preserve">PostgreSQL; cálculo vectorial.</w:t>
            </w:r>
            <w:r>
              <w:rPr>
                <w:b/>
                <w:sz w:val="18"/>
                <w:szCs w:val="24"/>
              </w:rPr>
            </w:r>
          </w:p>
        </w:tc>
        <w:tc>
          <w:tcPr>
            <w:tcBorders/>
            <w:tcW w:w="1276" w:type="dxa"/>
          </w:tcPr>
          <w:p w14:paraId="66A5D860" w14:textId="77777777">
            <w:pPr>
              <w:pBdr/>
              <w:spacing/>
              <w:ind/>
              <w:jc w:val="both"/>
              <w:rPr>
                <w:b/>
                <w:sz w:val="18"/>
                <w:szCs w:val="24"/>
              </w:rPr>
            </w:pPr>
            <w:r>
              <w:rPr>
                <w:b w:val="0"/>
                <w:sz w:val="15"/>
              </w:rPr>
              <w:t xml:space="preserve">Semanas 13-14 · 38 HH</w:t>
            </w:r>
            <w:r>
              <w:rPr>
                <w:b/>
                <w:sz w:val="18"/>
                <w:szCs w:val="24"/>
              </w:rPr>
            </w:r>
          </w:p>
        </w:tc>
        <w:tc>
          <w:tcPr>
            <w:tcBorders/>
            <w:tcW w:w="1275" w:type="dxa"/>
          </w:tcPr>
          <w:p w14:paraId="036AB5D8" w14:textId="77777777">
            <w:pPr>
              <w:pBdr/>
              <w:spacing/>
              <w:ind/>
              <w:jc w:val="both"/>
              <w:rPr>
                <w:rFonts w:ascii="Calibri" w:hAnsi="Calibri" w:cs="Arial"/>
                <w:i/>
                <w:color w:val="548dd4"/>
                <w:sz w:val="18"/>
                <w:szCs w:val="20"/>
                <w:lang w:eastAsia="es-CL"/>
              </w:rPr>
            </w:pPr>
            <w:r>
              <w:rPr>
                <w:b w:val="0"/>
                <w:sz w:val="15"/>
              </w:rPr>
              <w:t xml:space="preserve">Elizabeth Alegría y Natalia Benítez</w:t>
            </w:r>
            <w:r>
              <w:rPr>
                <w:rFonts w:ascii="Calibri" w:hAnsi="Calibri" w:cs="Arial"/>
                <w:i/>
                <w:color w:val="548dd4"/>
                <w:sz w:val="18"/>
                <w:szCs w:val="20"/>
                <w:lang w:eastAsia="es-CL"/>
              </w:rPr>
            </w:r>
          </w:p>
        </w:tc>
        <w:tc>
          <w:tcPr>
            <w:tcBorders/>
            <w:tcW w:w="1276" w:type="dxa"/>
          </w:tcPr>
          <w:p w14:paraId="2FCEC037" w14:textId="77777777">
            <w:pPr>
              <w:pBdr/>
              <w:spacing/>
              <w:ind/>
              <w:jc w:val="both"/>
              <w:rPr>
                <w:rFonts w:ascii="Calibri" w:hAnsi="Calibri" w:cs="Arial"/>
                <w:i/>
                <w:color w:val="548dd4"/>
                <w:sz w:val="18"/>
                <w:szCs w:val="20"/>
                <w:lang w:eastAsia="es-CL"/>
              </w:rPr>
            </w:pPr>
            <w:r>
              <w:rPr>
                <w:b w:val="0"/>
                <w:sz w:val="15"/>
              </w:rPr>
              <w:t xml:space="preserve">Facilitador anticipado: las tres historias comparten microservicio y conviene agruparlas. Riesgo: es el sprint de mayor carga estimada hasta ese punto.</w:t>
            </w:r>
            <w:r>
              <w:rPr>
                <w:rFonts w:ascii="Calibri" w:hAnsi="Calibri" w:cs="Arial"/>
                <w:i/>
                <w:color w:val="548dd4"/>
                <w:sz w:val="18"/>
                <w:szCs w:val="20"/>
                <w:lang w:eastAsia="es-CL"/>
              </w:rPr>
            </w:r>
          </w:p>
        </w:tc>
        <w:tc>
          <w:tcPr>
            <w:tcBorders/>
            <w:tcW w:w="1418" w:type="dxa"/>
          </w:tcPr>
          <w:p w14:paraId="29B0BFEB" w14:textId="77777777">
            <w:pPr>
              <w:pBdr/>
              <w:spacing/>
              <w:ind/>
              <w:jc w:val="both"/>
              <w:rPr>
                <w:rFonts w:ascii="Calibri" w:hAnsi="Calibri" w:cs="Arial"/>
                <w:i/>
                <w:color w:val="548dd4"/>
                <w:sz w:val="18"/>
                <w:szCs w:val="20"/>
                <w:lang w:eastAsia="es-CL"/>
              </w:rPr>
            </w:pPr>
            <w:r>
              <w:rPr>
                <w:b w:val="0"/>
                <w:sz w:val="15"/>
              </w:rPr>
              <w:t xml:space="preserve">No iniciado</w:t>
            </w:r>
            <w:r>
              <w:rPr>
                <w:rFonts w:ascii="Calibri" w:hAnsi="Calibri" w:cs="Arial"/>
                <w:i/>
                <w:color w:val="548dd4"/>
                <w:sz w:val="18"/>
                <w:szCs w:val="20"/>
                <w:lang w:eastAsia="es-CL"/>
              </w:rPr>
            </w:r>
          </w:p>
        </w:tc>
        <w:tc>
          <w:tcPr>
            <w:tcBorders/>
            <w:tcW w:w="850" w:type="dxa"/>
          </w:tcPr>
          <w:p w14:paraId="7C6D6F31" w14:textId="77777777">
            <w:pPr>
              <w:pBdr/>
              <w:spacing/>
              <w:ind/>
              <w:jc w:val="both"/>
              <w:rPr>
                <w:rFonts w:ascii="Calibri" w:hAnsi="Calibri" w:cs="Arial"/>
                <w:i/>
                <w:color w:val="548dd4"/>
                <w:sz w:val="18"/>
                <w:szCs w:val="20"/>
                <w:lang w:eastAsia="es-CL"/>
              </w:rPr>
            </w:pPr>
            <w:r>
              <w:rPr>
                <w:b w:val="0"/>
                <w:sz w:val="15"/>
              </w:rPr>
              <w:t xml:space="preserve">Sin ajustes a la fecha.</w:t>
            </w:r>
            <w:r>
              <w:rPr>
                <w:rFonts w:ascii="Calibri" w:hAnsi="Calibri" w:cs="Arial"/>
                <w:i/>
                <w:color w:val="548dd4"/>
                <w:sz w:val="18"/>
                <w:szCs w:val="20"/>
                <w:lang w:eastAsia="es-CL"/>
              </w:rPr>
            </w:r>
          </w:p>
        </w:tc>
      </w:tr>
      <w:tr>
        <w:trPr>
          <w:trHeight w:val="2410"/>
        </w:trPr>
        <w:tc>
          <w:tcPr>
            <w:tcBorders/>
            <w:tcW w:w="1328" w:type="dxa"/>
          </w:tcPr>
          <w:p w14:paraId="29F01B29" w14:textId="77777777">
            <w:pPr>
              <w:pBdr/>
              <w:spacing/>
              <w:ind/>
              <w:jc w:val="both"/>
              <w:rPr>
                <w:b/>
                <w:sz w:val="18"/>
                <w:szCs w:val="24"/>
              </w:rPr>
            </w:pPr>
            <w:r>
              <w:rPr>
                <w:b w:val="0"/>
                <w:sz w:val="15"/>
              </w:rPr>
              <w:t xml:space="preserve">C2, C4, C6</w:t>
            </w:r>
            <w:r>
              <w:rPr>
                <w:b/>
                <w:sz w:val="18"/>
                <w:szCs w:val="24"/>
              </w:rPr>
            </w:r>
          </w:p>
        </w:tc>
        <w:tc>
          <w:tcPr>
            <w:tcBorders/>
            <w:tcW w:w="1077" w:type="dxa"/>
          </w:tcPr>
          <w:p w14:paraId="7B4EBE25" w14:textId="77777777">
            <w:pPr>
              <w:pBdr/>
              <w:spacing/>
              <w:ind/>
              <w:jc w:val="both"/>
              <w:rPr>
                <w:rFonts w:ascii="Calibri" w:hAnsi="Calibri" w:cs="Arial"/>
                <w:i/>
                <w:color w:val="548dd4"/>
                <w:sz w:val="18"/>
                <w:szCs w:val="20"/>
                <w:lang w:eastAsia="es-CL"/>
              </w:rPr>
            </w:pPr>
            <w:r>
              <w:rPr>
                <w:b w:val="0"/>
                <w:sz w:val="15"/>
              </w:rPr>
              <w:t xml:space="preserve">Sprint 7 · Registro, autenticación y perfiles</w:t>
            </w:r>
            <w:r>
              <w:rPr>
                <w:rFonts w:ascii="Calibri" w:hAnsi="Calibri" w:cs="Arial"/>
                <w:i/>
                <w:color w:val="548dd4"/>
                <w:sz w:val="18"/>
                <w:szCs w:val="20"/>
                <w:lang w:eastAsia="es-CL"/>
              </w:rPr>
            </w:r>
          </w:p>
        </w:tc>
        <w:tc>
          <w:tcPr>
            <w:tcBorders/>
            <w:tcW w:w="1276" w:type="dxa"/>
          </w:tcPr>
          <w:p w14:paraId="16E191DF" w14:textId="77777777">
            <w:pPr>
              <w:pBdr/>
              <w:spacing/>
              <w:ind/>
              <w:jc w:val="both"/>
              <w:rPr>
                <w:b/>
                <w:sz w:val="18"/>
                <w:szCs w:val="24"/>
              </w:rPr>
            </w:pPr>
            <w:r>
              <w:rPr>
                <w:b w:val="0"/>
                <w:sz w:val="15"/>
              </w:rPr>
              <w:t xml:space="preserve">Tokens firmados; cifrado de contraseñas.</w:t>
            </w:r>
            <w:r>
              <w:rPr>
                <w:b/>
                <w:sz w:val="18"/>
                <w:szCs w:val="24"/>
              </w:rPr>
            </w:r>
          </w:p>
        </w:tc>
        <w:tc>
          <w:tcPr>
            <w:tcBorders/>
            <w:tcW w:w="1276" w:type="dxa"/>
          </w:tcPr>
          <w:p w14:paraId="66A5D860" w14:textId="77777777">
            <w:pPr>
              <w:pBdr/>
              <w:spacing/>
              <w:ind/>
              <w:jc w:val="both"/>
              <w:rPr>
                <w:b/>
                <w:sz w:val="18"/>
                <w:szCs w:val="24"/>
              </w:rPr>
            </w:pPr>
            <w:r>
              <w:rPr>
                <w:b w:val="0"/>
                <w:sz w:val="15"/>
              </w:rPr>
              <w:t xml:space="preserve">Semanas 15-16 · 48 HH</w:t>
            </w:r>
            <w:r>
              <w:rPr>
                <w:b/>
                <w:sz w:val="18"/>
                <w:szCs w:val="24"/>
              </w:rPr>
            </w:r>
          </w:p>
        </w:tc>
        <w:tc>
          <w:tcPr>
            <w:tcBorders/>
            <w:tcW w:w="1275" w:type="dxa"/>
          </w:tcPr>
          <w:p w14:paraId="036AB5D8" w14:textId="77777777">
            <w:pPr>
              <w:pBdr/>
              <w:spacing/>
              <w:ind/>
              <w:jc w:val="both"/>
              <w:rPr>
                <w:rFonts w:ascii="Calibri" w:hAnsi="Calibri" w:cs="Arial"/>
                <w:i/>
                <w:color w:val="548dd4"/>
                <w:sz w:val="18"/>
                <w:szCs w:val="20"/>
                <w:lang w:eastAsia="es-CL"/>
              </w:rPr>
            </w:pPr>
            <w:r>
              <w:rPr>
                <w:b w:val="0"/>
                <w:sz w:val="15"/>
              </w:rPr>
              <w:t xml:space="preserve">Marco Hernández y Natalia Benítez</w:t>
            </w:r>
            <w:r>
              <w:rPr>
                <w:rFonts w:ascii="Calibri" w:hAnsi="Calibri" w:cs="Arial"/>
                <w:i/>
                <w:color w:val="548dd4"/>
                <w:sz w:val="18"/>
                <w:szCs w:val="20"/>
                <w:lang w:eastAsia="es-CL"/>
              </w:rPr>
            </w:r>
          </w:p>
        </w:tc>
        <w:tc>
          <w:tcPr>
            <w:tcBorders/>
            <w:tcW w:w="1276" w:type="dxa"/>
          </w:tcPr>
          <w:p w14:paraId="2FCEC037" w14:textId="77777777">
            <w:pPr>
              <w:pBdr/>
              <w:spacing/>
              <w:ind/>
              <w:jc w:val="both"/>
              <w:rPr>
                <w:rFonts w:ascii="Calibri" w:hAnsi="Calibri" w:cs="Arial"/>
                <w:i/>
                <w:color w:val="548dd4"/>
                <w:sz w:val="18"/>
                <w:szCs w:val="20"/>
                <w:lang w:eastAsia="es-CL"/>
              </w:rPr>
            </w:pPr>
            <w:r>
              <w:rPr>
                <w:b w:val="0"/>
                <w:sz w:val="15"/>
              </w:rPr>
              <w:t xml:space="preserve">Riesgo: recibe la épica diferida del Sprint 1 y es la de mayor carga del proyecto. Hasta entonces el gateway rutea sin validar la firma del token.</w:t>
            </w:r>
            <w:r>
              <w:rPr>
                <w:rFonts w:ascii="Calibri" w:hAnsi="Calibri" w:cs="Arial"/>
                <w:i/>
                <w:color w:val="548dd4"/>
                <w:sz w:val="18"/>
                <w:szCs w:val="20"/>
                <w:lang w:eastAsia="es-CL"/>
              </w:rPr>
            </w:r>
          </w:p>
        </w:tc>
        <w:tc>
          <w:tcPr>
            <w:tcBorders/>
            <w:tcW w:w="1418" w:type="dxa"/>
          </w:tcPr>
          <w:p w14:paraId="29B0BFEB" w14:textId="77777777">
            <w:pPr>
              <w:pBdr/>
              <w:spacing/>
              <w:ind/>
              <w:jc w:val="both"/>
              <w:rPr>
                <w:rFonts w:ascii="Calibri" w:hAnsi="Calibri" w:cs="Arial"/>
                <w:i/>
                <w:color w:val="548dd4"/>
                <w:sz w:val="18"/>
                <w:szCs w:val="20"/>
                <w:lang w:eastAsia="es-CL"/>
              </w:rPr>
            </w:pPr>
            <w:r>
              <w:rPr>
                <w:b w:val="0"/>
                <w:sz w:val="15"/>
              </w:rPr>
              <w:t xml:space="preserve">No iniciado</w:t>
            </w:r>
            <w:r>
              <w:rPr>
                <w:rFonts w:ascii="Calibri" w:hAnsi="Calibri" w:cs="Arial"/>
                <w:i/>
                <w:color w:val="548dd4"/>
                <w:sz w:val="18"/>
                <w:szCs w:val="20"/>
                <w:lang w:eastAsia="es-CL"/>
              </w:rPr>
            </w:r>
          </w:p>
        </w:tc>
        <w:tc>
          <w:tcPr>
            <w:tcBorders/>
            <w:tcW w:w="850" w:type="dxa"/>
          </w:tcPr>
          <w:p w14:paraId="7C6D6F31" w14:textId="77777777">
            <w:pPr>
              <w:pBdr/>
              <w:spacing/>
              <w:ind/>
              <w:jc w:val="both"/>
              <w:rPr>
                <w:rFonts w:ascii="Calibri" w:hAnsi="Calibri" w:cs="Arial"/>
                <w:i/>
                <w:color w:val="548dd4"/>
                <w:sz w:val="18"/>
                <w:szCs w:val="20"/>
                <w:lang w:eastAsia="es-CL"/>
              </w:rPr>
            </w:pPr>
            <w:r>
              <w:rPr>
                <w:b w:val="0"/>
                <w:sz w:val="15"/>
              </w:rPr>
              <w:t xml:space="preserve">Recibe la épica reprogramada desde el Sprint 1.</w:t>
            </w:r>
            <w:r>
              <w:rPr>
                <w:rFonts w:ascii="Calibri" w:hAnsi="Calibri" w:cs="Arial"/>
                <w:i/>
                <w:color w:val="548dd4"/>
                <w:sz w:val="18"/>
                <w:szCs w:val="20"/>
                <w:lang w:eastAsia="es-CL"/>
              </w:rPr>
            </w:r>
          </w:p>
        </w:tc>
      </w:tr>
      <w:tr>
        <w:trPr>
          <w:trHeight w:val="2410"/>
        </w:trPr>
        <w:tc>
          <w:tcPr>
            <w:tcBorders/>
            <w:tcW w:w="1328" w:type="dxa"/>
          </w:tcPr>
          <w:p w14:paraId="29F01B29" w14:textId="77777777">
            <w:pPr>
              <w:pBdr/>
              <w:spacing/>
              <w:ind/>
              <w:jc w:val="both"/>
              <w:rPr>
                <w:b/>
                <w:sz w:val="18"/>
                <w:szCs w:val="24"/>
              </w:rPr>
            </w:pPr>
            <w:r>
              <w:rPr>
                <w:b w:val="0"/>
                <w:sz w:val="15"/>
              </w:rPr>
              <w:t xml:space="preserve">C4, C5</w:t>
            </w:r>
            <w:r>
              <w:rPr>
                <w:b/>
                <w:sz w:val="18"/>
                <w:szCs w:val="24"/>
              </w:rPr>
            </w:r>
          </w:p>
        </w:tc>
        <w:tc>
          <w:tcPr>
            <w:tcBorders/>
            <w:tcW w:w="1077" w:type="dxa"/>
          </w:tcPr>
          <w:p w14:paraId="7B4EBE25" w14:textId="77777777">
            <w:pPr>
              <w:pBdr/>
              <w:spacing/>
              <w:ind/>
              <w:jc w:val="both"/>
              <w:rPr>
                <w:rFonts w:ascii="Calibri" w:hAnsi="Calibri" w:cs="Arial"/>
                <w:i/>
                <w:color w:val="548dd4"/>
                <w:sz w:val="18"/>
                <w:szCs w:val="20"/>
                <w:lang w:eastAsia="es-CL"/>
              </w:rPr>
            </w:pPr>
            <w:r>
              <w:rPr>
                <w:b w:val="0"/>
                <w:sz w:val="15"/>
              </w:rPr>
              <w:t xml:space="preserve">Sprint 8 · Despliegue en la nube y cierre</w:t>
            </w:r>
            <w:r>
              <w:rPr>
                <w:rFonts w:ascii="Calibri" w:hAnsi="Calibri" w:cs="Arial"/>
                <w:i/>
                <w:color w:val="548dd4"/>
                <w:sz w:val="18"/>
                <w:szCs w:val="20"/>
                <w:lang w:eastAsia="es-CL"/>
              </w:rPr>
            </w:r>
          </w:p>
        </w:tc>
        <w:tc>
          <w:tcPr>
            <w:tcBorders/>
            <w:tcW w:w="1276" w:type="dxa"/>
          </w:tcPr>
          <w:p w14:paraId="16E191DF" w14:textId="77777777">
            <w:pPr>
              <w:pBdr/>
              <w:spacing/>
              <w:ind/>
              <w:jc w:val="both"/>
              <w:rPr>
                <w:b/>
                <w:sz w:val="18"/>
                <w:szCs w:val="24"/>
              </w:rPr>
            </w:pPr>
            <w:r>
              <w:rPr>
                <w:b w:val="0"/>
                <w:sz w:val="15"/>
              </w:rPr>
              <w:t xml:space="preserve">Máquina virtual; registro de imágenes; proxy inverso.</w:t>
            </w:r>
            <w:r>
              <w:rPr>
                <w:b/>
                <w:sz w:val="18"/>
                <w:szCs w:val="24"/>
              </w:rPr>
            </w:r>
          </w:p>
        </w:tc>
        <w:tc>
          <w:tcPr>
            <w:tcBorders/>
            <w:tcW w:w="1276" w:type="dxa"/>
          </w:tcPr>
          <w:p w14:paraId="66A5D860" w14:textId="77777777">
            <w:pPr>
              <w:pBdr/>
              <w:spacing/>
              <w:ind/>
              <w:jc w:val="both"/>
              <w:rPr>
                <w:b/>
                <w:sz w:val="18"/>
                <w:szCs w:val="24"/>
              </w:rPr>
            </w:pPr>
            <w:r>
              <w:rPr>
                <w:b w:val="0"/>
                <w:sz w:val="15"/>
              </w:rPr>
              <w:t xml:space="preserve">Semanas 17-18 · 34 HH</w:t>
            </w:r>
            <w:r>
              <w:rPr>
                <w:b/>
                <w:sz w:val="18"/>
                <w:szCs w:val="24"/>
              </w:rPr>
            </w:r>
          </w:p>
        </w:tc>
        <w:tc>
          <w:tcPr>
            <w:tcBorders/>
            <w:tcW w:w="1275" w:type="dxa"/>
          </w:tcPr>
          <w:p w14:paraId="036AB5D8" w14:textId="77777777">
            <w:pPr>
              <w:pBdr/>
              <w:spacing/>
              <w:ind/>
              <w:jc w:val="both"/>
              <w:rPr>
                <w:rFonts w:ascii="Calibri" w:hAnsi="Calibri" w:cs="Arial"/>
                <w:i/>
                <w:color w:val="548dd4"/>
                <w:sz w:val="18"/>
                <w:szCs w:val="20"/>
                <w:lang w:eastAsia="es-CL"/>
              </w:rPr>
            </w:pPr>
            <w:r>
              <w:rPr>
                <w:b w:val="0"/>
                <w:sz w:val="15"/>
              </w:rPr>
              <w:t xml:space="preserve">Marco Hernández, Elizabeth Alegría y Natalia Benítez</w:t>
            </w:r>
            <w:r>
              <w:rPr>
                <w:rFonts w:ascii="Calibri" w:hAnsi="Calibri" w:cs="Arial"/>
                <w:i/>
                <w:color w:val="548dd4"/>
                <w:sz w:val="18"/>
                <w:szCs w:val="20"/>
                <w:lang w:eastAsia="es-CL"/>
              </w:rPr>
            </w:r>
          </w:p>
        </w:tc>
        <w:tc>
          <w:tcPr>
            <w:tcBorders/>
            <w:tcW w:w="1276" w:type="dxa"/>
          </w:tcPr>
          <w:p w14:paraId="2FCEC037" w14:textId="77777777">
            <w:pPr>
              <w:pBdr/>
              <w:spacing/>
              <w:ind/>
              <w:jc w:val="both"/>
              <w:rPr>
                <w:rFonts w:ascii="Calibri" w:hAnsi="Calibri" w:cs="Arial"/>
                <w:i/>
                <w:color w:val="548dd4"/>
                <w:sz w:val="18"/>
                <w:szCs w:val="20"/>
                <w:lang w:eastAsia="es-CL"/>
              </w:rPr>
            </w:pPr>
            <w:r>
              <w:rPr>
                <w:b w:val="0"/>
                <w:sz w:val="15"/>
              </w:rPr>
              <w:t xml:space="preserve">Riesgo: gasto no previsto en la nube. Se mitiga configurando el presupuesto y las alertas antes de crear el primer recurso.</w:t>
            </w:r>
            <w:r>
              <w:rPr>
                <w:rFonts w:ascii="Calibri" w:hAnsi="Calibri" w:cs="Arial"/>
                <w:i/>
                <w:color w:val="548dd4"/>
                <w:sz w:val="18"/>
                <w:szCs w:val="20"/>
                <w:lang w:eastAsia="es-CL"/>
              </w:rPr>
            </w:r>
          </w:p>
        </w:tc>
        <w:tc>
          <w:tcPr>
            <w:tcBorders/>
            <w:tcW w:w="1418" w:type="dxa"/>
          </w:tcPr>
          <w:p w14:paraId="29B0BFEB" w14:textId="77777777">
            <w:pPr>
              <w:pBdr/>
              <w:spacing/>
              <w:ind/>
              <w:jc w:val="both"/>
              <w:rPr>
                <w:rFonts w:ascii="Calibri" w:hAnsi="Calibri" w:cs="Arial"/>
                <w:i/>
                <w:color w:val="548dd4"/>
                <w:sz w:val="18"/>
                <w:szCs w:val="20"/>
                <w:lang w:eastAsia="es-CL"/>
              </w:rPr>
            </w:pPr>
            <w:r>
              <w:rPr>
                <w:b w:val="0"/>
                <w:sz w:val="15"/>
              </w:rPr>
              <w:t xml:space="preserve">No iniciado</w:t>
            </w:r>
            <w:r>
              <w:rPr>
                <w:rFonts w:ascii="Calibri" w:hAnsi="Calibri" w:cs="Arial"/>
                <w:i/>
                <w:color w:val="548dd4"/>
                <w:sz w:val="18"/>
                <w:szCs w:val="20"/>
                <w:lang w:eastAsia="es-CL"/>
              </w:rPr>
            </w:r>
          </w:p>
        </w:tc>
        <w:tc>
          <w:tcPr>
            <w:tcBorders/>
            <w:tcW w:w="850" w:type="dxa"/>
          </w:tcPr>
          <w:p w14:paraId="7C6D6F31" w14:textId="77777777">
            <w:pPr>
              <w:pBdr/>
              <w:spacing/>
              <w:ind/>
              <w:jc w:val="both"/>
              <w:rPr>
                <w:rFonts w:ascii="Calibri" w:hAnsi="Calibri" w:cs="Arial"/>
                <w:i/>
                <w:color w:val="548dd4"/>
                <w:sz w:val="18"/>
                <w:szCs w:val="20"/>
                <w:lang w:eastAsia="es-CL"/>
              </w:rPr>
            </w:pPr>
            <w:r>
              <w:rPr>
                <w:b w:val="0"/>
                <w:sz w:val="15"/>
              </w:rPr>
              <w:t xml:space="preserve">Sin ajustes a la fecha.</w:t>
            </w:r>
            <w:r>
              <w:rPr>
                <w:rFonts w:ascii="Calibri" w:hAnsi="Calibri" w:cs="Arial"/>
                <w:i/>
                <w:color w:val="548dd4"/>
                <w:sz w:val="18"/>
                <w:szCs w:val="20"/>
                <w:lang w:eastAsia="es-CL"/>
              </w:rPr>
            </w:r>
          </w:p>
        </w:tc>
      </w:tr>
    </w:tbl>
    <w:p w14:paraId="66FF4E8D" w14:textId="77777777">
      <w:pPr>
        <w:pBdr/>
        <w:spacing/>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tbl>
      <w:tblPr>
        <w:tblStyle w:val="777"/>
        <w:tblInd w:w="-572" w:type="dxa"/>
        <w:tblW w:w="9498"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trPr>
          <w:trHeight w:val="440"/>
        </w:trPr>
        <w:tc>
          <w:tcPr>
            <w:tcBorders/>
            <w:tcW w:w="9498" w:type="dxa"/>
            <w:vAlign w:val="center"/>
          </w:tcPr>
          <w:p w14:paraId="6B756D75" w14:textId="77777777">
            <w:pPr>
              <w:pBdr/>
              <w:spacing/>
              <w:ind/>
              <w:rPr>
                <w:b/>
                <w:color w:val="1f3864" w:themeColor="accent1" w:themeShade="80"/>
                <w:sz w:val="28"/>
                <w:szCs w:val="28"/>
              </w:rPr>
            </w:pPr>
            <w:r>
              <w:rPr>
                <w:b/>
                <w:color w:val="1f3864" w:themeColor="accent1" w:themeShade="80"/>
                <w:sz w:val="28"/>
                <w:szCs w:val="28"/>
              </w:rPr>
              <w:t xml:space="preserve">3</w:t>
            </w:r>
            <w:r>
              <w:rPr>
                <w:b/>
                <w:color w:val="1f3864" w:themeColor="accent1" w:themeShade="80"/>
                <w:sz w:val="28"/>
                <w:szCs w:val="28"/>
              </w:rPr>
              <w:t xml:space="preserve">. </w:t>
            </w:r>
            <w:r>
              <w:rPr>
                <w:b/>
                <w:color w:val="1f3864" w:themeColor="accent1" w:themeShade="80"/>
                <w:sz w:val="28"/>
                <w:szCs w:val="28"/>
              </w:rPr>
              <w:t xml:space="preserve">Ajustes a partir del monitoreo </w:t>
            </w:r>
            <w:r>
              <w:rPr>
                <w:b/>
                <w:color w:val="1f3864" w:themeColor="accent1" w:themeShade="80"/>
                <w:sz w:val="28"/>
                <w:szCs w:val="28"/>
              </w:rPr>
            </w:r>
          </w:p>
        </w:tc>
      </w:tr>
      <w:tr>
        <w:trPr>
          <w:trHeight w:val="800"/>
        </w:trPr>
        <w:tc>
          <w:tcPr>
            <w:shd w:val="clear" w:color="auto" w:fill="d9e2f3" w:themeFill="accent1" w:themeFillTint="33"/>
            <w:tcBorders/>
            <w:tcW w:w="9498" w:type="dxa"/>
            <w:vAlign w:val="center"/>
          </w:tcPr>
          <w:p w14:paraId="5EF8C712" w14:textId="6A7F5694">
            <w:pPr>
              <w:pStyle w:val="778"/>
              <w:pBdr/>
              <w:spacing/>
              <w:ind/>
              <w:jc w:val="both"/>
              <w:rPr>
                <w:rFonts w:ascii="Calibri" w:hAnsi="Calibri"/>
                <w:color w:val="1f3864" w:themeColor="accent1" w:themeShade="80"/>
              </w:rPr>
            </w:pPr>
            <w:r>
              <w:rPr>
                <w:rFonts w:ascii="Calibri" w:hAnsi="Calibri"/>
                <w:color w:val="1f3864" w:themeColor="accent1" w:themeShade="80"/>
              </w:rPr>
              <w:t xml:space="preserve">Profundiza en las observaciones de tu plan de trabajo</w:t>
            </w:r>
            <w:r>
              <w:rPr>
                <w:rFonts w:ascii="Calibri" w:hAnsi="Calibri"/>
                <w:color w:val="1f3864" w:themeColor="accent1" w:themeShade="80"/>
              </w:rPr>
              <w:t xml:space="preserve">. Analiza las actividades planificadas y señala </w:t>
            </w:r>
            <w:r>
              <w:rPr>
                <w:rFonts w:ascii="Calibri" w:hAnsi="Calibri"/>
                <w:color w:val="1f3864" w:themeColor="accent1" w:themeShade="80"/>
              </w:rPr>
              <w:t xml:space="preserve">qué </w:t>
            </w:r>
            <w:r>
              <w:rPr>
                <w:rFonts w:ascii="Calibri" w:hAnsi="Calibri"/>
                <w:color w:val="1f3864" w:themeColor="accent1" w:themeShade="80"/>
              </w:rPr>
              <w:t xml:space="preserve">aspectos facilitaron u </w:t>
            </w:r>
            <w:r>
              <w:rPr>
                <w:rFonts w:ascii="Calibri" w:hAnsi="Calibri"/>
                <w:color w:val="1f3864" w:themeColor="accent1" w:themeShade="80"/>
              </w:rPr>
              <w:t xml:space="preserve">obst</w:t>
            </w:r>
            <w:r>
              <w:rPr>
                <w:rFonts w:ascii="Calibri" w:hAnsi="Calibri"/>
                <w:color w:val="1f3864" w:themeColor="accent1" w:themeShade="80"/>
              </w:rPr>
              <w:t xml:space="preserve">aculizaron la ejecución del plan. Plantea </w:t>
            </w:r>
            <w:r>
              <w:rPr>
                <w:rFonts w:ascii="Calibri" w:hAnsi="Calibri"/>
                <w:color w:val="1f3864" w:themeColor="accent1" w:themeShade="80"/>
              </w:rPr>
              <w:t xml:space="preserve">cómo abordaste y/o abordarás</w:t>
            </w:r>
            <w:r>
              <w:rPr>
                <w:rFonts w:ascii="Calibri" w:hAnsi="Calibri"/>
                <w:color w:val="1f3864" w:themeColor="accent1" w:themeShade="80"/>
              </w:rPr>
              <w:t xml:space="preserve"> los obstáculos. Por último, señala los ajustes que realizaste al plan de trabajo a partir de este análisis.</w:t>
            </w:r>
            <w:r>
              <w:rPr>
                <w:rFonts w:ascii="Calibri" w:hAnsi="Calibri"/>
                <w:color w:val="1f3864" w:themeColor="accent1" w:themeShade="80"/>
              </w:rPr>
            </w:r>
          </w:p>
        </w:tc>
      </w:tr>
    </w:tbl>
    <w:p w14:paraId="5C111E8F" w14:textId="77777777">
      <w:pPr>
        <w:pBdr/>
        <w:spacing/>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tbl>
      <w:tblPr>
        <w:tblStyle w:val="777"/>
        <w:tblW w:w="559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Pr w:horzAnchor="margin" w:tblpX="-572" w:vertAnchor="text" w:tblpY="1" w:leftFromText="180" w:topFromText="0" w:rightFromText="180" w:bottomFromText="0"/>
        <w:tblLook w:val="04A0" w:firstRow="1" w:lastRow="0" w:firstColumn="1" w:lastColumn="0" w:noHBand="0" w:noVBand="1"/>
      </w:tblPr>
      <w:tblGrid>
        <w:gridCol w:w="9496"/>
      </w:tblGrid>
      <w:tr>
        <w:trPr>
          <w:trHeight w:val="1936"/>
        </w:trPr>
        <w:tc>
          <w:tcPr>
            <w:tcBorders/>
            <w:tcW w:w="5000" w:type="pct"/>
            <w:vAlign w:val="center"/>
          </w:tcPr>
          <w:p w14:paraId="17CE44DE" w14:textId="77777777">
            <w:pPr>
              <w:pBdr/>
              <w:spacing/>
              <w:ind/>
              <w:jc w:val="both"/>
              <w:rPr>
                <w:rFonts w:ascii="Calibri" w:hAnsi="Calibri" w:cs="Arial"/>
                <w:i/>
                <w:iCs/>
                <w:color w:val="548dd4"/>
                <w:sz w:val="20"/>
                <w:szCs w:val="20"/>
                <w:lang w:eastAsia="es-CL"/>
              </w:rPr>
            </w:pPr>
            <w:r>
              <w:rPr>
                <w:b/>
              </w:rPr>
              <w:t xml:space="preserve">Factores que han facilitado y/o dificultado el desarrollo de mi plan de trabajo</w:t>
            </w:r>
            <w:r>
              <w:rPr>
                <w:rFonts w:ascii="Calibri" w:hAnsi="Calibri" w:cs="Arial"/>
                <w:i/>
                <w:iCs/>
                <w:color w:val="548dd4"/>
                <w:sz w:val="20"/>
                <w:szCs w:val="20"/>
                <w:lang w:eastAsia="es-CL"/>
              </w:rPr>
            </w:r>
          </w:p>
          <w:p w14:paraId="17CE44DE" w14:textId="77777777">
            <w:pPr>
              <w:pBdr/>
              <w:spacing/>
              <w:ind/>
              <w:jc w:val="both"/>
              <w:rPr>
                <w:rFonts w:ascii="Calibri" w:hAnsi="Calibri" w:cs="Arial"/>
                <w:i/>
                <w:iCs/>
                <w:color w:val="548dd4"/>
                <w:sz w:val="20"/>
                <w:szCs w:val="20"/>
                <w:lang w:eastAsia="es-CL"/>
              </w:rPr>
            </w:pPr>
            <w:r>
              <w:rPr>
                <w:b/>
              </w:rPr>
              <w:t xml:space="preserve">Factores que han facilitado el desarrollo.</w:t>
            </w:r>
            <w:r>
              <w:rPr>
                <w:rFonts w:ascii="Calibri" w:hAnsi="Calibri" w:cs="Arial"/>
                <w:i/>
                <w:iCs/>
                <w:color w:val="548dd4"/>
                <w:sz w:val="20"/>
                <w:szCs w:val="20"/>
                <w:lang w:eastAsia="es-CL"/>
              </w:rPr>
            </w:r>
          </w:p>
          <w:p w14:paraId="17CE44DE" w14:textId="77777777">
            <w:pPr>
              <w:pBdr/>
              <w:spacing/>
              <w:ind/>
              <w:jc w:val="both"/>
              <w:rPr>
                <w:rFonts w:ascii="Calibri" w:hAnsi="Calibri" w:cs="Arial"/>
                <w:i/>
                <w:iCs/>
                <w:color w:val="548dd4"/>
                <w:sz w:val="20"/>
                <w:szCs w:val="20"/>
                <w:lang w:eastAsia="es-CL"/>
              </w:rPr>
            </w:pPr>
            <w:r>
              <w:rPr>
                <w:b w:val="0"/>
              </w:rPr>
              <w:t xml:space="preserve">Resolver la infraestructura completa en el primer sprint, antes que cualquier funcionalidad. Dejó el riesgo técnico mayor —orquestación, aislamiento de datos por se</w:t>
            </w:r>
            <w:r>
              <w:rPr>
                <w:b w:val="0"/>
              </w:rPr>
              <w:t xml:space="preserve">rvicio, punto único de entrada— resuelto y verificado en la semana 4, en lugar de descubrirlo al final. Como consecuencia, cualquier integrante levanta el sistema completo desde un repositorio limpio con un solo comando, sin depender de la máquina de otro.</w:t>
            </w:r>
            <w:r>
              <w:rPr>
                <w:rFonts w:ascii="Calibri" w:hAnsi="Calibri" w:cs="Arial"/>
                <w:i/>
                <w:iCs/>
                <w:color w:val="548dd4"/>
                <w:sz w:val="20"/>
                <w:szCs w:val="20"/>
                <w:lang w:eastAsia="es-CL"/>
              </w:rPr>
            </w:r>
          </w:p>
          <w:p w14:paraId="17CE44DE" w14:textId="77777777">
            <w:pPr>
              <w:pBdr/>
              <w:spacing/>
              <w:ind/>
              <w:jc w:val="both"/>
              <w:rPr>
                <w:rFonts w:ascii="Calibri" w:hAnsi="Calibri" w:cs="Arial"/>
                <w:i/>
                <w:iCs/>
                <w:color w:val="548dd4"/>
                <w:sz w:val="20"/>
                <w:szCs w:val="20"/>
                <w:lang w:eastAsia="es-CL"/>
              </w:rPr>
            </w:pPr>
            <w:r>
              <w:rPr>
                <w:b w:val="0"/>
              </w:rPr>
              <w:t xml:space="preserve">La integración continua con verificación automatizada</w:t>
            </w:r>
            <w:r>
              <w:rPr>
                <w:b w:val="0"/>
              </w:rPr>
              <w:t xml:space="preserve"> desde el primer sprint. Compilación, pruebas y escaneo de secretos bloquean la integración ante cada cambio propuesto, de modo que la calidad no depende de que alguien se acuerde de revisar. En tres sprints no ha llegado ninguna credencial al repositorio.</w:t>
            </w:r>
            <w:r>
              <w:rPr>
                <w:rFonts w:ascii="Calibri" w:hAnsi="Calibri" w:cs="Arial"/>
                <w:i/>
                <w:iCs/>
                <w:color w:val="548dd4"/>
                <w:sz w:val="20"/>
                <w:szCs w:val="20"/>
                <w:lang w:eastAsia="es-CL"/>
              </w:rPr>
            </w:r>
          </w:p>
          <w:p w14:paraId="17CE44DE" w14:textId="77777777">
            <w:pPr>
              <w:pBdr/>
              <w:spacing/>
              <w:ind/>
              <w:jc w:val="both"/>
              <w:rPr>
                <w:rFonts w:ascii="Calibri" w:hAnsi="Calibri" w:cs="Arial"/>
                <w:i/>
                <w:iCs/>
                <w:color w:val="548dd4"/>
                <w:sz w:val="20"/>
                <w:szCs w:val="20"/>
                <w:lang w:eastAsia="es-CL"/>
              </w:rPr>
            </w:pPr>
            <w:r>
              <w:rPr>
                <w:b w:val="0"/>
              </w:rPr>
              <w:t xml:space="preserve">Tener el backlog priorizado desde la definición. Aún no ha sido necesario recortar alcance, pero si llega a serlo, la priorización previa permite que el recorte elimine la funcionalidad de menor valor en lugar de dejar a medias la de mayor valor.</w:t>
            </w:r>
            <w:r>
              <w:rPr>
                <w:rFonts w:ascii="Calibri" w:hAnsi="Calibri" w:cs="Arial"/>
                <w:i/>
                <w:iCs/>
                <w:color w:val="548dd4"/>
                <w:sz w:val="20"/>
                <w:szCs w:val="20"/>
                <w:lang w:eastAsia="es-CL"/>
              </w:rPr>
            </w:r>
          </w:p>
          <w:p w14:paraId="17CE44DE" w14:textId="77777777">
            <w:pPr>
              <w:pBdr/>
              <w:spacing/>
              <w:ind/>
              <w:jc w:val="both"/>
              <w:rPr>
                <w:rFonts w:ascii="Calibri" w:hAnsi="Calibri" w:cs="Arial"/>
                <w:i/>
                <w:iCs/>
                <w:color w:val="548dd4"/>
                <w:sz w:val="20"/>
                <w:szCs w:val="20"/>
                <w:lang w:eastAsia="es-CL"/>
              </w:rPr>
            </w:pPr>
            <w:r>
              <w:rPr>
                <w:b w:val="0"/>
              </w:rPr>
              <w:t xml:space="preserve">Probar la resiliencia apagando servicios de verdad y escaneando puertos desde fuera, en lugar de darlos por buenos. Es lo que reveló el defecto del cortocircuito en el Sprint 1, que ningún criterio automatizado habría encontrado.</w:t>
            </w:r>
            <w:r>
              <w:rPr>
                <w:rFonts w:ascii="Calibri" w:hAnsi="Calibri" w:cs="Arial"/>
                <w:i/>
                <w:iCs/>
                <w:color w:val="548dd4"/>
                <w:sz w:val="20"/>
                <w:szCs w:val="20"/>
                <w:lang w:eastAsia="es-CL"/>
              </w:rPr>
            </w:r>
          </w:p>
          <w:p w14:paraId="17CE44DE" w14:textId="77777777">
            <w:pPr>
              <w:pBdr/>
              <w:spacing/>
              <w:ind/>
              <w:jc w:val="both"/>
              <w:rPr>
                <w:rFonts w:ascii="Calibri" w:hAnsi="Calibri" w:cs="Arial"/>
                <w:i/>
                <w:iCs/>
                <w:color w:val="548dd4"/>
                <w:sz w:val="20"/>
                <w:szCs w:val="20"/>
                <w:lang w:eastAsia="es-CL"/>
              </w:rPr>
            </w:pPr>
            <w:r>
              <w:rPr>
                <w:b/>
              </w:rPr>
              <w:t xml:space="preserve">Factores que han dificultado el desarrollo, y cómo se abordaron.</w:t>
            </w:r>
            <w:r>
              <w:rPr>
                <w:rFonts w:ascii="Calibri" w:hAnsi="Calibri" w:cs="Arial"/>
                <w:i/>
                <w:iCs/>
                <w:color w:val="548dd4"/>
                <w:sz w:val="20"/>
                <w:szCs w:val="20"/>
                <w:lang w:eastAsia="es-CL"/>
              </w:rPr>
            </w:r>
          </w:p>
          <w:p w14:paraId="17CE44DE" w14:textId="77777777">
            <w:pPr>
              <w:pBdr/>
              <w:spacing/>
              <w:ind/>
              <w:jc w:val="both"/>
              <w:rPr>
                <w:rFonts w:ascii="Calibri" w:hAnsi="Calibri" w:cs="Arial"/>
                <w:i/>
                <w:iCs/>
                <w:color w:val="548dd4"/>
                <w:sz w:val="20"/>
                <w:szCs w:val="20"/>
                <w:lang w:eastAsia="es-CL"/>
              </w:rPr>
            </w:pPr>
            <w:r>
              <w:rPr>
                <w:b w:val="0"/>
              </w:rPr>
              <w:t xml:space="preserve">El Sprint 1 se planificó por sobre la capacidad del equipo. Comprometía la infraestructura, la capa de datos del catálogo y la épica completa de registro y autenticación. Se ab</w:t>
            </w:r>
            <w:r>
              <w:rPr>
                <w:b w:val="0"/>
              </w:rPr>
              <w:t xml:space="preserve">ordó difiriendo la épica y dejando anotado en el backlog qué quedaba desactivado: el gateway declara las rutas protegidas pero no valida la firma del token hasta el Sprint 7. La anotación explícita es lo que evita que una deuda diferida se pierda de vista.</w:t>
            </w:r>
            <w:r>
              <w:rPr>
                <w:rFonts w:ascii="Calibri" w:hAnsi="Calibri" w:cs="Arial"/>
                <w:i/>
                <w:iCs/>
                <w:color w:val="548dd4"/>
                <w:sz w:val="20"/>
                <w:szCs w:val="20"/>
                <w:lang w:eastAsia="es-CL"/>
              </w:rPr>
            </w:r>
          </w:p>
          <w:p w14:paraId="17CE44DE" w14:textId="77777777">
            <w:pPr>
              <w:pBdr/>
              <w:spacing/>
              <w:ind/>
              <w:jc w:val="both"/>
              <w:rPr>
                <w:rFonts w:ascii="Calibri" w:hAnsi="Calibri" w:cs="Arial"/>
                <w:i/>
                <w:iCs/>
                <w:color w:val="548dd4"/>
                <w:sz w:val="20"/>
                <w:szCs w:val="20"/>
                <w:lang w:eastAsia="es-CL"/>
              </w:rPr>
            </w:pPr>
            <w:r>
              <w:rPr>
                <w:b w:val="0"/>
              </w:rPr>
              <w:t xml:space="preserve">El valor por omisión de la biblioteca de resiliencia cortaba l</w:t>
            </w:r>
            <w:r>
              <w:rPr>
                <w:b w:val="0"/>
              </w:rPr>
              <w:t xml:space="preserve">lamadas sanas. El límite de tiempo del cortocircuito resultó ser de un segundo, por debajo del tiempo de respuesta normal del servicio, y la plataforma se degradaba sin que hubiera falla real. Se abordó fijando el límite de forma explícita en la configurac</w:t>
            </w:r>
            <w:r>
              <w:rPr>
                <w:b w:val="0"/>
              </w:rPr>
              <w:t xml:space="preserve">ión, calibrado contra el tiempo de respuesta observado. Queda pendiente revisar si ese mismo valor por omisión está operando en otros puntos del sistema, en particular en las llamadas salientes del Sprint 4, que tardan bastante más que una llamada interna.</w:t>
            </w:r>
            <w:r>
              <w:rPr>
                <w:rFonts w:ascii="Calibri" w:hAnsi="Calibri" w:cs="Arial"/>
                <w:i/>
                <w:iCs/>
                <w:color w:val="548dd4"/>
                <w:sz w:val="20"/>
                <w:szCs w:val="20"/>
                <w:lang w:eastAsia="es-CL"/>
              </w:rPr>
            </w:r>
          </w:p>
          <w:p w14:paraId="17CE44DE" w14:textId="77777777">
            <w:pPr>
              <w:pBdr/>
              <w:spacing/>
              <w:ind/>
              <w:jc w:val="both"/>
              <w:rPr>
                <w:rFonts w:ascii="Calibri" w:hAnsi="Calibri" w:cs="Arial"/>
                <w:i/>
                <w:iCs/>
                <w:color w:val="548dd4"/>
                <w:sz w:val="20"/>
                <w:szCs w:val="20"/>
                <w:lang w:eastAsia="es-CL"/>
              </w:rPr>
            </w:pPr>
            <w:r>
              <w:rPr>
                <w:b w:val="0"/>
              </w:rPr>
              <w:t xml:space="preserve">La carga de trabajo está conc</w:t>
            </w:r>
            <w:r>
              <w:rPr>
                <w:b w:val="0"/>
              </w:rPr>
              <w:t xml:space="preserve">entrada en dos integrantes. De las 57 horas hombre consumidas hasta el corte, la distribución entre los tres integrantes es desigual: el Sprint 1 no asignó tareas propias a un integrante, el Sprint 2 dejó a dos sin trabajo asignado, y el Sprint 3 en curso </w:t>
            </w:r>
            <w:r>
              <w:rPr>
                <w:b w:val="0"/>
              </w:rPr>
              <w:t xml:space="preserve">vuelve a dejar a uno sin tareas propias. La acción de mejora levantada en la retrospectiva del Sprint 1 para evitarlo no se ha cumplido. Se aborda de dos formas: desde el Sprint 3 las tareas de servicio y de interfaz de una misma historia se reparten entre</w:t>
            </w:r>
            <w:r>
              <w:rPr>
                <w:b w:val="0"/>
              </w:rPr>
              <w:t xml:space="preserve"> dos integrantes, y a partir de la planificación del Sprint 4 la reunión terminará con una revisión explícita de cuántas horas queda con cada integrante, de modo que un sprint con alguien sin tareas se levante como impedimento el primer día y no al cierre.</w:t>
            </w:r>
            <w:r>
              <w:rPr>
                <w:rFonts w:ascii="Calibri" w:hAnsi="Calibri" w:cs="Arial"/>
                <w:i/>
                <w:iCs/>
                <w:color w:val="548dd4"/>
                <w:sz w:val="20"/>
                <w:szCs w:val="20"/>
                <w:lang w:eastAsia="es-CL"/>
              </w:rPr>
            </w:r>
          </w:p>
          <w:p w14:paraId="17CE44DE" w14:textId="77777777">
            <w:pPr>
              <w:pBdr/>
              <w:spacing/>
              <w:ind/>
              <w:jc w:val="both"/>
              <w:rPr>
                <w:rFonts w:ascii="Calibri" w:hAnsi="Calibri" w:cs="Arial"/>
                <w:i/>
                <w:iCs/>
                <w:color w:val="548dd4"/>
                <w:sz w:val="20"/>
                <w:szCs w:val="20"/>
                <w:lang w:eastAsia="es-CL"/>
              </w:rPr>
            </w:pPr>
            <w:r>
              <w:rPr>
                <w:b w:val="0"/>
              </w:rPr>
              <w:t xml:space="preserve">Una restricción legal condiciona el contenido de prueba. La Ley 17.336 impide alojar material protegido para probar la reproducción, que es el trabajo del Sprint 3 en curso. Se aborda por diseño: el contenido se limita a material de dominio públi</w:t>
            </w:r>
            <w:r>
              <w:rPr>
                <w:b w:val="0"/>
              </w:rPr>
              <w:t xml:space="preserve">co, tráileres oficiales y material propio del equipo, y se agregó al modelo un campo de licencia por contenido que el reproductor muestra al cargar el episodio. Una restricción legal resuelta en la base de datos deja de depender de que alguien la recuerde.</w:t>
            </w:r>
            <w:r>
              <w:rPr>
                <w:rFonts w:ascii="Calibri" w:hAnsi="Calibri" w:cs="Arial"/>
                <w:i/>
                <w:iCs/>
                <w:color w:val="548dd4"/>
                <w:sz w:val="20"/>
                <w:szCs w:val="20"/>
                <w:lang w:eastAsia="es-CL"/>
              </w:rPr>
            </w:r>
          </w:p>
          <w:p w14:paraId="17CE44DE" w14:textId="77777777">
            <w:pPr>
              <w:pBdr/>
              <w:spacing/>
              <w:ind/>
              <w:jc w:val="both"/>
              <w:rPr>
                <w:rFonts w:ascii="Calibri" w:hAnsi="Calibri" w:cs="Arial"/>
                <w:i/>
                <w:iCs/>
                <w:color w:val="548dd4"/>
                <w:sz w:val="20"/>
                <w:szCs w:val="20"/>
                <w:lang w:eastAsia="es-CL"/>
              </w:rPr>
            </w:pPr>
            <w:r>
              <w:rPr>
                <w:b w:val="0"/>
              </w:rPr>
              <w:t xml:space="preserve">El calendario tie</w:t>
            </w:r>
            <w:r>
              <w:rPr>
                <w:b w:val="0"/>
              </w:rPr>
              <w:t xml:space="preserve">ne dos feriados en día hábil. El viernes 18 de septiembre, dentro de esta misma semana, y el lunes 12 de octubre, dentro del Sprint 5. Ambos están descontados del conteo de días hábiles de cada sprint desde la planificación, de modo que no generan retraso.</w:t>
            </w:r>
            <w:r>
              <w:rPr>
                <w:rFonts w:ascii="Calibri" w:hAnsi="Calibri" w:cs="Arial"/>
                <w:i/>
                <w:iCs/>
                <w:color w:val="548dd4"/>
                <w:sz w:val="20"/>
                <w:szCs w:val="20"/>
                <w:lang w:eastAsia="es-CL"/>
              </w:rPr>
            </w:r>
          </w:p>
        </w:tc>
      </w:tr>
    </w:tbl>
    <w:p w14:paraId="7BD7514A" w14:textId="77777777">
      <w:pPr>
        <w:pBdr/>
        <w:spacing/>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tbl>
      <w:tblPr>
        <w:tblStyle w:val="777"/>
        <w:tblW w:w="5588"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Pr w:horzAnchor="margin" w:tblpX="-572" w:vertAnchor="text" w:tblpY="107" w:leftFromText="180" w:topFromText="0" w:rightFromText="180" w:bottomFromText="0"/>
        <w:tblLook w:val="04A0" w:firstRow="1" w:lastRow="0" w:firstColumn="1" w:lastColumn="0" w:noHBand="0" w:noVBand="1"/>
      </w:tblPr>
      <w:tblGrid>
        <w:gridCol w:w="9493"/>
      </w:tblGrid>
      <w:tr>
        <w:trPr>
          <w:trHeight w:val="1936"/>
        </w:trPr>
        <w:tc>
          <w:tcPr>
            <w:tcBorders/>
            <w:tcW w:w="5000" w:type="pct"/>
            <w:vAlign w:val="center"/>
          </w:tcPr>
          <w:p w14:paraId="0E567A33" w14:textId="2A8FED79">
            <w:pPr>
              <w:pBdr/>
              <w:spacing/>
              <w:ind/>
              <w:jc w:val="both"/>
              <w:rPr>
                <w:rFonts w:ascii="Calibri" w:hAnsi="Calibri" w:cs="Arial"/>
                <w:i/>
                <w:color w:val="548dd4"/>
                <w:sz w:val="20"/>
                <w:szCs w:val="20"/>
                <w:lang w:eastAsia="es-CL"/>
              </w:rPr>
            </w:pPr>
            <w:r>
              <w:rPr>
                <w:b/>
              </w:rPr>
              <w:t xml:space="preserve">Actividades ajustadas o eliminadas</w:t>
            </w:r>
            <w:r>
              <w:rPr>
                <w:rFonts w:ascii="Calibri" w:hAnsi="Calibri" w:cs="Arial"/>
                <w:i/>
                <w:color w:val="548dd4"/>
                <w:sz w:val="20"/>
                <w:szCs w:val="20"/>
                <w:lang w:eastAsia="es-CL"/>
              </w:rPr>
            </w:r>
          </w:p>
          <w:p w14:paraId="0E567A33" w14:textId="2A8FED79">
            <w:pPr>
              <w:pBdr/>
              <w:spacing/>
              <w:ind/>
              <w:jc w:val="both"/>
              <w:rPr>
                <w:rFonts w:ascii="Calibri" w:hAnsi="Calibri" w:cs="Arial"/>
                <w:i/>
                <w:color w:val="548dd4"/>
                <w:sz w:val="20"/>
                <w:szCs w:val="20"/>
                <w:lang w:eastAsia="es-CL"/>
              </w:rPr>
            </w:pPr>
            <w:r>
              <w:rPr>
                <w:b/>
              </w:rPr>
              <w:t xml:space="preserve">Actividades eliminadas.</w:t>
            </w:r>
            <w:r>
              <w:rPr>
                <w:rFonts w:ascii="Calibri" w:hAnsi="Calibri" w:cs="Arial"/>
                <w:i/>
                <w:color w:val="548dd4"/>
                <w:sz w:val="20"/>
                <w:szCs w:val="20"/>
                <w:lang w:eastAsia="es-CL"/>
              </w:rPr>
            </w:r>
          </w:p>
          <w:p w14:paraId="0E567A33" w14:textId="2A8FED79">
            <w:pPr>
              <w:pBdr/>
              <w:spacing/>
              <w:ind/>
              <w:jc w:val="both"/>
              <w:rPr>
                <w:rFonts w:ascii="Calibri" w:hAnsi="Calibri" w:cs="Arial"/>
                <w:i/>
                <w:color w:val="548dd4"/>
                <w:sz w:val="20"/>
                <w:szCs w:val="20"/>
                <w:lang w:eastAsia="es-CL"/>
              </w:rPr>
            </w:pPr>
            <w:r>
              <w:rPr>
                <w:b w:val="0"/>
              </w:rPr>
              <w:t xml:space="preserve">Ninguna. Las nueve actividades del plan de trabajo siguen vigentes, con su duración y sus semanas originales. El alcance comprometido se mantiene en 100 puntos de historia y catorce historias de usuario.</w:t>
            </w:r>
            <w:r>
              <w:rPr>
                <w:rFonts w:ascii="Calibri" w:hAnsi="Calibri" w:cs="Arial"/>
                <w:i/>
                <w:color w:val="548dd4"/>
                <w:sz w:val="20"/>
                <w:szCs w:val="20"/>
                <w:lang w:eastAsia="es-CL"/>
              </w:rPr>
            </w:r>
          </w:p>
          <w:p w14:paraId="0E567A33" w14:textId="2A8FED79">
            <w:pPr>
              <w:pBdr/>
              <w:spacing/>
              <w:ind/>
              <w:jc w:val="both"/>
              <w:rPr>
                <w:rFonts w:ascii="Calibri" w:hAnsi="Calibri" w:cs="Arial"/>
                <w:i/>
                <w:color w:val="548dd4"/>
                <w:sz w:val="20"/>
                <w:szCs w:val="20"/>
                <w:lang w:eastAsia="es-CL"/>
              </w:rPr>
            </w:pPr>
            <w:r>
              <w:rPr>
                <w:b/>
              </w:rPr>
              <w:t xml:space="preserve">Actividades ajustadas.</w:t>
            </w:r>
            <w:r>
              <w:rPr>
                <w:rFonts w:ascii="Calibri" w:hAnsi="Calibri" w:cs="Arial"/>
                <w:i/>
                <w:color w:val="548dd4"/>
                <w:sz w:val="20"/>
                <w:szCs w:val="20"/>
                <w:lang w:eastAsia="es-CL"/>
              </w:rPr>
            </w:r>
          </w:p>
          <w:p w14:paraId="0E567A33" w14:textId="2A8FED79">
            <w:pPr>
              <w:pBdr/>
              <w:spacing/>
              <w:ind/>
              <w:jc w:val="both"/>
              <w:rPr>
                <w:rFonts w:ascii="Calibri" w:hAnsi="Calibri" w:cs="Arial"/>
                <w:i/>
                <w:color w:val="548dd4"/>
                <w:sz w:val="20"/>
                <w:szCs w:val="20"/>
                <w:lang w:eastAsia="es-CL"/>
              </w:rPr>
            </w:pPr>
            <w:r>
              <w:rPr>
                <w:b w:val="0"/>
              </w:rPr>
              <w:t xml:space="preserve">Ninguna ac</w:t>
            </w:r>
            <w:r>
              <w:rPr>
                <w:b w:val="0"/>
              </w:rPr>
              <w:t xml:space="preserve">tividad cambió de nombre, de duración ni de fechas. Lo que se ajustó fue el contenido de dos de ellas, redistribuyendo funcionalidad entre sprints. Ambas decisiones se tomaron en la revisión del Sprint 1, el 26 de agosto, y están registradas con su motivo.</w:t>
            </w:r>
            <w:r>
              <w:rPr>
                <w:rFonts w:ascii="Calibri" w:hAnsi="Calibri" w:cs="Arial"/>
                <w:i/>
                <w:color w:val="548dd4"/>
                <w:sz w:val="20"/>
                <w:szCs w:val="20"/>
                <w:lang w:eastAsia="es-CL"/>
              </w:rPr>
            </w:r>
          </w:p>
          <w:p w14:paraId="0E567A33" w14:textId="2A8FED79">
            <w:pPr>
              <w:pBdr/>
              <w:spacing/>
              <w:ind/>
              <w:jc w:val="both"/>
              <w:rPr>
                <w:rFonts w:ascii="Calibri" w:hAnsi="Calibri" w:cs="Arial"/>
                <w:i/>
                <w:color w:val="548dd4"/>
                <w:sz w:val="20"/>
                <w:szCs w:val="20"/>
                <w:lang w:eastAsia="es-CL"/>
              </w:rPr>
            </w:pPr>
            <w:r>
              <w:rPr>
                <w:b w:val="0"/>
              </w:rPr>
              <w:t xml:space="preserve">El registro y la autenticación se movieron del Sprint 1 al Sprint 7. </w:t>
            </w:r>
            <w:r>
              <w:rPr>
                <w:b w:val="0"/>
              </w:rPr>
              <w:t xml:space="preserve">En la planificación original la épica compartía sprint con la infraestructura y la capa de datos del catálogo, y no cabía en la capacidad del equipo. La consecuencia de este ajuste no es menor y quedó anotada: mientras la épica no se construya, el gateway </w:t>
            </w:r>
            <w:r>
              <w:rPr>
                <w:b w:val="0"/>
              </w:rPr>
              <w:t xml:space="preserve">rutea sin validar la firma del token, con las rutas protegidas declaradas pero no exigidas. Se difirió dejando escrito en el backlog qué queda desactivado y hasta cuándo, precisamente para que la deuda no se pierda de vista en los seis sprints intermedios.</w:t>
            </w:r>
            <w:r>
              <w:rPr>
                <w:rFonts w:ascii="Calibri" w:hAnsi="Calibri" w:cs="Arial"/>
                <w:i/>
                <w:color w:val="548dd4"/>
                <w:sz w:val="20"/>
                <w:szCs w:val="20"/>
                <w:lang w:eastAsia="es-CL"/>
              </w:rPr>
            </w:r>
          </w:p>
          <w:p w14:paraId="0E567A33" w14:textId="2A8FED79">
            <w:pPr>
              <w:pBdr/>
              <w:spacing/>
              <w:ind/>
              <w:jc w:val="both"/>
              <w:rPr>
                <w:rFonts w:ascii="Calibri" w:hAnsi="Calibri" w:cs="Arial"/>
                <w:i/>
                <w:color w:val="548dd4"/>
                <w:sz w:val="20"/>
                <w:szCs w:val="20"/>
                <w:lang w:eastAsia="es-CL"/>
              </w:rPr>
            </w:pPr>
            <w:r>
              <w:rPr>
                <w:b w:val="0"/>
              </w:rPr>
              <w:t xml:space="preserve">La interfaz del catálogo se movió del Sprint 1 al Sprint 2. La historia aba</w:t>
            </w:r>
            <w:r>
              <w:rPr>
                <w:b w:val="0"/>
              </w:rPr>
              <w:t xml:space="preserve">rcaba servicio e interfaz, que son trabajos distintos y con responsables distintos, y terminó el Sprint 1 a ocho de sus trece puntos. Desde entonces las historias que cruzan ambas capas se dividen en el backlog al incorporarlas, no al planificar el sprint.</w:t>
            </w:r>
            <w:r>
              <w:rPr>
                <w:rFonts w:ascii="Calibri" w:hAnsi="Calibri" w:cs="Arial"/>
                <w:i/>
                <w:color w:val="548dd4"/>
                <w:sz w:val="20"/>
                <w:szCs w:val="20"/>
                <w:lang w:eastAsia="es-CL"/>
              </w:rPr>
            </w:r>
          </w:p>
          <w:p w14:paraId="0E567A33" w14:textId="2A8FED79">
            <w:pPr>
              <w:pBdr/>
              <w:spacing/>
              <w:ind/>
              <w:jc w:val="both"/>
              <w:rPr>
                <w:rFonts w:ascii="Calibri" w:hAnsi="Calibri" w:cs="Arial"/>
                <w:i/>
                <w:color w:val="548dd4"/>
                <w:sz w:val="20"/>
                <w:szCs w:val="20"/>
                <w:lang w:eastAsia="es-CL"/>
              </w:rPr>
            </w:pPr>
            <w:r>
              <w:rPr>
                <w:b/>
              </w:rPr>
              <w:t xml:space="preserve">Ajuste en evaluación.</w:t>
            </w:r>
            <w:r>
              <w:rPr>
                <w:rFonts w:ascii="Calibri" w:hAnsi="Calibri" w:cs="Arial"/>
                <w:i/>
                <w:color w:val="548dd4"/>
                <w:sz w:val="20"/>
                <w:szCs w:val="20"/>
                <w:lang w:eastAsia="es-CL"/>
              </w:rPr>
            </w:r>
          </w:p>
          <w:p w14:paraId="0E567A33" w14:textId="2A8FED79">
            <w:pPr>
              <w:pBdr/>
              <w:spacing/>
              <w:ind/>
              <w:jc w:val="both"/>
              <w:rPr>
                <w:rFonts w:ascii="Calibri" w:hAnsi="Calibri" w:cs="Arial"/>
                <w:i/>
                <w:color w:val="548dd4"/>
                <w:sz w:val="20"/>
                <w:szCs w:val="20"/>
                <w:lang w:eastAsia="es-CL"/>
              </w:rPr>
            </w:pPr>
            <w:r>
              <w:rPr>
                <w:b w:val="0"/>
              </w:rPr>
              <w:t xml:space="preserve">Durante el Sprint 3 en curso se detectó que el registro del punto de reproducción, planificado para este sprint, depende de un microservicio de interacciones que todavía no existe. Construirlo ahora dejaría la sincronización del catálogo para el final del </w:t>
            </w:r>
            <w:r>
              <w:rPr>
                <w:b w:val="0"/>
              </w:rPr>
              <w:t xml:space="preserve">proyecto. La alternativa que el equipo evalúa es agruparlo con los favoritos y las recomendaciones, que usan ese mismo microservicio, lo que lo llevaría al Sprint 6. La decisión se tomará en la revisión del 24 de septiembre y quedará registrada en su acta.</w:t>
            </w:r>
            <w:r>
              <w:rPr>
                <w:rFonts w:ascii="Calibri" w:hAnsi="Calibri" w:cs="Arial"/>
                <w:i/>
                <w:color w:val="548dd4"/>
                <w:sz w:val="20"/>
                <w:szCs w:val="20"/>
                <w:lang w:eastAsia="es-CL"/>
              </w:rPr>
            </w:r>
          </w:p>
        </w:tc>
      </w:tr>
    </w:tbl>
    <w:p w14:paraId="4B435A76" w14:textId="0F0AF681">
      <w:pPr>
        <w:pBdr/>
        <w:spacing w:after="0" w:line="240" w:lineRule="auto"/>
        <w:ind/>
        <w:jc w:val="both"/>
        <w:rPr>
          <w:rFonts w:ascii="Calibri" w:hAnsi="Calibri" w:cs="Arial"/>
          <w:i/>
          <w:color w:val="548dd4"/>
          <w:sz w:val="20"/>
          <w:szCs w:val="20"/>
          <w:lang w:eastAsia="es-CL"/>
        </w:rPr>
      </w:pPr>
      <w:r>
        <w:rPr>
          <w:rFonts w:ascii="Calibri" w:hAnsi="Calibri" w:cs="Arial"/>
          <w:i/>
          <w:color w:val="548dd4"/>
          <w:sz w:val="20"/>
          <w:szCs w:val="20"/>
          <w:lang w:eastAsia="es-CL"/>
        </w:rPr>
      </w:r>
      <w:r>
        <w:rPr>
          <w:rFonts w:ascii="Calibri" w:hAnsi="Calibri" w:cs="Arial"/>
          <w:i/>
          <w:color w:val="548dd4"/>
          <w:sz w:val="20"/>
          <w:szCs w:val="20"/>
          <w:lang w:eastAsia="es-CL"/>
        </w:rPr>
      </w:r>
    </w:p>
    <w:p w14:paraId="329F7673" w14:textId="77777777">
      <w:pPr>
        <w:pBdr/>
        <w:spacing w:after="0" w:line="240" w:lineRule="auto"/>
        <w:ind/>
        <w:jc w:val="both"/>
        <w:rPr>
          <w:rFonts w:ascii="Calibri" w:hAnsi="Calibri" w:cs="Arial"/>
          <w:i/>
          <w:color w:val="548dd4"/>
          <w:sz w:val="20"/>
          <w:szCs w:val="20"/>
          <w:lang w:eastAsia="es-CL"/>
        </w:rPr>
      </w:pPr>
      <w:r>
        <w:rPr>
          <w:rFonts w:ascii="Calibri" w:hAnsi="Calibri" w:cs="Arial"/>
          <w:i/>
          <w:color w:val="548dd4"/>
          <w:sz w:val="20"/>
          <w:szCs w:val="20"/>
          <w:lang w:eastAsia="es-CL"/>
        </w:rPr>
      </w:r>
      <w:r>
        <w:rPr>
          <w:rFonts w:ascii="Calibri" w:hAnsi="Calibri" w:cs="Arial"/>
          <w:i/>
          <w:color w:val="548dd4"/>
          <w:sz w:val="20"/>
          <w:szCs w:val="20"/>
          <w:lang w:eastAsia="es-CL"/>
        </w:rPr>
      </w:r>
    </w:p>
    <w:tbl>
      <w:tblPr>
        <w:tblStyle w:val="777"/>
        <w:tblInd w:w="-572" w:type="dxa"/>
        <w:tblW w:w="5591"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trPr>
          <w:trHeight w:val="1966"/>
        </w:trPr>
        <w:tc>
          <w:tcPr>
            <w:tcBorders/>
            <w:tcW w:w="5000" w:type="pct"/>
            <w:vAlign w:val="center"/>
          </w:tcPr>
          <w:p w14:paraId="71F24186" w14:textId="6C9A0274">
            <w:pPr>
              <w:pBdr/>
              <w:spacing/>
              <w:ind/>
              <w:jc w:val="both"/>
              <w:rPr>
                <w:rFonts w:ascii="Calibri" w:hAnsi="Calibri" w:cs="Arial"/>
                <w:i/>
                <w:color w:val="548dd4"/>
                <w:sz w:val="20"/>
                <w:szCs w:val="20"/>
                <w:lang w:eastAsia="es-CL"/>
              </w:rPr>
            </w:pPr>
            <w:r>
              <w:rPr>
                <w:b/>
              </w:rPr>
              <w:t xml:space="preserve">Actividades que no has iniciado o están retrasadas</w:t>
            </w:r>
            <w:r>
              <w:rPr>
                <w:rFonts w:ascii="Calibri" w:hAnsi="Calibri" w:cs="Arial"/>
                <w:i/>
                <w:color w:val="548dd4"/>
                <w:sz w:val="20"/>
                <w:szCs w:val="20"/>
                <w:lang w:eastAsia="es-CL"/>
              </w:rPr>
            </w:r>
          </w:p>
          <w:p w14:paraId="71F24186" w14:textId="6C9A0274">
            <w:pPr>
              <w:pBdr/>
              <w:spacing/>
              <w:ind/>
              <w:jc w:val="both"/>
              <w:rPr>
                <w:rFonts w:ascii="Calibri" w:hAnsi="Calibri" w:cs="Arial"/>
                <w:i/>
                <w:color w:val="548dd4"/>
                <w:sz w:val="20"/>
                <w:szCs w:val="20"/>
                <w:lang w:eastAsia="es-CL"/>
              </w:rPr>
            </w:pPr>
            <w:r>
              <w:rPr>
                <w:b/>
              </w:rPr>
              <w:t xml:space="preserve">Actividades no iniciadas.</w:t>
            </w:r>
            <w:r>
              <w:rPr>
                <w:rFonts w:ascii="Calibri" w:hAnsi="Calibri" w:cs="Arial"/>
                <w:i/>
                <w:color w:val="548dd4"/>
                <w:sz w:val="20"/>
                <w:szCs w:val="20"/>
                <w:lang w:eastAsia="es-CL"/>
              </w:rPr>
            </w:r>
          </w:p>
          <w:p w14:paraId="71F24186" w14:textId="6C9A0274">
            <w:pPr>
              <w:pBdr/>
              <w:spacing/>
              <w:ind/>
              <w:jc w:val="both"/>
              <w:rPr>
                <w:rFonts w:ascii="Calibri" w:hAnsi="Calibri" w:cs="Arial"/>
                <w:i/>
                <w:color w:val="548dd4"/>
                <w:sz w:val="20"/>
                <w:szCs w:val="20"/>
                <w:lang w:eastAsia="es-CL"/>
              </w:rPr>
            </w:pPr>
            <w:r>
              <w:rPr>
                <w:b w:val="0"/>
              </w:rPr>
              <w:t xml:space="preserve">Cinco de las nueve actividades del plan no han comenzado. Ninguna constituye un retraso: todas están programadas para semanas posteriores a este corte y ninguna ha llegado a su fecha de inicio.</w:t>
            </w:r>
            <w:r>
              <w:rPr>
                <w:rFonts w:ascii="Calibri" w:hAnsi="Calibri" w:cs="Arial"/>
                <w:i/>
                <w:color w:val="548dd4"/>
                <w:sz w:val="20"/>
                <w:szCs w:val="20"/>
                <w:lang w:eastAsia="es-CL"/>
              </w:rPr>
            </w:r>
          </w:p>
          <w:p w14:paraId="71F24186" w14:textId="6C9A0274">
            <w:pPr>
              <w:pBdr/>
              <w:spacing/>
              <w:ind/>
              <w:jc w:val="both"/>
              <w:rPr>
                <w:rFonts w:ascii="Calibri" w:hAnsi="Calibri" w:cs="Arial"/>
                <w:i/>
                <w:color w:val="548dd4"/>
                <w:sz w:val="20"/>
                <w:szCs w:val="20"/>
                <w:lang w:eastAsia="es-CL"/>
              </w:rPr>
            </w:pPr>
            <w:r>
              <w:rPr>
                <w:b w:val="0"/>
              </w:rPr>
              <w:t xml:space="preserve">Sprint 4 · Sincronización con la fuente externa, semanas 8 a 10, del 25 de septiembre al 8 de octubre. Sprint 5 · Cierre de la sincronización y traducción, semanas 10 a 12, del 9 al 23 de octubre. Sprint 6 · Favoritos, progreso y recomendacione</w:t>
            </w:r>
            <w:r>
              <w:rPr>
                <w:b w:val="0"/>
              </w:rPr>
              <w:t xml:space="preserve">s, semanas 13 y 14, del 26 de octubre al 6 de noviembre. Sprint 7 · Registro, autenticación y perfiles, semanas 15 y 16, del 9 al 20 de noviembre. Sprint 8 · Despliegue en la nube y cierre documental, semanas 17 y 18, del 23 de noviembre al 4 de diciembre.</w:t>
            </w:r>
            <w:r>
              <w:rPr>
                <w:rFonts w:ascii="Calibri" w:hAnsi="Calibri" w:cs="Arial"/>
                <w:i/>
                <w:color w:val="548dd4"/>
                <w:sz w:val="20"/>
                <w:szCs w:val="20"/>
                <w:lang w:eastAsia="es-CL"/>
              </w:rPr>
            </w:r>
          </w:p>
          <w:p w14:paraId="71F24186" w14:textId="6C9A0274">
            <w:pPr>
              <w:pBdr/>
              <w:spacing/>
              <w:ind/>
              <w:jc w:val="both"/>
              <w:rPr>
                <w:rFonts w:ascii="Calibri" w:hAnsi="Calibri" w:cs="Arial"/>
                <w:i/>
                <w:color w:val="548dd4"/>
                <w:sz w:val="20"/>
                <w:szCs w:val="20"/>
                <w:lang w:eastAsia="es-CL"/>
              </w:rPr>
            </w:pPr>
            <w:r>
              <w:rPr>
                <w:b/>
              </w:rPr>
              <w:t xml:space="preserve">Actividades con retraso.</w:t>
            </w:r>
            <w:r>
              <w:rPr>
                <w:rFonts w:ascii="Calibri" w:hAnsi="Calibri" w:cs="Arial"/>
                <w:i/>
                <w:color w:val="548dd4"/>
                <w:sz w:val="20"/>
                <w:szCs w:val="20"/>
                <w:lang w:eastAsia="es-CL"/>
              </w:rPr>
            </w:r>
          </w:p>
          <w:p w14:paraId="71F24186" w14:textId="6C9A0274">
            <w:pPr>
              <w:pBdr/>
              <w:spacing/>
              <w:ind/>
              <w:jc w:val="both"/>
              <w:rPr>
                <w:rFonts w:ascii="Calibri" w:hAnsi="Calibri" w:cs="Arial"/>
                <w:i/>
                <w:color w:val="548dd4"/>
                <w:sz w:val="20"/>
                <w:szCs w:val="20"/>
                <w:lang w:eastAsia="es-CL"/>
              </w:rPr>
            </w:pPr>
            <w:r>
              <w:rPr>
                <w:b w:val="0"/>
              </w:rPr>
              <w:t xml:space="preserve">Ninguna. Las tres actividades completadas cerraron dentro de sus semanas previstas y el Sprint 3 avanza conforme a lo planificado, en su sexto día de diez, con dos tareas cerradas, una tercera que cierra hoy y dos pendientes para la segunda semana.</w:t>
            </w:r>
            <w:r>
              <w:rPr>
                <w:rFonts w:ascii="Calibri" w:hAnsi="Calibri" w:cs="Arial"/>
                <w:i/>
                <w:color w:val="548dd4"/>
                <w:sz w:val="20"/>
                <w:szCs w:val="20"/>
                <w:lang w:eastAsia="es-CL"/>
              </w:rPr>
            </w:r>
          </w:p>
          <w:p w14:paraId="71F24186" w14:textId="6C9A0274">
            <w:pPr>
              <w:pBdr/>
              <w:spacing/>
              <w:ind/>
              <w:jc w:val="both"/>
              <w:rPr>
                <w:rFonts w:ascii="Calibri" w:hAnsi="Calibri" w:cs="Arial"/>
                <w:i/>
                <w:color w:val="548dd4"/>
                <w:sz w:val="20"/>
                <w:szCs w:val="20"/>
                <w:lang w:eastAsia="es-CL"/>
              </w:rPr>
            </w:pPr>
            <w:r>
              <w:rPr>
                <w:b/>
              </w:rPr>
              <w:t xml:space="preserve">Estrategia para las actividades pendientes.</w:t>
            </w:r>
            <w:r>
              <w:rPr>
                <w:rFonts w:ascii="Calibri" w:hAnsi="Calibri" w:cs="Arial"/>
                <w:i/>
                <w:color w:val="548dd4"/>
                <w:sz w:val="20"/>
                <w:szCs w:val="20"/>
                <w:lang w:eastAsia="es-CL"/>
              </w:rPr>
            </w:r>
          </w:p>
          <w:p w14:paraId="71F24186" w14:textId="6C9A0274">
            <w:pPr>
              <w:pBdr/>
              <w:spacing/>
              <w:ind/>
              <w:jc w:val="both"/>
              <w:rPr>
                <w:rFonts w:ascii="Calibri" w:hAnsi="Calibri" w:cs="Arial"/>
                <w:i/>
                <w:color w:val="548dd4"/>
                <w:sz w:val="20"/>
                <w:szCs w:val="20"/>
                <w:lang w:eastAsia="es-CL"/>
              </w:rPr>
            </w:pPr>
            <w:r>
              <w:rPr>
                <w:b w:val="0"/>
              </w:rPr>
              <w:t xml:space="preserve">Primero, vigilar el margen de alcance en cada revisión. Quedan 74 puntos y seis sprints, lo que exige 12,3 puntos por sprint contra una velocidad observada de 13. El margen existe pero no tolera un sprint sin entrega, así que desde la revisión del Sprint </w:t>
            </w:r>
            <w:r>
              <w:rPr>
                <w:b w:val="0"/>
              </w:rPr>
              <w:t xml:space="preserve">3 se comparará explícitamente el backlog pendiente con los sprints restantes. Si el margen desaparece, la épica de suscripción y pagos se retirará del compromiso por ser la de menor prioridad y estar marcada como opcional desde su incorporación al backlog.</w:t>
            </w:r>
            <w:r>
              <w:rPr>
                <w:rFonts w:ascii="Calibri" w:hAnsi="Calibri" w:cs="Arial"/>
                <w:i/>
                <w:color w:val="548dd4"/>
                <w:sz w:val="20"/>
                <w:szCs w:val="20"/>
                <w:lang w:eastAsia="es-CL"/>
              </w:rPr>
            </w:r>
          </w:p>
          <w:p w14:paraId="71F24186" w14:textId="6C9A0274">
            <w:pPr>
              <w:pBdr/>
              <w:spacing/>
              <w:ind/>
              <w:jc w:val="both"/>
              <w:rPr>
                <w:rFonts w:ascii="Calibri" w:hAnsi="Calibri" w:cs="Arial"/>
                <w:i/>
                <w:color w:val="548dd4"/>
                <w:sz w:val="20"/>
                <w:szCs w:val="20"/>
                <w:lang w:eastAsia="es-CL"/>
              </w:rPr>
            </w:pPr>
            <w:r>
              <w:rPr>
                <w:b w:val="0"/>
              </w:rPr>
              <w:t xml:space="preserve">Segundo, cerrar el desbalance de carga antes del Sprint 4. La planificación d</w:t>
            </w:r>
            <w:r>
              <w:rPr>
                <w:b w:val="0"/>
              </w:rPr>
              <w:t xml:space="preserve">el próximo sprint terminará con una revisión explícita de horas por integrante, y un sprint en que alguien quede sin tareas propias se levantará como impedimento el primer día. Es la acción que se levantó en el Sprint 1 y no se ha cumplido en tres sprints.</w:t>
            </w:r>
            <w:r>
              <w:rPr>
                <w:rFonts w:ascii="Calibri" w:hAnsi="Calibri" w:cs="Arial"/>
                <w:i/>
                <w:color w:val="548dd4"/>
                <w:sz w:val="20"/>
                <w:szCs w:val="20"/>
                <w:lang w:eastAsia="es-CL"/>
              </w:rPr>
            </w:r>
          </w:p>
          <w:p w14:paraId="71F24186" w14:textId="6C9A0274">
            <w:pPr>
              <w:pBdr/>
              <w:spacing/>
              <w:ind/>
              <w:jc w:val="both"/>
              <w:rPr>
                <w:rFonts w:ascii="Calibri" w:hAnsi="Calibri" w:cs="Arial"/>
                <w:i/>
                <w:color w:val="548dd4"/>
                <w:sz w:val="20"/>
                <w:szCs w:val="20"/>
                <w:lang w:eastAsia="es-CL"/>
              </w:rPr>
            </w:pPr>
            <w:r>
              <w:rPr>
                <w:b w:val="0"/>
              </w:rPr>
              <w:t xml:space="preserve">Tercero, revisar los límites de tiempo antes de construir la sincronizaci</w:t>
            </w:r>
            <w:r>
              <w:rPr>
                <w:b w:val="0"/>
              </w:rPr>
              <w:t xml:space="preserve">ón. El defecto del Sprint 1 se corrigió solo en las llamadas internas; el Sprint 4 introduce una llamada saliente a una API pública, que tarda bastante más. Revisar ese valor antes de escribir el proceso, y no después, evita repetir un defecto ya conocido.</w:t>
            </w:r>
            <w:r>
              <w:rPr>
                <w:rFonts w:ascii="Calibri" w:hAnsi="Calibri" w:cs="Arial"/>
                <w:i/>
                <w:color w:val="548dd4"/>
                <w:sz w:val="20"/>
                <w:szCs w:val="20"/>
                <w:lang w:eastAsia="es-CL"/>
              </w:rPr>
            </w:r>
          </w:p>
          <w:p w14:paraId="71F24186" w14:textId="6C9A0274">
            <w:pPr>
              <w:pBdr/>
              <w:spacing/>
              <w:ind/>
              <w:jc w:val="both"/>
              <w:rPr>
                <w:rFonts w:ascii="Calibri" w:hAnsi="Calibri" w:cs="Arial"/>
                <w:i/>
                <w:color w:val="548dd4"/>
                <w:sz w:val="20"/>
                <w:szCs w:val="20"/>
                <w:lang w:eastAsia="es-CL"/>
              </w:rPr>
            </w:pPr>
            <w:r>
              <w:rPr>
                <w:b w:val="0"/>
              </w:rPr>
              <w:t xml:space="preserve">Cuarto, probar la funcionalidad principal de cada sprint contra el servicio real antes del último día, y no durante la revisión, de modo que un fallo de integración se detecte con tiempo para corregirlo dentro del mismo sprint.</w:t>
            </w:r>
            <w:r>
              <w:rPr>
                <w:rFonts w:ascii="Calibri" w:hAnsi="Calibri" w:cs="Arial"/>
                <w:i/>
                <w:color w:val="548dd4"/>
                <w:sz w:val="20"/>
                <w:szCs w:val="20"/>
                <w:lang w:eastAsia="es-CL"/>
              </w:rPr>
            </w:r>
          </w:p>
        </w:tc>
      </w:tr>
    </w:tbl>
    <w:p w14:paraId="23A72E3B" w14:textId="77777777">
      <w:pPr>
        <w:pBdr/>
        <w:spacing/>
        <w:ind/>
        <w:rPr>
          <w:lang w:val="es-ES"/>
        </w:rPr>
      </w:pPr>
      <w:r>
        <w:rPr>
          <w:lang w:val="es-ES"/>
        </w:rPr>
      </w:r>
      <w:r>
        <w:rPr>
          <w:lang w:val="es-ES"/>
        </w:rPr>
      </w:r>
    </w:p>
    <w:sectPr>
      <w:headerReference w:type="default" r:id="rId9"/>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631069C" w14:textId="77777777">
      <w:pPr>
        <w:pBdr/>
        <w:spacing w:after="0" w:line="240" w:lineRule="auto"/>
        <w:ind/>
        <w:rPr/>
      </w:pPr>
      <w:r>
        <w:separator/>
      </w:r>
      <w:r/>
    </w:p>
  </w:endnote>
  <w:endnote w:type="continuationSeparator" w:id="0">
    <w:p w14:paraId="69B8617C"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alibri Light">
    <w:panose1 w:val="020F0502020204030204"/>
  </w:font>
  <w:font w:name="Century Gothic">
    <w:panose1 w:val="020B0604020202020204"/>
  </w:font>
  <w:font w:name="Segoe UI">
    <w:panose1 w:val="020B050204050402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421B8F5" w14:textId="77777777">
      <w:pPr>
        <w:pBdr/>
        <w:spacing w:after="0" w:line="240" w:lineRule="auto"/>
        <w:ind/>
        <w:rPr/>
      </w:pPr>
      <w:r>
        <w:separator/>
      </w:r>
      <w:r/>
    </w:p>
  </w:footnote>
  <w:footnote w:type="continuationSeparator" w:id="0">
    <w:p w14:paraId="362472A8" w14:textId="77777777">
      <w:pPr>
        <w:pBdr/>
        <w:spacing w:after="0" w:line="240" w:lineRule="auto"/>
        <w:ind/>
        <w:rPr/>
      </w:pPr>
      <w:r>
        <w:continuationSeparator/>
      </w:r>
      <w:r/>
    </w:p>
  </w:footnote>
  <w:footnote w:id="2">
    <w:p w14:paraId="4451B7D5" w14:textId="77777777">
      <w:pPr>
        <w:pStyle w:val="780"/>
        <w:pBdr/>
        <w:spacing/>
        <w:ind/>
        <w:rPr>
          <w:color w:val="595959" w:themeColor="text1" w:themeTint="A6"/>
        </w:rPr>
      </w:pPr>
      <w:r>
        <w:rPr>
          <w:rStyle w:val="782"/>
          <w:color w:val="595959" w:themeColor="text1" w:themeTint="A6"/>
        </w:rPr>
        <w:footnoteRef/>
      </w:r>
      <w:r>
        <w:rPr>
          <w:color w:val="595959" w:themeColor="text1" w:themeTint="A6"/>
        </w:rPr>
        <w:t xml:space="preserve"> </w:t>
      </w:r>
      <w:r>
        <w:rPr>
          <w:color w:val="595959" w:themeColor="text1" w:themeTint="A6"/>
          <w:lang w:val="es-CL"/>
        </w:rPr>
        <w:t xml:space="preserve">En caso de que el Proyecto APT sea grupal,</w:t>
      </w:r>
      <w:r>
        <w:rPr>
          <w:color w:val="595959" w:themeColor="text1" w:themeTint="A6"/>
          <w:lang w:val="es-CL"/>
        </w:rPr>
        <w:t xml:space="preserve"> en</w:t>
      </w:r>
      <w:r>
        <w:rPr>
          <w:color w:val="595959" w:themeColor="text1" w:themeTint="A6"/>
          <w:lang w:val="es-CL"/>
        </w:rPr>
        <w:t xml:space="preserve"> esta columna </w:t>
      </w:r>
      <w:r>
        <w:rPr>
          <w:color w:val="595959" w:themeColor="text1" w:themeTint="A6"/>
          <w:lang w:val="es-CL"/>
        </w:rPr>
        <w:t xml:space="preserve">deben </w:t>
      </w:r>
      <w:r>
        <w:rPr>
          <w:color w:val="595959" w:themeColor="text1" w:themeTint="A6"/>
          <w:lang w:val="es-CL"/>
        </w:rPr>
        <w:t xml:space="preserve">indicar el nombre de los responsables de cada tarea o actividad. Esto posteriormente permitirá diferenciar la evaluación por cada integrante.</w:t>
      </w:r>
      <w:r>
        <w:rPr>
          <w:color w:val="595959" w:themeColor="text1" w:themeTint="A6"/>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785"/>
      <w:tblInd w:w="-709" w:type="dxa"/>
      <w:tblW w:w="10170" w:type="dxa"/>
      <w:tblBorders/>
      <w:tblLook w:val="04A0" w:firstRow="1" w:lastRow="0" w:firstColumn="1" w:lastColumn="0" w:noHBand="0" w:noVBand="1"/>
    </w:tblPr>
    <w:tblGrid>
      <w:gridCol w:w="5954"/>
      <w:gridCol w:w="4216"/>
    </w:tblGrid>
    <w:tr>
      <w:trPr>
        <w:trHeight w:val="697"/>
      </w:trPr>
      <w:tc>
        <w:tcPr>
          <w:tcBorders>
            <w:top w:val="none" w:color="000000" w:sz="4" w:space="0"/>
            <w:left w:val="none" w:color="000000" w:sz="4" w:space="0"/>
            <w:bottom w:val="none" w:color="000000" w:sz="4" w:space="0"/>
            <w:right w:val="none" w:color="000000" w:sz="4" w:space="0"/>
          </w:tcBorders>
          <w:tcW w:w="5954" w:type="dxa"/>
        </w:tcPr>
        <w:p w14:paraId="530B6B0B" w14:textId="7D543F41">
          <w:pPr>
            <w:pBdr/>
            <w:spacing w:after="0"/>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Guía Estudiante</w:t>
          </w:r>
          <w:r>
            <w:rPr>
              <w:rFonts w:ascii="Century Gothic" w:hAnsi="Century Gothic" w:eastAsia="Century Gothic" w:cs="Century Gothic"/>
              <w:b/>
              <w:color w:val="1d2763"/>
              <w:sz w:val="24"/>
              <w:szCs w:val="24"/>
            </w:rPr>
            <w:t xml:space="preserve"> - </w:t>
          </w:r>
          <w:r>
            <w:rPr>
              <w:rFonts w:ascii="Century Gothic" w:hAnsi="Century Gothic" w:eastAsia="Century Gothic" w:cs="Century Gothic"/>
              <w:b/>
              <w:color w:val="1d2763"/>
              <w:sz w:val="24"/>
              <w:szCs w:val="24"/>
            </w:rPr>
            <w:t xml:space="preserve">Desarrollo</w:t>
          </w:r>
          <w:r>
            <w:rPr>
              <w:rFonts w:ascii="Century Gothic" w:hAnsi="Century Gothic" w:eastAsia="Century Gothic" w:cs="Century Gothic"/>
              <w:b/>
              <w:color w:val="1d2763"/>
              <w:sz w:val="24"/>
              <w:szCs w:val="24"/>
            </w:rPr>
            <w:t xml:space="preserve"> </w:t>
          </w:r>
          <w:r>
            <w:rPr>
              <w:rFonts w:ascii="Century Gothic" w:hAnsi="Century Gothic" w:eastAsia="Century Gothic" w:cs="Century Gothic"/>
              <w:b/>
              <w:color w:val="1d2763"/>
              <w:sz w:val="24"/>
              <w:szCs w:val="24"/>
            </w:rPr>
            <w:t xml:space="preserve">Proyecto </w:t>
          </w:r>
          <w:r>
            <w:rPr>
              <w:rFonts w:ascii="Century Gothic" w:hAnsi="Century Gothic" w:eastAsia="Century Gothic" w:cs="Century Gothic"/>
              <w:b/>
              <w:color w:val="1d2763"/>
              <w:sz w:val="24"/>
              <w:szCs w:val="24"/>
            </w:rPr>
            <w:t xml:space="preserve">APT</w:t>
          </w:r>
          <w:r>
            <w:rPr>
              <w:rFonts w:ascii="Century Gothic" w:hAnsi="Century Gothic" w:eastAsia="Century Gothic" w:cs="Century Gothic"/>
              <w:b/>
              <w:color w:val="1d2763"/>
              <w:sz w:val="24"/>
              <w:szCs w:val="24"/>
            </w:rPr>
            <w:t xml:space="preserve"> </w:t>
          </w:r>
          <w:r>
            <w:rPr>
              <w:rFonts w:ascii="Century Gothic" w:hAnsi="Century Gothic" w:eastAsia="Century Gothic" w:cs="Century Gothic"/>
              <w:b/>
              <w:color w:val="1d2763"/>
              <w:sz w:val="24"/>
              <w:szCs w:val="24"/>
            </w:rPr>
          </w:r>
        </w:p>
        <w:p w14:paraId="7816626E" w14:textId="0166C12C">
          <w:pPr>
            <w:pBdr/>
            <w:spacing w:after="0"/>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Fase </w:t>
          </w:r>
          <w:r>
            <w:rPr>
              <w:rFonts w:ascii="Century Gothic" w:hAnsi="Century Gothic" w:eastAsia="Century Gothic" w:cs="Century Gothic"/>
              <w:b/>
              <w:color w:val="1d2763"/>
              <w:sz w:val="24"/>
              <w:szCs w:val="24"/>
            </w:rPr>
            <w:t xml:space="preserve">2</w:t>
          </w:r>
          <w:r>
            <w:rPr>
              <w:rFonts w:ascii="Century Gothic" w:hAnsi="Century Gothic" w:eastAsia="Century Gothic" w:cs="Century Gothic"/>
              <w:b/>
              <w:color w:val="1d2763"/>
              <w:sz w:val="24"/>
              <w:szCs w:val="24"/>
            </w:rPr>
          </w:r>
        </w:p>
      </w:tc>
      <w:tc>
        <w:tcPr>
          <w:tcBorders>
            <w:top w:val="none" w:color="000000" w:sz="4" w:space="0"/>
            <w:left w:val="none" w:color="000000" w:sz="4" w:space="0"/>
            <w:bottom w:val="none" w:color="000000" w:sz="4" w:space="0"/>
            <w:right w:val="none" w:color="000000" w:sz="4" w:space="0"/>
          </w:tcBorders>
          <w:tcW w:w="4216" w:type="dxa"/>
        </w:tcPr>
        <w:p w14:paraId="0DCB0336" w14:textId="77777777">
          <w:pPr>
            <w:pBdr/>
            <w:spacing/>
            <w:ind/>
            <w:jc w:val="center"/>
            <w:rPr>
              <w:rFonts w:ascii="Century Gothic" w:hAnsi="Century Gothic" w:eastAsiaTheme="minorEastAsia"/>
              <w:b/>
              <w:sz w:val="30"/>
              <w:szCs w:val="30"/>
              <w:lang w:val="es-ES_tradnl" w:eastAsia="es-ES"/>
            </w:rPr>
          </w:pPr>
          <w:r>
            <w:rPr>
              <w:lang w:eastAsia="es-CL"/>
            </w:rPr>
            <mc:AlternateContent>
              <mc:Choice Requires="wpg">
                <w:drawing>
                  <wp:inline xmlns:wp="http://schemas.openxmlformats.org/drawingml/2006/wordprocessingDrawing" distT="0" distB="0" distL="0" distR="0">
                    <wp:extent cx="1996440" cy="428625"/>
                    <wp:effectExtent l="0" t="0" r="3810" b="9525"/>
                    <wp:docPr id="1"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r/>
                          </pic:nvPicPr>
                          <pic:blipFill rotWithShape="1">
                            <a:blip r:embed="rId1"/>
                            <a:stretch/>
                          </pic:blipFill>
                          <pic:spPr bwMode="auto">
                            <a:xfrm>
                              <a:off x="0" y="0"/>
                              <a:ext cx="1996440" cy="4286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20pt;height:33.75pt;mso-wrap-distance-left:0.00pt;mso-wrap-distance-top:0.00pt;mso-wrap-distance-right:0.00pt;mso-wrap-distance-bottom:0.00pt;z-index:1;" stroked="f">
                    <v:imagedata r:id="rId1" o:title=""/>
                    <o:lock v:ext="edit" rotation="t"/>
                  </v:shape>
                </w:pict>
              </mc:Fallback>
            </mc:AlternateContent>
          </w:r>
          <w:r>
            <w:rPr>
              <w:rFonts w:ascii="Century Gothic" w:hAnsi="Century Gothic" w:eastAsiaTheme="minorEastAsia"/>
              <w:b/>
              <w:sz w:val="30"/>
              <w:szCs w:val="30"/>
              <w:lang w:val="es-ES_tradnl" w:eastAsia="es-ES"/>
            </w:rPr>
          </w:r>
        </w:p>
      </w:tc>
    </w:tr>
  </w:tbl>
  <w:p w14:paraId="65679D53" w14:textId="77777777">
    <w:pPr>
      <w:pStyle w:val="78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FD4C7F"/>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CL"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71"/>
    <w:next w:val="771"/>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71"/>
    <w:next w:val="771"/>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771"/>
    <w:next w:val="771"/>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71"/>
    <w:next w:val="771"/>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71"/>
    <w:next w:val="771"/>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71"/>
    <w:next w:val="77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71"/>
    <w:next w:val="77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71"/>
    <w:next w:val="77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7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7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73"/>
    <w:link w:val="772"/>
    <w:uiPriority w:val="9"/>
    <w:pPr>
      <w:pBdr/>
      <w:spacing/>
      <w:ind/>
    </w:pPr>
    <w:rPr>
      <w:rFonts w:ascii="Arial" w:hAnsi="Arial" w:eastAsia="Arial" w:cs="Arial"/>
      <w:color w:val="0f4761" w:themeColor="accent1" w:themeShade="BF"/>
      <w:sz w:val="28"/>
      <w:szCs w:val="28"/>
    </w:rPr>
  </w:style>
  <w:style w:type="character" w:styleId="153">
    <w:name w:val="Heading 4 Char"/>
    <w:basedOn w:val="773"/>
    <w:link w:val="142"/>
    <w:uiPriority w:val="9"/>
    <w:pPr>
      <w:pBdr/>
      <w:spacing/>
      <w:ind/>
    </w:pPr>
    <w:rPr>
      <w:rFonts w:ascii="Arial" w:hAnsi="Arial" w:eastAsia="Arial" w:cs="Arial"/>
      <w:i/>
      <w:iCs/>
      <w:color w:val="0f4761" w:themeColor="accent1" w:themeShade="BF"/>
    </w:rPr>
  </w:style>
  <w:style w:type="character" w:styleId="154">
    <w:name w:val="Heading 5 Char"/>
    <w:basedOn w:val="773"/>
    <w:link w:val="143"/>
    <w:uiPriority w:val="9"/>
    <w:pPr>
      <w:pBdr/>
      <w:spacing/>
      <w:ind/>
    </w:pPr>
    <w:rPr>
      <w:rFonts w:ascii="Arial" w:hAnsi="Arial" w:eastAsia="Arial" w:cs="Arial"/>
      <w:color w:val="0f4761" w:themeColor="accent1" w:themeShade="BF"/>
    </w:rPr>
  </w:style>
  <w:style w:type="character" w:styleId="155">
    <w:name w:val="Heading 6 Char"/>
    <w:basedOn w:val="773"/>
    <w:link w:val="144"/>
    <w:uiPriority w:val="9"/>
    <w:pPr>
      <w:pBdr/>
      <w:spacing/>
      <w:ind/>
    </w:pPr>
    <w:rPr>
      <w:rFonts w:ascii="Arial" w:hAnsi="Arial" w:eastAsia="Arial" w:cs="Arial"/>
      <w:i/>
      <w:iCs/>
      <w:color w:val="595959" w:themeColor="text1" w:themeTint="A6"/>
    </w:rPr>
  </w:style>
  <w:style w:type="character" w:styleId="156">
    <w:name w:val="Heading 7 Char"/>
    <w:basedOn w:val="773"/>
    <w:link w:val="145"/>
    <w:uiPriority w:val="9"/>
    <w:pPr>
      <w:pBdr/>
      <w:spacing/>
      <w:ind/>
    </w:pPr>
    <w:rPr>
      <w:rFonts w:ascii="Arial" w:hAnsi="Arial" w:eastAsia="Arial" w:cs="Arial"/>
      <w:color w:val="595959" w:themeColor="text1" w:themeTint="A6"/>
    </w:rPr>
  </w:style>
  <w:style w:type="character" w:styleId="157">
    <w:name w:val="Heading 8 Char"/>
    <w:basedOn w:val="773"/>
    <w:link w:val="146"/>
    <w:uiPriority w:val="9"/>
    <w:pPr>
      <w:pBdr/>
      <w:spacing/>
      <w:ind/>
    </w:pPr>
    <w:rPr>
      <w:rFonts w:ascii="Arial" w:hAnsi="Arial" w:eastAsia="Arial" w:cs="Arial"/>
      <w:i/>
      <w:iCs/>
      <w:color w:val="272727" w:themeColor="text1" w:themeTint="D8"/>
    </w:rPr>
  </w:style>
  <w:style w:type="character" w:styleId="158">
    <w:name w:val="Heading 9 Char"/>
    <w:basedOn w:val="773"/>
    <w:link w:val="147"/>
    <w:uiPriority w:val="9"/>
    <w:pPr>
      <w:pBdr/>
      <w:spacing/>
      <w:ind/>
    </w:pPr>
    <w:rPr>
      <w:rFonts w:ascii="Arial" w:hAnsi="Arial" w:eastAsia="Arial" w:cs="Arial"/>
      <w:i/>
      <w:iCs/>
      <w:color w:val="272727" w:themeColor="text1" w:themeTint="D8"/>
    </w:rPr>
  </w:style>
  <w:style w:type="paragraph" w:styleId="159">
    <w:name w:val="Title"/>
    <w:basedOn w:val="771"/>
    <w:next w:val="771"/>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73"/>
    <w:link w:val="159"/>
    <w:uiPriority w:val="10"/>
    <w:pPr>
      <w:pBdr/>
      <w:spacing/>
      <w:ind/>
    </w:pPr>
    <w:rPr>
      <w:rFonts w:ascii="Arial" w:hAnsi="Arial" w:eastAsia="Arial" w:cs="Arial"/>
      <w:spacing w:val="-10"/>
      <w:sz w:val="56"/>
      <w:szCs w:val="56"/>
    </w:rPr>
  </w:style>
  <w:style w:type="paragraph" w:styleId="161">
    <w:name w:val="Subtitle"/>
    <w:basedOn w:val="771"/>
    <w:next w:val="771"/>
    <w:link w:val="162"/>
    <w:uiPriority w:val="11"/>
    <w:qFormat/>
    <w:pPr>
      <w:numPr>
        <w:ilvl w:val="1"/>
      </w:numPr>
      <w:pBdr/>
      <w:spacing/>
      <w:ind/>
    </w:pPr>
    <w:rPr>
      <w:color w:val="595959" w:themeColor="text1" w:themeTint="A6"/>
      <w:spacing w:val="15"/>
      <w:sz w:val="28"/>
      <w:szCs w:val="28"/>
    </w:rPr>
  </w:style>
  <w:style w:type="character" w:styleId="162">
    <w:name w:val="Subtitle Char"/>
    <w:basedOn w:val="773"/>
    <w:link w:val="161"/>
    <w:uiPriority w:val="11"/>
    <w:pPr>
      <w:pBdr/>
      <w:spacing/>
      <w:ind/>
    </w:pPr>
    <w:rPr>
      <w:color w:val="595959" w:themeColor="text1" w:themeTint="A6"/>
      <w:spacing w:val="15"/>
      <w:sz w:val="28"/>
      <w:szCs w:val="28"/>
    </w:rPr>
  </w:style>
  <w:style w:type="paragraph" w:styleId="163">
    <w:name w:val="Quote"/>
    <w:basedOn w:val="771"/>
    <w:next w:val="771"/>
    <w:link w:val="164"/>
    <w:uiPriority w:val="29"/>
    <w:qFormat/>
    <w:pPr>
      <w:pBdr/>
      <w:spacing w:before="160"/>
      <w:ind/>
      <w:jc w:val="center"/>
    </w:pPr>
    <w:rPr>
      <w:i/>
      <w:iCs/>
      <w:color w:val="404040" w:themeColor="text1" w:themeTint="BF"/>
    </w:rPr>
  </w:style>
  <w:style w:type="character" w:styleId="164">
    <w:name w:val="Quote Char"/>
    <w:basedOn w:val="773"/>
    <w:link w:val="163"/>
    <w:uiPriority w:val="29"/>
    <w:pPr>
      <w:pBdr/>
      <w:spacing/>
      <w:ind/>
    </w:pPr>
    <w:rPr>
      <w:i/>
      <w:iCs/>
      <w:color w:val="404040" w:themeColor="text1" w:themeTint="BF"/>
    </w:rPr>
  </w:style>
  <w:style w:type="paragraph" w:styleId="165">
    <w:name w:val="List Paragraph"/>
    <w:basedOn w:val="771"/>
    <w:uiPriority w:val="34"/>
    <w:qFormat/>
    <w:pPr>
      <w:pBdr/>
      <w:spacing/>
      <w:ind w:left="720"/>
      <w:contextualSpacing w:val="true"/>
    </w:pPr>
  </w:style>
  <w:style w:type="character" w:styleId="166">
    <w:name w:val="Intense Emphasis"/>
    <w:basedOn w:val="773"/>
    <w:uiPriority w:val="21"/>
    <w:qFormat/>
    <w:pPr>
      <w:pBdr/>
      <w:spacing/>
      <w:ind/>
    </w:pPr>
    <w:rPr>
      <w:i/>
      <w:iCs/>
      <w:color w:val="0f4761" w:themeColor="accent1" w:themeShade="BF"/>
    </w:rPr>
  </w:style>
  <w:style w:type="paragraph" w:styleId="167">
    <w:name w:val="Intense Quote"/>
    <w:basedOn w:val="771"/>
    <w:next w:val="77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73"/>
    <w:link w:val="167"/>
    <w:uiPriority w:val="30"/>
    <w:pPr>
      <w:pBdr/>
      <w:spacing/>
      <w:ind/>
    </w:pPr>
    <w:rPr>
      <w:i/>
      <w:iCs/>
      <w:color w:val="0f4761" w:themeColor="accent1" w:themeShade="BF"/>
    </w:rPr>
  </w:style>
  <w:style w:type="character" w:styleId="169">
    <w:name w:val="Intense Reference"/>
    <w:basedOn w:val="773"/>
    <w:uiPriority w:val="32"/>
    <w:qFormat/>
    <w:pPr>
      <w:pBdr/>
      <w:spacing/>
      <w:ind/>
    </w:pPr>
    <w:rPr>
      <w:b/>
      <w:bCs/>
      <w:smallCaps/>
      <w:color w:val="0f4761" w:themeColor="accent1" w:themeShade="BF"/>
      <w:spacing w:val="5"/>
    </w:rPr>
  </w:style>
  <w:style w:type="paragraph" w:styleId="170">
    <w:name w:val="No Spacing"/>
    <w:basedOn w:val="771"/>
    <w:uiPriority w:val="1"/>
    <w:qFormat/>
    <w:pPr>
      <w:pBdr/>
      <w:spacing w:after="0" w:line="240" w:lineRule="auto"/>
      <w:ind/>
    </w:pPr>
  </w:style>
  <w:style w:type="character" w:styleId="171">
    <w:name w:val="Subtle Emphasis"/>
    <w:basedOn w:val="773"/>
    <w:uiPriority w:val="19"/>
    <w:qFormat/>
    <w:pPr>
      <w:pBdr/>
      <w:spacing/>
      <w:ind/>
    </w:pPr>
    <w:rPr>
      <w:i/>
      <w:iCs/>
      <w:color w:val="404040" w:themeColor="text1" w:themeTint="BF"/>
    </w:rPr>
  </w:style>
  <w:style w:type="character" w:styleId="172">
    <w:name w:val="Emphasis"/>
    <w:basedOn w:val="773"/>
    <w:uiPriority w:val="20"/>
    <w:qFormat/>
    <w:pPr>
      <w:pBdr/>
      <w:spacing/>
      <w:ind/>
    </w:pPr>
    <w:rPr>
      <w:i/>
      <w:iCs/>
    </w:rPr>
  </w:style>
  <w:style w:type="character" w:styleId="173">
    <w:name w:val="Strong"/>
    <w:basedOn w:val="773"/>
    <w:uiPriority w:val="22"/>
    <w:qFormat/>
    <w:pPr>
      <w:pBdr/>
      <w:spacing/>
      <w:ind/>
    </w:pPr>
    <w:rPr>
      <w:b/>
      <w:bCs/>
    </w:rPr>
  </w:style>
  <w:style w:type="character" w:styleId="174">
    <w:name w:val="Subtle Reference"/>
    <w:basedOn w:val="773"/>
    <w:uiPriority w:val="31"/>
    <w:qFormat/>
    <w:pPr>
      <w:pBdr/>
      <w:spacing/>
      <w:ind/>
    </w:pPr>
    <w:rPr>
      <w:smallCaps/>
      <w:color w:val="5a5a5a" w:themeColor="text1" w:themeTint="A5"/>
    </w:rPr>
  </w:style>
  <w:style w:type="character" w:styleId="175">
    <w:name w:val="Book Title"/>
    <w:basedOn w:val="773"/>
    <w:uiPriority w:val="33"/>
    <w:qFormat/>
    <w:pPr>
      <w:pBdr/>
      <w:spacing/>
      <w:ind/>
    </w:pPr>
    <w:rPr>
      <w:b/>
      <w:bCs/>
      <w:i/>
      <w:iCs/>
      <w:spacing w:val="5"/>
    </w:rPr>
  </w:style>
  <w:style w:type="character" w:styleId="177">
    <w:name w:val="Header Char"/>
    <w:basedOn w:val="773"/>
    <w:link w:val="783"/>
    <w:uiPriority w:val="99"/>
    <w:pPr>
      <w:pBdr/>
      <w:spacing/>
      <w:ind/>
    </w:pPr>
  </w:style>
  <w:style w:type="character" w:styleId="179">
    <w:name w:val="Footer Char"/>
    <w:basedOn w:val="773"/>
    <w:link w:val="778"/>
    <w:uiPriority w:val="99"/>
    <w:pPr>
      <w:pBdr/>
      <w:spacing/>
      <w:ind/>
    </w:pPr>
  </w:style>
  <w:style w:type="paragraph" w:styleId="180">
    <w:name w:val="Caption"/>
    <w:basedOn w:val="771"/>
    <w:next w:val="771"/>
    <w:uiPriority w:val="35"/>
    <w:unhideWhenUsed/>
    <w:qFormat/>
    <w:pPr>
      <w:pBdr/>
      <w:spacing w:after="200" w:line="240" w:lineRule="auto"/>
      <w:ind/>
    </w:pPr>
    <w:rPr>
      <w:i/>
      <w:iCs/>
      <w:color w:val="0e2841" w:themeColor="text2"/>
      <w:sz w:val="18"/>
      <w:szCs w:val="18"/>
    </w:rPr>
  </w:style>
  <w:style w:type="character" w:styleId="182">
    <w:name w:val="Footnote Text Char"/>
    <w:basedOn w:val="773"/>
    <w:link w:val="780"/>
    <w:uiPriority w:val="99"/>
    <w:semiHidden/>
    <w:pPr>
      <w:pBdr/>
      <w:spacing/>
      <w:ind/>
    </w:pPr>
    <w:rPr>
      <w:sz w:val="20"/>
      <w:szCs w:val="20"/>
    </w:rPr>
  </w:style>
  <w:style w:type="paragraph" w:styleId="184">
    <w:name w:val="endnote text"/>
    <w:basedOn w:val="771"/>
    <w:link w:val="185"/>
    <w:uiPriority w:val="99"/>
    <w:semiHidden/>
    <w:unhideWhenUsed/>
    <w:pPr>
      <w:pBdr/>
      <w:spacing w:after="0" w:line="240" w:lineRule="auto"/>
      <w:ind/>
    </w:pPr>
    <w:rPr>
      <w:sz w:val="20"/>
      <w:szCs w:val="20"/>
    </w:rPr>
  </w:style>
  <w:style w:type="character" w:styleId="185">
    <w:name w:val="Endnote Text Char"/>
    <w:basedOn w:val="773"/>
    <w:link w:val="184"/>
    <w:uiPriority w:val="99"/>
    <w:semiHidden/>
    <w:pPr>
      <w:pBdr/>
      <w:spacing/>
      <w:ind/>
    </w:pPr>
    <w:rPr>
      <w:sz w:val="20"/>
      <w:szCs w:val="20"/>
    </w:rPr>
  </w:style>
  <w:style w:type="character" w:styleId="186">
    <w:name w:val="endnote reference"/>
    <w:basedOn w:val="773"/>
    <w:uiPriority w:val="99"/>
    <w:semiHidden/>
    <w:unhideWhenUsed/>
    <w:pPr>
      <w:pBdr/>
      <w:spacing/>
      <w:ind/>
    </w:pPr>
    <w:rPr>
      <w:vertAlign w:val="superscript"/>
    </w:rPr>
  </w:style>
  <w:style w:type="character" w:styleId="187">
    <w:name w:val="Hyperlink"/>
    <w:basedOn w:val="773"/>
    <w:uiPriority w:val="99"/>
    <w:unhideWhenUsed/>
    <w:pPr>
      <w:pBdr/>
      <w:spacing/>
      <w:ind/>
    </w:pPr>
    <w:rPr>
      <w:color w:val="0563c1" w:themeColor="hyperlink"/>
      <w:u w:val="single"/>
    </w:rPr>
  </w:style>
  <w:style w:type="character" w:styleId="188">
    <w:name w:val="FollowedHyperlink"/>
    <w:basedOn w:val="773"/>
    <w:uiPriority w:val="99"/>
    <w:semiHidden/>
    <w:unhideWhenUsed/>
    <w:pPr>
      <w:pBdr/>
      <w:spacing/>
      <w:ind/>
    </w:pPr>
    <w:rPr>
      <w:color w:val="954f72" w:themeColor="followedHyperlink"/>
      <w:u w:val="single"/>
    </w:rPr>
  </w:style>
  <w:style w:type="paragraph" w:styleId="189">
    <w:name w:val="toc 1"/>
    <w:basedOn w:val="771"/>
    <w:next w:val="771"/>
    <w:uiPriority w:val="39"/>
    <w:unhideWhenUsed/>
    <w:pPr>
      <w:pBdr/>
      <w:spacing w:after="100"/>
      <w:ind/>
    </w:pPr>
  </w:style>
  <w:style w:type="paragraph" w:styleId="190">
    <w:name w:val="toc 2"/>
    <w:basedOn w:val="771"/>
    <w:next w:val="771"/>
    <w:uiPriority w:val="39"/>
    <w:unhideWhenUsed/>
    <w:pPr>
      <w:pBdr/>
      <w:spacing w:after="100"/>
      <w:ind w:left="220"/>
    </w:pPr>
  </w:style>
  <w:style w:type="paragraph" w:styleId="191">
    <w:name w:val="toc 3"/>
    <w:basedOn w:val="771"/>
    <w:next w:val="771"/>
    <w:uiPriority w:val="39"/>
    <w:unhideWhenUsed/>
    <w:pPr>
      <w:pBdr/>
      <w:spacing w:after="100"/>
      <w:ind w:left="440"/>
    </w:pPr>
  </w:style>
  <w:style w:type="paragraph" w:styleId="192">
    <w:name w:val="toc 4"/>
    <w:basedOn w:val="771"/>
    <w:next w:val="771"/>
    <w:uiPriority w:val="39"/>
    <w:unhideWhenUsed/>
    <w:pPr>
      <w:pBdr/>
      <w:spacing w:after="100"/>
      <w:ind w:left="660"/>
    </w:pPr>
  </w:style>
  <w:style w:type="paragraph" w:styleId="193">
    <w:name w:val="toc 5"/>
    <w:basedOn w:val="771"/>
    <w:next w:val="771"/>
    <w:uiPriority w:val="39"/>
    <w:unhideWhenUsed/>
    <w:pPr>
      <w:pBdr/>
      <w:spacing w:after="100"/>
      <w:ind w:left="880"/>
    </w:pPr>
  </w:style>
  <w:style w:type="paragraph" w:styleId="194">
    <w:name w:val="toc 6"/>
    <w:basedOn w:val="771"/>
    <w:next w:val="771"/>
    <w:uiPriority w:val="39"/>
    <w:unhideWhenUsed/>
    <w:pPr>
      <w:pBdr/>
      <w:spacing w:after="100"/>
      <w:ind w:left="1100"/>
    </w:pPr>
  </w:style>
  <w:style w:type="paragraph" w:styleId="195">
    <w:name w:val="toc 7"/>
    <w:basedOn w:val="771"/>
    <w:next w:val="771"/>
    <w:uiPriority w:val="39"/>
    <w:unhideWhenUsed/>
    <w:pPr>
      <w:pBdr/>
      <w:spacing w:after="100"/>
      <w:ind w:left="1320"/>
    </w:pPr>
  </w:style>
  <w:style w:type="paragraph" w:styleId="196">
    <w:name w:val="toc 8"/>
    <w:basedOn w:val="771"/>
    <w:next w:val="771"/>
    <w:uiPriority w:val="39"/>
    <w:unhideWhenUsed/>
    <w:pPr>
      <w:pBdr/>
      <w:spacing w:after="100"/>
      <w:ind w:left="1540"/>
    </w:pPr>
  </w:style>
  <w:style w:type="paragraph" w:styleId="197">
    <w:name w:val="toc 9"/>
    <w:basedOn w:val="771"/>
    <w:next w:val="771"/>
    <w:uiPriority w:val="39"/>
    <w:unhideWhenUsed/>
    <w:pPr>
      <w:pBdr/>
      <w:spacing w:after="100"/>
      <w:ind w:left="1760"/>
    </w:pPr>
  </w:style>
  <w:style w:type="character" w:styleId="198">
    <w:name w:val="Placeholder Text"/>
    <w:basedOn w:val="77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71"/>
    <w:next w:val="771"/>
    <w:uiPriority w:val="99"/>
    <w:unhideWhenUsed/>
    <w:pPr>
      <w:pBdr/>
      <w:spacing w:after="0" w:afterAutospacing="0"/>
      <w:ind/>
    </w:pPr>
  </w:style>
  <w:style w:type="paragraph" w:styleId="771" w:default="1">
    <w:name w:val="Normal"/>
    <w:qFormat/>
    <w:pPr>
      <w:pBdr/>
      <w:spacing w:after="160" w:line="259" w:lineRule="auto"/>
      <w:ind/>
    </w:pPr>
    <w:rPr>
      <w:sz w:val="22"/>
      <w:szCs w:val="22"/>
    </w:rPr>
  </w:style>
  <w:style w:type="paragraph" w:styleId="772">
    <w:name w:val="Heading 3"/>
    <w:basedOn w:val="771"/>
    <w:next w:val="771"/>
    <w:link w:val="776"/>
    <w:uiPriority w:val="9"/>
    <w:unhideWhenUsed/>
    <w:qFormat/>
    <w:pPr>
      <w:keepNext w:val="true"/>
      <w:keepLines w:val="true"/>
      <w:pBdr/>
      <w:spacing w:after="0" w:before="40"/>
      <w:ind/>
      <w:outlineLvl w:val="2"/>
    </w:pPr>
    <w:rPr>
      <w:rFonts w:asciiTheme="majorHAnsi" w:hAnsiTheme="majorHAnsi" w:eastAsiaTheme="majorEastAsia" w:cstheme="majorBidi"/>
      <w:color w:val="1f3763" w:themeColor="accent1" w:themeShade="7F"/>
      <w:sz w:val="24"/>
      <w:szCs w:val="24"/>
    </w:rPr>
  </w:style>
  <w:style w:type="character" w:styleId="773" w:default="1">
    <w:name w:val="Default Paragraph Font"/>
    <w:uiPriority w:val="1"/>
    <w:semiHidden/>
    <w:unhideWhenUsed/>
    <w:pPr>
      <w:pBdr/>
      <w:spacing/>
      <w:ind/>
    </w:pPr>
  </w:style>
  <w:style w:type="table" w:styleId="7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5" w:default="1">
    <w:name w:val="No List"/>
    <w:uiPriority w:val="99"/>
    <w:semiHidden/>
    <w:unhideWhenUsed/>
    <w:pPr>
      <w:pBdr/>
      <w:spacing/>
      <w:ind/>
    </w:pPr>
  </w:style>
  <w:style w:type="character" w:styleId="776" w:customStyle="1">
    <w:name w:val="Título 3 Car"/>
    <w:basedOn w:val="773"/>
    <w:link w:val="772"/>
    <w:uiPriority w:val="9"/>
    <w:pPr>
      <w:pBdr/>
      <w:spacing/>
      <w:ind/>
    </w:pPr>
    <w:rPr>
      <w:rFonts w:asciiTheme="majorHAnsi" w:hAnsiTheme="majorHAnsi" w:eastAsiaTheme="majorEastAsia" w:cstheme="majorBidi"/>
      <w:color w:val="1f3763" w:themeColor="accent1" w:themeShade="7F"/>
    </w:rPr>
  </w:style>
  <w:style w:type="table" w:styleId="777">
    <w:name w:val="Table Grid"/>
    <w:basedOn w:val="774"/>
    <w:uiPriority w:val="39"/>
    <w:pPr>
      <w:pBdr/>
      <w:spacing/>
      <w:ind/>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78">
    <w:name w:val="Footer"/>
    <w:basedOn w:val="771"/>
    <w:link w:val="779"/>
    <w:uiPriority w:val="99"/>
    <w:unhideWhenUsed/>
    <w:pPr>
      <w:pBdr/>
      <w:tabs>
        <w:tab w:val="center" w:leader="none" w:pos="4419"/>
        <w:tab w:val="right" w:leader="none" w:pos="8838"/>
      </w:tabs>
      <w:spacing w:after="0" w:line="240" w:lineRule="auto"/>
      <w:ind/>
    </w:pPr>
  </w:style>
  <w:style w:type="character" w:styleId="779" w:customStyle="1">
    <w:name w:val="Pie de página Car"/>
    <w:basedOn w:val="773"/>
    <w:link w:val="778"/>
    <w:uiPriority w:val="99"/>
    <w:pPr>
      <w:pBdr/>
      <w:spacing/>
      <w:ind/>
    </w:pPr>
    <w:rPr>
      <w:sz w:val="22"/>
      <w:szCs w:val="22"/>
    </w:rPr>
  </w:style>
  <w:style w:type="paragraph" w:styleId="780">
    <w:name w:val="footnote text"/>
    <w:basedOn w:val="771"/>
    <w:link w:val="781"/>
    <w:uiPriority w:val="99"/>
    <w:semiHidden/>
    <w:unhideWhenUsed/>
    <w:pPr>
      <w:pBdr/>
      <w:spacing w:after="0" w:line="240" w:lineRule="auto"/>
      <w:ind/>
    </w:pPr>
    <w:rPr>
      <w:sz w:val="20"/>
      <w:szCs w:val="20"/>
      <w:lang w:val="es-ES"/>
    </w:rPr>
  </w:style>
  <w:style w:type="character" w:styleId="781" w:customStyle="1">
    <w:name w:val="Texto nota pie Car"/>
    <w:basedOn w:val="773"/>
    <w:link w:val="780"/>
    <w:uiPriority w:val="99"/>
    <w:semiHidden/>
    <w:pPr>
      <w:pBdr/>
      <w:spacing/>
      <w:ind/>
    </w:pPr>
    <w:rPr>
      <w:sz w:val="20"/>
      <w:szCs w:val="20"/>
      <w:lang w:val="es-ES"/>
    </w:rPr>
  </w:style>
  <w:style w:type="character" w:styleId="782">
    <w:name w:val="footnote reference"/>
    <w:basedOn w:val="773"/>
    <w:unhideWhenUsed/>
    <w:pPr>
      <w:pBdr/>
      <w:spacing/>
      <w:ind/>
    </w:pPr>
    <w:rPr>
      <w:vertAlign w:val="superscript"/>
    </w:rPr>
  </w:style>
  <w:style w:type="paragraph" w:styleId="783">
    <w:name w:val="Header"/>
    <w:basedOn w:val="771"/>
    <w:link w:val="784"/>
    <w:uiPriority w:val="99"/>
    <w:unhideWhenUsed/>
    <w:pPr>
      <w:pBdr/>
      <w:tabs>
        <w:tab w:val="center" w:leader="none" w:pos="4419"/>
        <w:tab w:val="right" w:leader="none" w:pos="8838"/>
      </w:tabs>
      <w:spacing w:after="0" w:line="240" w:lineRule="auto"/>
      <w:ind/>
    </w:pPr>
  </w:style>
  <w:style w:type="character" w:styleId="784" w:customStyle="1">
    <w:name w:val="Encabezado Car"/>
    <w:basedOn w:val="773"/>
    <w:link w:val="783"/>
    <w:uiPriority w:val="99"/>
    <w:pPr>
      <w:pBdr/>
      <w:spacing/>
      <w:ind/>
    </w:pPr>
    <w:rPr>
      <w:sz w:val="22"/>
      <w:szCs w:val="22"/>
    </w:rPr>
  </w:style>
  <w:style w:type="table" w:styleId="785" w:customStyle="1">
    <w:name w:val="Tabla con cuadrícula1"/>
    <w:basedOn w:val="774"/>
    <w:next w:val="777"/>
    <w:uiPriority w:val="39"/>
    <w:pPr>
      <w:pBdr/>
      <w:spacing/>
      <w:ind/>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86">
    <w:name w:val="Balloon Text"/>
    <w:basedOn w:val="771"/>
    <w:link w:val="787"/>
    <w:uiPriority w:val="99"/>
    <w:semiHidden/>
    <w:unhideWhenUsed/>
    <w:pPr>
      <w:pBdr/>
      <w:spacing w:after="0" w:line="240" w:lineRule="auto"/>
      <w:ind/>
    </w:pPr>
    <w:rPr>
      <w:rFonts w:ascii="Segoe UI" w:hAnsi="Segoe UI" w:cs="Segoe UI"/>
      <w:sz w:val="18"/>
      <w:szCs w:val="18"/>
    </w:rPr>
  </w:style>
  <w:style w:type="character" w:styleId="787" w:customStyle="1">
    <w:name w:val="Texto de globo Car"/>
    <w:basedOn w:val="773"/>
    <w:link w:val="786"/>
    <w:uiPriority w:val="99"/>
    <w:semiHidden/>
    <w:pPr>
      <w:pBdr/>
      <w:spacing/>
      <w:ind/>
    </w:pPr>
    <w:rPr>
      <w:rFonts w:ascii="Segoe UI" w:hAnsi="Segoe UI" w:cs="Segoe UI"/>
      <w:sz w:val="18"/>
      <w:szCs w:val="18"/>
    </w:rPr>
  </w:style>
  <w:style w:type="character" w:styleId="788">
    <w:name w:val="annotation reference"/>
    <w:basedOn w:val="773"/>
    <w:uiPriority w:val="99"/>
    <w:semiHidden/>
    <w:unhideWhenUsed/>
    <w:pPr>
      <w:pBdr/>
      <w:spacing/>
      <w:ind/>
    </w:pPr>
    <w:rPr>
      <w:sz w:val="16"/>
      <w:szCs w:val="16"/>
    </w:rPr>
  </w:style>
  <w:style w:type="paragraph" w:styleId="789">
    <w:name w:val="annotation text"/>
    <w:basedOn w:val="771"/>
    <w:link w:val="790"/>
    <w:uiPriority w:val="99"/>
    <w:semiHidden/>
    <w:unhideWhenUsed/>
    <w:pPr>
      <w:pBdr/>
      <w:spacing w:line="240" w:lineRule="auto"/>
      <w:ind/>
    </w:pPr>
    <w:rPr>
      <w:sz w:val="20"/>
      <w:szCs w:val="20"/>
    </w:rPr>
  </w:style>
  <w:style w:type="character" w:styleId="790" w:customStyle="1">
    <w:name w:val="Texto comentario Car"/>
    <w:basedOn w:val="773"/>
    <w:link w:val="789"/>
    <w:uiPriority w:val="99"/>
    <w:semiHidden/>
    <w:pPr>
      <w:pBdr/>
      <w:spacing/>
      <w:ind/>
    </w:pPr>
    <w:rPr>
      <w:sz w:val="20"/>
      <w:szCs w:val="20"/>
    </w:rPr>
  </w:style>
  <w:style w:type="paragraph" w:styleId="791">
    <w:name w:val="annotation subject"/>
    <w:basedOn w:val="789"/>
    <w:next w:val="789"/>
    <w:link w:val="792"/>
    <w:uiPriority w:val="99"/>
    <w:semiHidden/>
    <w:unhideWhenUsed/>
    <w:pPr>
      <w:pBdr/>
      <w:spacing/>
      <w:ind/>
    </w:pPr>
    <w:rPr>
      <w:b/>
      <w:bCs/>
    </w:rPr>
  </w:style>
  <w:style w:type="character" w:styleId="792" w:customStyle="1">
    <w:name w:val="Asunto del comentario Car"/>
    <w:basedOn w:val="790"/>
    <w:link w:val="791"/>
    <w:uiPriority w:val="99"/>
    <w:semiHidden/>
    <w:pPr>
      <w:pBdr/>
      <w:spacing/>
      <w:ind/>
    </w:pPr>
    <w:rPr>
      <w:b/>
      <w:bCs/>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 ds:uri="http://www.w3.org/2001/XMLSchema-instance"/>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revision>5</cp:revision>
  <dcterms:created xsi:type="dcterms:W3CDTF">2022-08-24T18:14:00Z</dcterms:created>
  <dcterms:modified xsi:type="dcterms:W3CDTF">2026-09-30T05:09:58Z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