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FC18C" w14:textId="5ADD1A34" w:rsidR="005C7CBD" w:rsidRPr="00F649F6" w:rsidRDefault="005C7CBD" w:rsidP="005C7CBD">
      <w:pPr>
        <w:pStyle w:val="Heading2"/>
        <w:numPr>
          <w:ilvl w:val="0"/>
          <w:numId w:val="0"/>
        </w:numPr>
        <w:ind w:left="576" w:hanging="576"/>
      </w:pPr>
      <w:bookmarkStart w:id="0" w:name="_Ref205469253"/>
      <w:bookmarkStart w:id="1" w:name="_Toc222211873"/>
      <w:r>
        <w:t xml:space="preserve">Example of </w:t>
      </w:r>
      <w:r w:rsidRPr="00B21179">
        <w:t>I</w:t>
      </w:r>
      <w:r w:rsidRPr="00F649F6">
        <w:t>ndexed tariff</w:t>
      </w:r>
      <w:bookmarkEnd w:id="0"/>
      <w:r w:rsidRPr="00F649F6">
        <w:t xml:space="preserve"> </w:t>
      </w:r>
      <w:r>
        <w:t xml:space="preserve">calculation </w:t>
      </w:r>
      <w:r w:rsidRPr="00F649F6">
        <w:t>in Spain</w:t>
      </w:r>
      <w:bookmarkEnd w:id="1"/>
    </w:p>
    <w:p w14:paraId="1AA0FF1D" w14:textId="577229B5" w:rsidR="005C7CBD" w:rsidRPr="001E64D7" w:rsidRDefault="005C7CBD" w:rsidP="005C7CBD">
      <w:pPr>
        <w:rPr>
          <w:color w:val="000000"/>
        </w:rPr>
      </w:pPr>
      <w:r>
        <w:t xml:space="preserve">The indexed tariff is the hourly electricity price varying with each type of consumer (small, </w:t>
      </w:r>
      <w:proofErr w:type="gramStart"/>
      <w:r>
        <w:t>medium</w:t>
      </w:r>
      <w:proofErr w:type="gramEnd"/>
      <w:r>
        <w:t xml:space="preserve"> or large scale) linked to the hourly electricity market price in Spain plus the costs associated to the commercialization and distribution. It is calculated as per Equation </w:t>
      </w:r>
      <w:r>
        <w:fldChar w:fldCharType="begin" w:fldLock="1"/>
      </w:r>
      <w:r>
        <w:instrText xml:space="preserve"> REF _Ref205816019 \h </w:instrText>
      </w:r>
      <w:r>
        <w:fldChar w:fldCharType="separate"/>
      </w:r>
      <w:r w:rsidRPr="001E64D7">
        <w:rPr>
          <w:color w:val="000000"/>
        </w:rPr>
        <w:t>(</w:t>
      </w:r>
      <w:r>
        <w:rPr>
          <w:noProof/>
          <w:color w:val="000000"/>
        </w:rPr>
        <w:t>9</w:t>
      </w:r>
      <w:r w:rsidRPr="001E64D7">
        <w:rPr>
          <w:color w:val="000000"/>
        </w:rPr>
        <w:t>.</w:t>
      </w:r>
      <w:r>
        <w:rPr>
          <w:noProof/>
          <w:color w:val="000000"/>
        </w:rPr>
        <w:t>1</w:t>
      </w:r>
      <w:r>
        <w:fldChar w:fldCharType="end"/>
      </w:r>
      <w:r>
        <w:t xml:space="preserve">) from </w:t>
      </w:r>
      <w:sdt>
        <w:sdtPr>
          <w:rPr>
            <w:color w:val="000000"/>
          </w:rPr>
          <w:tag w:val="MENDELEY_CITATION_v3_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"/>
          <w:id w:val="-1922942214"/>
          <w:placeholder>
            <w:docPart w:val="26611465D82E4FC1B4D810EBD0C2E829"/>
          </w:placeholder>
        </w:sdtPr>
        <w:sdtContent>
          <w:r w:rsidR="007A7CFB" w:rsidRPr="007A7CFB">
            <w:rPr>
              <w:color w:val="000000"/>
            </w:rPr>
            <w:t>[1]</w:t>
          </w:r>
        </w:sdtContent>
      </w:sdt>
    </w:p>
    <w:tbl>
      <w:tblPr>
        <w:tblStyle w:val="TableGrid"/>
        <w:tblW w:w="8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6"/>
        <w:gridCol w:w="710"/>
      </w:tblGrid>
      <w:tr w:rsidR="005C7CBD" w:rsidRPr="001E64D7" w14:paraId="010AE065" w14:textId="77777777" w:rsidTr="00354EFA">
        <w:tc>
          <w:tcPr>
            <w:tcW w:w="7937" w:type="dxa"/>
            <w:vAlign w:val="center"/>
          </w:tcPr>
          <w:p w14:paraId="2D67BA8D" w14:textId="77777777" w:rsidR="005C7CBD" w:rsidRPr="001E64D7" w:rsidRDefault="005C7CBD" w:rsidP="00354EFA">
            <w:pPr>
              <w:jc w:val="center"/>
              <w:rPr>
                <w:color w:val="000000"/>
              </w:rPr>
            </w:pPr>
            <m:oMathPara>
              <m:oMathParaPr>
                <m:jc m:val="left"/>
              </m:oMathParaPr>
              <m:oMath>
                <m:r>
                  <w:rPr>
                    <w:rFonts w:ascii="Cambria Math" w:hAnsi="Cambria Math"/>
                    <w:color w:val="000000"/>
                  </w:rPr>
                  <m:t>PH=1.015·</m:t>
                </m:r>
                <m:d>
                  <m:dPr>
                    <m:begChr m:val="["/>
                    <m:endChr m:val="]"/>
                    <m:ctrlPr>
                      <w:rPr>
                        <w:rFonts w:ascii="Cambria Math" w:hAnsi="Cambria Math"/>
                        <w:i/>
                        <w:color w:val="000000"/>
                      </w:rPr>
                    </m:ctrlPr>
                  </m:dPr>
                  <m:e>
                    <m:d>
                      <m:dPr>
                        <m:ctrlPr>
                          <w:rPr>
                            <w:rFonts w:ascii="Cambria Math" w:hAnsi="Cambria Math"/>
                            <w:i/>
                            <w:color w:val="000000"/>
                          </w:rPr>
                        </m:ctrlPr>
                      </m:dPr>
                      <m:e>
                        <m:r>
                          <w:rPr>
                            <w:rFonts w:ascii="Cambria Math" w:hAnsi="Cambria Math"/>
                            <w:color w:val="000000"/>
                          </w:rPr>
                          <m:t>PHM+Pc+Sc+Dsv+GdO+POsOm</m:t>
                        </m:r>
                      </m:e>
                    </m:d>
                    <m:r>
                      <w:rPr>
                        <w:rFonts w:ascii="Cambria Math" w:hAnsi="Cambria Math"/>
                        <w:color w:val="000000"/>
                      </w:rPr>
                      <m:t>·</m:t>
                    </m:r>
                    <m:d>
                      <m:dPr>
                        <m:ctrlPr>
                          <w:rPr>
                            <w:rFonts w:ascii="Cambria Math" w:hAnsi="Cambria Math"/>
                            <w:i/>
                            <w:color w:val="000000"/>
                          </w:rPr>
                        </m:ctrlPr>
                      </m:dPr>
                      <m:e>
                        <m:r>
                          <w:rPr>
                            <w:rFonts w:ascii="Cambria Math" w:hAnsi="Cambria Math"/>
                            <w:color w:val="000000"/>
                          </w:rPr>
                          <m:t>1+loss</m:t>
                        </m:r>
                      </m:e>
                    </m:d>
                    <m:r>
                      <w:rPr>
                        <w:rFonts w:ascii="Cambria Math" w:hAnsi="Cambria Math"/>
                        <w:color w:val="000000"/>
                      </w:rPr>
                      <m:t>+FE+F</m:t>
                    </m:r>
                  </m:e>
                </m:d>
                <m:r>
                  <w:rPr>
                    <w:rFonts w:ascii="Cambria Math" w:hAnsi="Cambria Math"/>
                    <w:color w:val="000000"/>
                  </w:rPr>
                  <m:t>+PTD+CA</m:t>
                </m:r>
              </m:oMath>
            </m:oMathPara>
          </w:p>
        </w:tc>
        <w:tc>
          <w:tcPr>
            <w:tcW w:w="669" w:type="dxa"/>
            <w:vAlign w:val="center"/>
          </w:tcPr>
          <w:p w14:paraId="7F6C83D8" w14:textId="77777777" w:rsidR="005C7CBD" w:rsidRPr="001E64D7" w:rsidRDefault="005C7CBD" w:rsidP="00354EFA">
            <w:pPr>
              <w:pStyle w:val="Caption"/>
              <w:jc w:val="both"/>
              <w:rPr>
                <w:color w:val="000000"/>
                <w:sz w:val="24"/>
              </w:rPr>
            </w:pPr>
            <w:bookmarkStart w:id="2" w:name="_Ref205816019"/>
            <w:r w:rsidRPr="001E64D7">
              <w:rPr>
                <w:color w:val="000000"/>
                <w:sz w:val="24"/>
              </w:rPr>
              <w:t>(</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Equation \* ARABIC \s 1 </w:instrText>
            </w:r>
            <w:r w:rsidRPr="001E64D7">
              <w:rPr>
                <w:color w:val="000000"/>
                <w:sz w:val="24"/>
              </w:rPr>
              <w:fldChar w:fldCharType="separate"/>
            </w:r>
            <w:r>
              <w:rPr>
                <w:noProof/>
                <w:color w:val="000000"/>
                <w:sz w:val="24"/>
              </w:rPr>
              <w:t>1</w:t>
            </w:r>
            <w:r w:rsidRPr="001E64D7">
              <w:rPr>
                <w:color w:val="000000"/>
                <w:sz w:val="24"/>
              </w:rPr>
              <w:fldChar w:fldCharType="end"/>
            </w:r>
            <w:bookmarkEnd w:id="2"/>
            <w:r w:rsidRPr="001E64D7">
              <w:rPr>
                <w:color w:val="000000"/>
                <w:sz w:val="24"/>
              </w:rPr>
              <w:t>)</w:t>
            </w:r>
          </w:p>
        </w:tc>
      </w:tr>
    </w:tbl>
    <w:p w14:paraId="194F3DF6" w14:textId="77777777" w:rsidR="005C7CBD" w:rsidRPr="001E64D7" w:rsidRDefault="005C7CBD" w:rsidP="005C7CBD">
      <w:pPr>
        <w:rPr>
          <w:color w:val="000000"/>
        </w:rPr>
      </w:pPr>
      <w:r w:rsidRPr="001E64D7">
        <w:rPr>
          <w:color w:val="000000"/>
        </w:rPr>
        <w:t>Where:</w:t>
      </w:r>
    </w:p>
    <w:p w14:paraId="1008D3D9" w14:textId="77777777" w:rsidR="005C7CBD" w:rsidRPr="001E64D7" w:rsidRDefault="005C7CBD" w:rsidP="005C7CBD">
      <w:pPr>
        <w:rPr>
          <w:color w:val="000000"/>
        </w:rPr>
      </w:pPr>
      <w:r w:rsidRPr="006B4145">
        <w:rPr>
          <w:b/>
          <w:color w:val="000000"/>
        </w:rPr>
        <w:t>PH</w:t>
      </w:r>
      <w:r w:rsidRPr="001E64D7">
        <w:rPr>
          <w:color w:val="000000"/>
        </w:rPr>
        <w:t>: the hourly electricity indexed price resulting from the equation above expressed in €/MWh.</w:t>
      </w:r>
    </w:p>
    <w:p w14:paraId="3DB3E3C4" w14:textId="27366CFF" w:rsidR="005C7CBD" w:rsidRPr="001E64D7" w:rsidRDefault="005C7CBD" w:rsidP="005C7CBD">
      <w:pPr>
        <w:rPr>
          <w:color w:val="000000"/>
        </w:rPr>
      </w:pPr>
      <w:r w:rsidRPr="006B4145">
        <w:rPr>
          <w:b/>
          <w:color w:val="000000"/>
        </w:rPr>
        <w:t>PHM</w:t>
      </w:r>
      <w:r w:rsidRPr="001E64D7">
        <w:rPr>
          <w:color w:val="000000"/>
        </w:rPr>
        <w:t xml:space="preserve">: the hourly market electricity price, expressed in €/MWh, is determined by the designated electricity market operator (OMIE in Spanish) through an algorithmic process that balances supply demand and sale. This price is published at 12:00 for the following 24-hour period and serves as the most influential factor in shaping the final electricity cost. Data on PHM can be found in references </w:t>
      </w:r>
      <w:sdt>
        <w:sdtPr>
          <w:rPr>
            <w:color w:val="000000"/>
          </w:rPr>
          <w:tag w:val="MENDELEY_CITATION_v3_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"/>
          <w:id w:val="410280007"/>
          <w:placeholder>
            <w:docPart w:val="26611465D82E4FC1B4D810EBD0C2E829"/>
          </w:placeholder>
        </w:sdtPr>
        <w:sdtContent>
          <w:r w:rsidR="007A7CFB" w:rsidRPr="007A7CFB">
            <w:rPr>
              <w:color w:val="000000"/>
            </w:rPr>
            <w:t>[2], [3]</w:t>
          </w:r>
        </w:sdtContent>
      </w:sdt>
      <w:r w:rsidRPr="001E64D7">
        <w:rPr>
          <w:color w:val="000000"/>
        </w:rPr>
        <w:t xml:space="preserve">. This price applies exclusively to the Iberian Peninsula, whilst for the Canary and Balearic Islands, the Spanish Electricity Grid Operator (REE in Spanish) is responsible for calculating electricity costs. </w:t>
      </w:r>
      <w:r w:rsidRPr="001E64D7">
        <w:rPr>
          <w:color w:val="000000"/>
        </w:rPr>
        <w:fldChar w:fldCharType="begin" w:fldLock="1"/>
      </w:r>
      <w:r w:rsidRPr="001E64D7">
        <w:rPr>
          <w:color w:val="000000"/>
        </w:rPr>
        <w:instrText xml:space="preserve"> REF _Ref205903209 \h </w:instrText>
      </w:r>
      <w:r w:rsidRPr="001E64D7">
        <w:rPr>
          <w:color w:val="000000"/>
        </w:rPr>
      </w:r>
      <w:r w:rsidRPr="001E64D7">
        <w:rPr>
          <w:color w:val="000000"/>
        </w:rPr>
        <w:fldChar w:fldCharType="separate"/>
      </w:r>
      <w:r w:rsidRPr="001E64D7">
        <w:rPr>
          <w:color w:val="000000"/>
        </w:rPr>
        <w:t xml:space="preserve">Figure </w:t>
      </w:r>
      <w:r>
        <w:rPr>
          <w:noProof/>
          <w:color w:val="000000"/>
        </w:rPr>
        <w:t>9</w:t>
      </w:r>
      <w:r w:rsidRPr="001E64D7">
        <w:rPr>
          <w:color w:val="000000"/>
        </w:rPr>
        <w:t>.</w:t>
      </w:r>
      <w:r>
        <w:rPr>
          <w:noProof/>
          <w:color w:val="000000"/>
        </w:rPr>
        <w:t>10</w:t>
      </w:r>
      <w:r w:rsidRPr="001E64D7">
        <w:rPr>
          <w:color w:val="000000"/>
        </w:rPr>
        <w:fldChar w:fldCharType="end"/>
      </w:r>
      <w:r w:rsidRPr="001E64D7">
        <w:rPr>
          <w:color w:val="000000"/>
        </w:rPr>
        <w:t xml:space="preserve"> shows the PHM (€/MWh) data from 1st June 2023 to 31st May 2024.</w:t>
      </w:r>
    </w:p>
    <w:p w14:paraId="3935B3AD" w14:textId="77777777" w:rsidR="005C7CBD" w:rsidRPr="001E64D7" w:rsidRDefault="005C7CBD" w:rsidP="005C7CBD">
      <w:pPr>
        <w:keepNext/>
        <w:jc w:val="center"/>
        <w:rPr>
          <w:color w:val="000000"/>
        </w:rPr>
      </w:pPr>
      <w:r w:rsidRPr="001E64D7">
        <w:rPr>
          <w:noProof/>
          <w:color w:val="000000"/>
        </w:rPr>
        <w:lastRenderedPageBreak/>
        <w:drawing>
          <wp:inline distT="0" distB="0" distL="0" distR="0" wp14:anchorId="39F78513" wp14:editId="67B902FD">
            <wp:extent cx="4163317" cy="3240000"/>
            <wp:effectExtent l="0" t="0" r="8890" b="0"/>
            <wp:docPr id="2132952785" name="Picture 1" descr="P187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52785" name="Picture 1" descr="P1875#yIS1"/>
                    <pic:cNvPicPr>
                      <a:picLocks noChangeAspect="1" noChangeArrowheads="1"/>
                    </pic:cNvPicPr>
                  </pic:nvPicPr>
                  <pic:blipFill>
                    <a:blip r:embed="rId6"/>
                    <a:stretch>
                      <a:fillRect/>
                    </a:stretch>
                  </pic:blipFill>
                  <pic:spPr bwMode="auto">
                    <a:xfrm>
                      <a:off x="0" y="0"/>
                      <a:ext cx="4163317" cy="3240000"/>
                    </a:xfrm>
                    <a:prstGeom prst="rect">
                      <a:avLst/>
                    </a:prstGeom>
                  </pic:spPr>
                </pic:pic>
              </a:graphicData>
            </a:graphic>
          </wp:inline>
        </w:drawing>
      </w:r>
    </w:p>
    <w:p w14:paraId="5C3AD15B" w14:textId="77777777" w:rsidR="005C7CBD" w:rsidRPr="001E64D7" w:rsidRDefault="005C7CBD" w:rsidP="005C7CBD">
      <w:pPr>
        <w:pStyle w:val="Caption"/>
        <w:rPr>
          <w:color w:val="000000"/>
          <w:sz w:val="24"/>
        </w:rPr>
      </w:pPr>
      <w:bookmarkStart w:id="3" w:name="_Ref205903209"/>
      <w:bookmarkStart w:id="4" w:name="_Toc222211912"/>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10</w:t>
      </w:r>
      <w:r w:rsidRPr="001E64D7">
        <w:rPr>
          <w:color w:val="000000"/>
          <w:sz w:val="24"/>
        </w:rPr>
        <w:fldChar w:fldCharType="end"/>
      </w:r>
      <w:bookmarkEnd w:id="3"/>
      <w:r w:rsidRPr="001E64D7">
        <w:rPr>
          <w:color w:val="000000"/>
          <w:sz w:val="24"/>
        </w:rPr>
        <w:t>. Hourly market electricity price (PHM).</w:t>
      </w:r>
      <w:bookmarkEnd w:id="4"/>
    </w:p>
    <w:p w14:paraId="577E8445" w14:textId="195076F2" w:rsidR="005C7CBD" w:rsidRDefault="005C7CBD" w:rsidP="005C7CBD">
      <w:pPr>
        <w:rPr>
          <w:color w:val="000000"/>
        </w:rPr>
      </w:pPr>
      <w:r w:rsidRPr="006B4145">
        <w:rPr>
          <w:b/>
          <w:color w:val="000000"/>
        </w:rPr>
        <w:t>Pc</w:t>
      </w:r>
      <w:r w:rsidRPr="001E64D7">
        <w:rPr>
          <w:color w:val="000000"/>
        </w:rPr>
        <w:t xml:space="preserve">: the regulated capacity payment covers the cost of ensuring the availability of generation technologies that the electricity system may require at any given time. This fee is defined by the access tariff, which varies based on the type of consumer, hour of the day, day of the week and month. This value can be found at </w:t>
      </w:r>
      <w:sdt>
        <w:sdtPr>
          <w:rPr>
            <w:color w:val="000000"/>
          </w:rPr>
          <w:tag w:val="MENDELEY_CITATION_v3_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"/>
          <w:id w:val="-188690724"/>
          <w:placeholder>
            <w:docPart w:val="26611465D82E4FC1B4D810EBD0C2E829"/>
          </w:placeholder>
        </w:sdtPr>
        <w:sdtContent>
          <w:r w:rsidR="007A7CFB" w:rsidRPr="007A7CFB">
            <w:rPr>
              <w:color w:val="000000"/>
            </w:rPr>
            <w:t>[4]</w:t>
          </w:r>
        </w:sdtContent>
      </w:sdt>
      <w:r w:rsidRPr="001E64D7">
        <w:rPr>
          <w:color w:val="000000"/>
        </w:rPr>
        <w:t xml:space="preserve"> or directly given by the Spanish Electricity Grid Operator </w:t>
      </w:r>
      <w:sdt>
        <w:sdtPr>
          <w:rPr>
            <w:color w:val="000000"/>
          </w:rPr>
          <w:tag w:val="MENDELEY_CITATION_v3_eyJjaXRhdGlvbklEIjoiTUVOREVMRVlfQ0lUQVRJT05fZjc2Yjc1MDgtNDFlZi00MWNjLWE4ZGYtYzBiMzEwYzNiYTc3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
          <w:id w:val="-2070255934"/>
          <w:placeholder>
            <w:docPart w:val="2EE3E77AC13A469FAC8DB02748450077"/>
          </w:placeholder>
        </w:sdtPr>
        <w:sdtContent>
          <w:r w:rsidR="007A7CFB" w:rsidRPr="007A7CFB">
            <w:rPr>
              <w:color w:val="000000"/>
            </w:rPr>
            <w:t>[5]</w:t>
          </w:r>
        </w:sdtContent>
      </w:sdt>
      <w:r w:rsidRPr="001E64D7">
        <w:rPr>
          <w:color w:val="000000"/>
        </w:rPr>
        <w:t xml:space="preserve"> (REE in in Spanish). Within the REE’s database, the folder named ‘</w:t>
      </w:r>
      <w:proofErr w:type="spellStart"/>
      <w:r w:rsidRPr="001E64D7">
        <w:rPr>
          <w:i/>
          <w:iCs/>
          <w:color w:val="000000"/>
        </w:rPr>
        <w:t>C</w:t>
      </w:r>
      <w:r w:rsidRPr="001E64D7">
        <w:rPr>
          <w:bCs/>
          <w:i/>
          <w:iCs/>
          <w:color w:val="000000"/>
        </w:rPr>
        <w:t>X</w:t>
      </w:r>
      <w:r w:rsidRPr="001E64D7">
        <w:rPr>
          <w:color w:val="000000"/>
        </w:rPr>
        <w:t>_</w:t>
      </w:r>
      <w:r w:rsidRPr="001E64D7">
        <w:rPr>
          <w:i/>
          <w:iCs/>
          <w:color w:val="000000"/>
        </w:rPr>
        <w:t>Liquicomun</w:t>
      </w:r>
      <w:proofErr w:type="spellEnd"/>
      <w:r w:rsidRPr="001E64D7">
        <w:rPr>
          <w:i/>
          <w:iCs/>
          <w:color w:val="000000"/>
        </w:rPr>
        <w:t>’</w:t>
      </w:r>
      <w:r w:rsidRPr="001E64D7">
        <w:rPr>
          <w:color w:val="000000"/>
        </w:rPr>
        <w:t>, (where ‘</w:t>
      </w:r>
      <w:r w:rsidRPr="001E64D7">
        <w:rPr>
          <w:bCs/>
          <w:color w:val="000000"/>
        </w:rPr>
        <w:t>X</w:t>
      </w:r>
      <w:r w:rsidRPr="001E64D7">
        <w:rPr>
          <w:color w:val="000000"/>
        </w:rPr>
        <w:t>’ indicates the latest version) contains the file of the hourly capacity payment for each type of consumer and each month of the year: ‘</w:t>
      </w:r>
      <w:r w:rsidRPr="001E64D7">
        <w:rPr>
          <w:i/>
          <w:iCs/>
          <w:color w:val="000000"/>
        </w:rPr>
        <w:t>prpcap20TD’</w:t>
      </w:r>
      <w:r w:rsidRPr="001E64D7">
        <w:rPr>
          <w:color w:val="000000"/>
        </w:rPr>
        <w:t>, ‘</w:t>
      </w:r>
      <w:r w:rsidRPr="001E64D7">
        <w:rPr>
          <w:i/>
          <w:iCs/>
          <w:color w:val="000000"/>
        </w:rPr>
        <w:t>prpcap30TD’</w:t>
      </w:r>
      <w:r w:rsidRPr="001E64D7">
        <w:rPr>
          <w:color w:val="000000"/>
        </w:rPr>
        <w:t xml:space="preserve"> and ‘</w:t>
      </w:r>
      <w:r w:rsidRPr="001E64D7">
        <w:rPr>
          <w:i/>
          <w:iCs/>
          <w:color w:val="000000"/>
        </w:rPr>
        <w:t>prpcap61TD’</w:t>
      </w:r>
      <w:r w:rsidRPr="001E64D7">
        <w:rPr>
          <w:color w:val="000000"/>
        </w:rPr>
        <w:t xml:space="preserve"> for the small, medium, and large consumer tariffs respectively. </w:t>
      </w:r>
      <w:r w:rsidRPr="001E64D7">
        <w:rPr>
          <w:color w:val="000000"/>
        </w:rPr>
        <w:fldChar w:fldCharType="begin" w:fldLock="1"/>
      </w:r>
      <w:r w:rsidRPr="001E64D7">
        <w:rPr>
          <w:color w:val="000000"/>
        </w:rPr>
        <w:instrText xml:space="preserve"> REF _Ref205905706 \h </w:instrText>
      </w:r>
      <w:r w:rsidRPr="001E64D7">
        <w:rPr>
          <w:color w:val="000000"/>
        </w:rPr>
      </w:r>
      <w:r w:rsidRPr="001E64D7">
        <w:rPr>
          <w:color w:val="000000"/>
        </w:rPr>
        <w:fldChar w:fldCharType="separate"/>
      </w:r>
      <w:r w:rsidRPr="001E64D7">
        <w:rPr>
          <w:color w:val="000000"/>
        </w:rPr>
        <w:t xml:space="preserve">Figure </w:t>
      </w:r>
      <w:r>
        <w:rPr>
          <w:noProof/>
          <w:color w:val="000000"/>
        </w:rPr>
        <w:t>9</w:t>
      </w:r>
      <w:r w:rsidRPr="001E64D7">
        <w:rPr>
          <w:color w:val="000000"/>
        </w:rPr>
        <w:t>.</w:t>
      </w:r>
      <w:r>
        <w:rPr>
          <w:noProof/>
          <w:color w:val="000000"/>
        </w:rPr>
        <w:t>11</w:t>
      </w:r>
      <w:r w:rsidRPr="001E64D7">
        <w:rPr>
          <w:color w:val="000000"/>
        </w:rPr>
        <w:fldChar w:fldCharType="end"/>
      </w:r>
      <w:r w:rsidRPr="001E64D7">
        <w:rPr>
          <w:color w:val="000000"/>
        </w:rPr>
        <w:t xml:space="preserve"> depicts the capacity payment for a large consumer (‘</w:t>
      </w:r>
      <w:r w:rsidRPr="001E64D7">
        <w:rPr>
          <w:i/>
          <w:iCs/>
          <w:color w:val="000000"/>
        </w:rPr>
        <w:t>prpcap61TD’</w:t>
      </w:r>
      <w:r w:rsidRPr="001E64D7">
        <w:rPr>
          <w:color w:val="000000"/>
        </w:rPr>
        <w:t>) from 1st June 2023 to 31st May 2024.</w:t>
      </w:r>
    </w:p>
    <w:p w14:paraId="2BA540B5" w14:textId="77777777" w:rsidR="005C7CBD" w:rsidRPr="001E64D7" w:rsidRDefault="005C7CBD" w:rsidP="005C7CBD">
      <w:pPr>
        <w:keepNext/>
        <w:jc w:val="center"/>
        <w:rPr>
          <w:color w:val="000000"/>
        </w:rPr>
      </w:pPr>
      <w:r w:rsidRPr="001E64D7">
        <w:rPr>
          <w:noProof/>
          <w:color w:val="000000"/>
        </w:rPr>
        <w:lastRenderedPageBreak/>
        <w:drawing>
          <wp:inline distT="0" distB="0" distL="0" distR="0" wp14:anchorId="3FB4A2FD" wp14:editId="0FDDA026">
            <wp:extent cx="4110697" cy="3240000"/>
            <wp:effectExtent l="0" t="0" r="4445" b="0"/>
            <wp:docPr id="528119098" name="Picture 1" descr="P187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19098" name="Picture 1" descr="P1878#yIS1"/>
                    <pic:cNvPicPr>
                      <a:picLocks noChangeAspect="1" noChangeArrowheads="1"/>
                    </pic:cNvPicPr>
                  </pic:nvPicPr>
                  <pic:blipFill>
                    <a:blip r:embed="rId7"/>
                    <a:stretch>
                      <a:fillRect/>
                    </a:stretch>
                  </pic:blipFill>
                  <pic:spPr bwMode="auto">
                    <a:xfrm>
                      <a:off x="0" y="0"/>
                      <a:ext cx="4110697" cy="3240000"/>
                    </a:xfrm>
                    <a:prstGeom prst="rect">
                      <a:avLst/>
                    </a:prstGeom>
                  </pic:spPr>
                </pic:pic>
              </a:graphicData>
            </a:graphic>
          </wp:inline>
        </w:drawing>
      </w:r>
    </w:p>
    <w:p w14:paraId="7DB019F8" w14:textId="77777777" w:rsidR="005C7CBD" w:rsidRPr="001E64D7" w:rsidRDefault="005C7CBD" w:rsidP="005C7CBD">
      <w:pPr>
        <w:pStyle w:val="Caption"/>
        <w:rPr>
          <w:color w:val="000000"/>
          <w:sz w:val="24"/>
        </w:rPr>
      </w:pPr>
      <w:bookmarkStart w:id="5" w:name="_Ref205905706"/>
      <w:bookmarkStart w:id="6" w:name="_Toc222211913"/>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11</w:t>
      </w:r>
      <w:r w:rsidRPr="001E64D7">
        <w:rPr>
          <w:color w:val="000000"/>
          <w:sz w:val="24"/>
        </w:rPr>
        <w:fldChar w:fldCharType="end"/>
      </w:r>
      <w:bookmarkEnd w:id="5"/>
      <w:r w:rsidRPr="001E64D7">
        <w:rPr>
          <w:color w:val="000000"/>
          <w:sz w:val="24"/>
        </w:rPr>
        <w:t>. Hourly capacity payment (Pc).</w:t>
      </w:r>
      <w:bookmarkEnd w:id="6"/>
    </w:p>
    <w:p w14:paraId="67E14477" w14:textId="6BB2CD8B" w:rsidR="005C7CBD" w:rsidRPr="001E64D7" w:rsidRDefault="005C7CBD" w:rsidP="005C7CBD">
      <w:pPr>
        <w:rPr>
          <w:color w:val="000000"/>
        </w:rPr>
      </w:pPr>
      <w:r w:rsidRPr="006B4145">
        <w:rPr>
          <w:b/>
          <w:color w:val="000000"/>
        </w:rPr>
        <w:t>Sc</w:t>
      </w:r>
      <w:r w:rsidRPr="001E64D7">
        <w:rPr>
          <w:bCs/>
          <w:color w:val="000000"/>
        </w:rPr>
        <w:t>:</w:t>
      </w:r>
      <w:r w:rsidRPr="001E64D7">
        <w:rPr>
          <w:color w:val="000000"/>
        </w:rPr>
        <w:t xml:space="preserve"> the adjustment services charge is an additional cost applied to cover real-time technical restrictions and system balancing actions required to maintain grid stability. This fee fluctuates hourly, depending on the operational demands of the electricity system. The updated hourly Sc values can be found in </w:t>
      </w:r>
      <w:sdt>
        <w:sdtPr>
          <w:rPr>
            <w:color w:val="000000"/>
          </w:rPr>
          <w:tag w:val="MENDELEY_CITATION_v3_eyJjaXRhdGlvbklEIjoiTUVOREVMRVlfQ0lUQVRJT05fMzAyYjMyOTQtZTA2ZC00MDg0LTk5N2QtZjRjNjI0YTkwYmM2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
          <w:id w:val="-844710535"/>
          <w:placeholder>
            <w:docPart w:val="2727A5CAAA674B269BC72208A8CCD404"/>
          </w:placeholder>
        </w:sdtPr>
        <w:sdtContent>
          <w:r w:rsidR="007A7CFB" w:rsidRPr="007A7CFB">
            <w:rPr>
              <w:color w:val="000000"/>
            </w:rPr>
            <w:t>[5]</w:t>
          </w:r>
        </w:sdtContent>
      </w:sdt>
      <w:r w:rsidRPr="001E64D7">
        <w:rPr>
          <w:color w:val="000000"/>
        </w:rPr>
        <w:t>, within the same ‘</w:t>
      </w:r>
      <w:proofErr w:type="spellStart"/>
      <w:r w:rsidRPr="001E64D7">
        <w:rPr>
          <w:i/>
          <w:iCs/>
          <w:color w:val="000000"/>
        </w:rPr>
        <w:t>C</w:t>
      </w:r>
      <w:r w:rsidRPr="001E64D7">
        <w:rPr>
          <w:bCs/>
          <w:i/>
          <w:iCs/>
          <w:color w:val="000000"/>
        </w:rPr>
        <w:t>X</w:t>
      </w:r>
      <w:r w:rsidRPr="001E64D7">
        <w:rPr>
          <w:color w:val="000000"/>
        </w:rPr>
        <w:t>_</w:t>
      </w:r>
      <w:r w:rsidRPr="001E64D7">
        <w:rPr>
          <w:i/>
          <w:iCs/>
          <w:color w:val="000000"/>
        </w:rPr>
        <w:t>Liquicomun</w:t>
      </w:r>
      <w:proofErr w:type="spellEnd"/>
      <w:r w:rsidRPr="001E64D7">
        <w:rPr>
          <w:i/>
          <w:iCs/>
          <w:color w:val="000000"/>
        </w:rPr>
        <w:t xml:space="preserve">’ </w:t>
      </w:r>
      <w:r w:rsidRPr="001E64D7">
        <w:rPr>
          <w:color w:val="000000"/>
        </w:rPr>
        <w:t>directory, in the file ‘</w:t>
      </w:r>
      <w:proofErr w:type="spellStart"/>
      <w:r w:rsidRPr="001E64D7">
        <w:rPr>
          <w:i/>
          <w:iCs/>
          <w:color w:val="000000"/>
        </w:rPr>
        <w:t>prdemCad</w:t>
      </w:r>
      <w:proofErr w:type="spellEnd"/>
      <w:r w:rsidRPr="001E64D7">
        <w:rPr>
          <w:color w:val="000000"/>
        </w:rPr>
        <w:t xml:space="preserve">’’ for each month of the year. </w:t>
      </w:r>
      <w:r w:rsidRPr="001E64D7">
        <w:rPr>
          <w:color w:val="000000"/>
        </w:rPr>
        <w:fldChar w:fldCharType="begin" w:fldLock="1"/>
      </w:r>
      <w:r w:rsidRPr="001E64D7">
        <w:rPr>
          <w:color w:val="000000"/>
        </w:rPr>
        <w:instrText xml:space="preserve"> REF _Ref205905289 \h </w:instrText>
      </w:r>
      <w:r w:rsidRPr="001E64D7">
        <w:rPr>
          <w:color w:val="000000"/>
        </w:rPr>
      </w:r>
      <w:r w:rsidRPr="001E64D7">
        <w:rPr>
          <w:color w:val="000000"/>
        </w:rPr>
        <w:fldChar w:fldCharType="separate"/>
      </w:r>
      <w:r w:rsidRPr="001E64D7">
        <w:rPr>
          <w:color w:val="000000"/>
        </w:rPr>
        <w:t xml:space="preserve">Figure </w:t>
      </w:r>
      <w:r>
        <w:rPr>
          <w:noProof/>
          <w:color w:val="000000"/>
        </w:rPr>
        <w:t>9</w:t>
      </w:r>
      <w:r w:rsidRPr="001E64D7">
        <w:rPr>
          <w:color w:val="000000"/>
        </w:rPr>
        <w:t>.</w:t>
      </w:r>
      <w:r>
        <w:rPr>
          <w:noProof/>
          <w:color w:val="000000"/>
        </w:rPr>
        <w:t>12</w:t>
      </w:r>
      <w:r w:rsidRPr="001E64D7">
        <w:rPr>
          <w:color w:val="000000"/>
        </w:rPr>
        <w:fldChar w:fldCharType="end"/>
      </w:r>
      <w:r w:rsidRPr="001E64D7">
        <w:rPr>
          <w:color w:val="000000"/>
        </w:rPr>
        <w:t xml:space="preserve"> depicts the hourly Sc between 1st of June 2023 to 31st of May 2024 for a large consumer (‘</w:t>
      </w:r>
      <w:r w:rsidRPr="001E64D7">
        <w:rPr>
          <w:i/>
          <w:iCs/>
          <w:color w:val="000000"/>
        </w:rPr>
        <w:t>C</w:t>
      </w:r>
      <w:r w:rsidRPr="001E64D7">
        <w:rPr>
          <w:bCs/>
          <w:i/>
          <w:iCs/>
          <w:color w:val="000000"/>
        </w:rPr>
        <w:t>2</w:t>
      </w:r>
      <w:r w:rsidRPr="001E64D7">
        <w:rPr>
          <w:color w:val="000000"/>
        </w:rPr>
        <w:t>_</w:t>
      </w:r>
      <w:r w:rsidRPr="001E64D7">
        <w:rPr>
          <w:i/>
          <w:iCs/>
          <w:color w:val="000000"/>
        </w:rPr>
        <w:t>Liquicomun/</w:t>
      </w:r>
      <w:proofErr w:type="spellStart"/>
      <w:r w:rsidRPr="001E64D7">
        <w:rPr>
          <w:i/>
          <w:iCs/>
          <w:color w:val="000000"/>
        </w:rPr>
        <w:t>prdemCad</w:t>
      </w:r>
      <w:proofErr w:type="spellEnd"/>
      <w:r w:rsidRPr="001E64D7">
        <w:rPr>
          <w:i/>
          <w:iCs/>
          <w:color w:val="000000"/>
        </w:rPr>
        <w:t>’</w:t>
      </w:r>
      <w:r w:rsidRPr="001E64D7">
        <w:rPr>
          <w:color w:val="000000"/>
        </w:rPr>
        <w:t>).</w:t>
      </w:r>
    </w:p>
    <w:p w14:paraId="480C6F5C" w14:textId="77777777" w:rsidR="005C7CBD" w:rsidRPr="001E64D7" w:rsidRDefault="005C7CBD" w:rsidP="005C7CBD">
      <w:pPr>
        <w:keepNext/>
        <w:jc w:val="center"/>
        <w:rPr>
          <w:color w:val="000000"/>
        </w:rPr>
      </w:pPr>
      <w:r w:rsidRPr="001E64D7">
        <w:rPr>
          <w:noProof/>
          <w:color w:val="000000"/>
        </w:rPr>
        <w:lastRenderedPageBreak/>
        <w:drawing>
          <wp:inline distT="0" distB="0" distL="0" distR="0" wp14:anchorId="44559C49" wp14:editId="23596521">
            <wp:extent cx="4201875" cy="3240000"/>
            <wp:effectExtent l="0" t="0" r="8255" b="0"/>
            <wp:docPr id="1714611721" name="Picture 1" descr="P188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11721" name="Picture 1" descr="P1881#yIS1"/>
                    <pic:cNvPicPr>
                      <a:picLocks noChangeAspect="1" noChangeArrowheads="1"/>
                    </pic:cNvPicPr>
                  </pic:nvPicPr>
                  <pic:blipFill>
                    <a:blip r:embed="rId8"/>
                    <a:stretch>
                      <a:fillRect/>
                    </a:stretch>
                  </pic:blipFill>
                  <pic:spPr bwMode="auto">
                    <a:xfrm>
                      <a:off x="0" y="0"/>
                      <a:ext cx="4201875" cy="3240000"/>
                    </a:xfrm>
                    <a:prstGeom prst="rect">
                      <a:avLst/>
                    </a:prstGeom>
                  </pic:spPr>
                </pic:pic>
              </a:graphicData>
            </a:graphic>
          </wp:inline>
        </w:drawing>
      </w:r>
    </w:p>
    <w:p w14:paraId="2018E601" w14:textId="77777777" w:rsidR="005C7CBD" w:rsidRPr="001E64D7" w:rsidRDefault="005C7CBD" w:rsidP="005C7CBD">
      <w:pPr>
        <w:pStyle w:val="Caption"/>
        <w:rPr>
          <w:color w:val="000000"/>
          <w:sz w:val="24"/>
        </w:rPr>
      </w:pPr>
      <w:bookmarkStart w:id="7" w:name="_Ref205905289"/>
      <w:bookmarkStart w:id="8" w:name="_Toc222211914"/>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12</w:t>
      </w:r>
      <w:r w:rsidRPr="001E64D7">
        <w:rPr>
          <w:color w:val="000000"/>
          <w:sz w:val="24"/>
        </w:rPr>
        <w:fldChar w:fldCharType="end"/>
      </w:r>
      <w:bookmarkEnd w:id="7"/>
      <w:r w:rsidRPr="001E64D7">
        <w:rPr>
          <w:color w:val="000000"/>
          <w:sz w:val="24"/>
        </w:rPr>
        <w:t>. Hourly adjustment services charge (Sc).</w:t>
      </w:r>
      <w:bookmarkEnd w:id="8"/>
    </w:p>
    <w:p w14:paraId="763C7613" w14:textId="77777777" w:rsidR="005C7CBD" w:rsidRPr="001E64D7" w:rsidRDefault="005C7CBD" w:rsidP="005C7CBD">
      <w:pPr>
        <w:rPr>
          <w:color w:val="000000"/>
        </w:rPr>
      </w:pPr>
      <w:proofErr w:type="spellStart"/>
      <w:r w:rsidRPr="006B4145">
        <w:rPr>
          <w:b/>
          <w:color w:val="000000"/>
        </w:rPr>
        <w:t>Dsv</w:t>
      </w:r>
      <w:proofErr w:type="spellEnd"/>
      <w:r w:rsidRPr="001E64D7">
        <w:rPr>
          <w:color w:val="000000"/>
        </w:rPr>
        <w:t xml:space="preserve">: the deviation penalty cost is applied to compensate for imbalances between the scheduled energy and the actual energy demand. It is calculated according to Eq. </w:t>
      </w:r>
      <w:r w:rsidRPr="001E64D7">
        <w:rPr>
          <w:color w:val="000000"/>
        </w:rPr>
        <w:fldChar w:fldCharType="begin" w:fldLock="1"/>
      </w:r>
      <w:r w:rsidRPr="001E64D7">
        <w:rPr>
          <w:color w:val="000000"/>
        </w:rPr>
        <w:instrText xml:space="preserve"> REF _Ref205885798 \h </w:instrText>
      </w:r>
      <w:r w:rsidRPr="001E64D7">
        <w:rPr>
          <w:color w:val="000000"/>
        </w:rPr>
      </w:r>
      <w:r w:rsidRPr="001E64D7">
        <w:rPr>
          <w:color w:val="000000"/>
        </w:rPr>
        <w:fldChar w:fldCharType="separate"/>
      </w:r>
      <w:r w:rsidRPr="001E64D7">
        <w:rPr>
          <w:color w:val="000000"/>
        </w:rPr>
        <w:t>(</w:t>
      </w:r>
      <w:r>
        <w:rPr>
          <w:noProof/>
          <w:color w:val="000000"/>
        </w:rPr>
        <w:t>9</w:t>
      </w:r>
      <w:r w:rsidRPr="001E64D7">
        <w:rPr>
          <w:color w:val="000000"/>
        </w:rPr>
        <w:t>.</w:t>
      </w:r>
      <w:r>
        <w:rPr>
          <w:noProof/>
          <w:color w:val="000000"/>
        </w:rPr>
        <w:t>2</w:t>
      </w:r>
      <w:r w:rsidRPr="001E64D7">
        <w:rPr>
          <w:color w:val="000000"/>
        </w:rPr>
        <w:fldChar w:fldCharType="end"/>
      </w:r>
      <w:r w:rsidRPr="001E64D7">
        <w:rPr>
          <w:color w:val="000000"/>
        </w:rPr>
        <w:t>) for the Iberian Peninsula:</w:t>
      </w:r>
    </w:p>
    <w:tbl>
      <w:tblPr>
        <w:tblStyle w:val="TableGrid"/>
        <w:tblW w:w="8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6"/>
        <w:gridCol w:w="710"/>
      </w:tblGrid>
      <w:tr w:rsidR="005C7CBD" w:rsidRPr="001E64D7" w14:paraId="7353C152" w14:textId="77777777" w:rsidTr="00354EFA">
        <w:tc>
          <w:tcPr>
            <w:tcW w:w="7937" w:type="dxa"/>
            <w:vAlign w:val="center"/>
          </w:tcPr>
          <w:p w14:paraId="088A9C36" w14:textId="77777777" w:rsidR="005C7CBD" w:rsidRPr="001E64D7" w:rsidRDefault="005C7CBD" w:rsidP="00354EFA">
            <w:pPr>
              <w:jc w:val="center"/>
              <w:rPr>
                <w:color w:val="000000"/>
              </w:rPr>
            </w:pPr>
            <m:oMathPara>
              <m:oMathParaPr>
                <m:jc m:val="left"/>
              </m:oMathParaPr>
              <m:oMath>
                <m:r>
                  <w:rPr>
                    <w:rFonts w:ascii="Cambria Math" w:hAnsi="Cambria Math"/>
                    <w:color w:val="000000"/>
                  </w:rPr>
                  <m:t>Dsv=</m:t>
                </m:r>
                <m:d>
                  <m:dPr>
                    <m:begChr m:val="["/>
                    <m:endChr m:val="]"/>
                    <m:ctrlPr>
                      <w:rPr>
                        <w:rFonts w:ascii="Cambria Math" w:hAnsi="Cambria Math"/>
                        <w:i/>
                        <w:color w:val="000000"/>
                      </w:rPr>
                    </m:ctrlPr>
                  </m:dPr>
                  <m:e>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m:t>
                        </m:r>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CoDsvSu+CoDsvBa</m:t>
                        </m:r>
                      </m:e>
                    </m:d>
                    <m:r>
                      <w:rPr>
                        <w:rFonts w:ascii="Cambria Math" w:hAnsi="Cambria Math"/>
                        <w:color w:val="000000"/>
                      </w:rPr>
                      <m:t>+BS3+RAD3</m:t>
                    </m:r>
                  </m:e>
                </m:d>
                <m:r>
                  <w:rPr>
                    <w:rFonts w:ascii="Cambria Math" w:hAnsi="Cambria Math"/>
                    <w:color w:val="000000"/>
                  </w:rPr>
                  <m:t>·facto</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Dsv</m:t>
                    </m:r>
                  </m:sub>
                </m:sSub>
              </m:oMath>
            </m:oMathPara>
          </w:p>
        </w:tc>
        <w:tc>
          <w:tcPr>
            <w:tcW w:w="669" w:type="dxa"/>
            <w:vAlign w:val="center"/>
          </w:tcPr>
          <w:p w14:paraId="489766E9" w14:textId="77777777" w:rsidR="005C7CBD" w:rsidRPr="001E64D7" w:rsidRDefault="005C7CBD" w:rsidP="00354EFA">
            <w:pPr>
              <w:pStyle w:val="Caption"/>
              <w:jc w:val="both"/>
              <w:rPr>
                <w:color w:val="000000"/>
                <w:sz w:val="24"/>
              </w:rPr>
            </w:pPr>
            <w:bookmarkStart w:id="9" w:name="_Ref205885798"/>
            <w:r w:rsidRPr="001E64D7">
              <w:rPr>
                <w:color w:val="000000"/>
                <w:sz w:val="24"/>
              </w:rPr>
              <w:t>(</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Equation \* ARABIC \s 1 </w:instrText>
            </w:r>
            <w:r w:rsidRPr="001E64D7">
              <w:rPr>
                <w:color w:val="000000"/>
                <w:sz w:val="24"/>
              </w:rPr>
              <w:fldChar w:fldCharType="separate"/>
            </w:r>
            <w:r>
              <w:rPr>
                <w:noProof/>
                <w:color w:val="000000"/>
                <w:sz w:val="24"/>
              </w:rPr>
              <w:t>2</w:t>
            </w:r>
            <w:r w:rsidRPr="001E64D7">
              <w:rPr>
                <w:color w:val="000000"/>
                <w:sz w:val="24"/>
              </w:rPr>
              <w:fldChar w:fldCharType="end"/>
            </w:r>
            <w:bookmarkEnd w:id="9"/>
            <w:r w:rsidRPr="001E64D7">
              <w:rPr>
                <w:color w:val="000000"/>
                <w:sz w:val="24"/>
              </w:rPr>
              <w:t>)</w:t>
            </w:r>
          </w:p>
        </w:tc>
      </w:tr>
    </w:tbl>
    <w:p w14:paraId="6F2C6E55" w14:textId="48C4E4A8" w:rsidR="005C7CBD" w:rsidRPr="001E64D7" w:rsidRDefault="005C7CBD" w:rsidP="005C7CBD">
      <w:pPr>
        <w:rPr>
          <w:color w:val="000000"/>
        </w:rPr>
      </w:pPr>
      <w:r w:rsidRPr="001E64D7">
        <w:rPr>
          <w:color w:val="000000"/>
        </w:rPr>
        <w:t>Where the deviation (</w:t>
      </w:r>
      <w:proofErr w:type="spellStart"/>
      <w:r w:rsidRPr="001E64D7">
        <w:rPr>
          <w:i/>
          <w:iCs/>
          <w:color w:val="000000"/>
        </w:rPr>
        <w:t>Dsv</w:t>
      </w:r>
      <w:proofErr w:type="spellEnd"/>
      <w:r w:rsidRPr="001E64D7">
        <w:rPr>
          <w:color w:val="000000"/>
        </w:rPr>
        <w:t>) depends on the upward and downward imbalance costs (</w:t>
      </w:r>
      <w:proofErr w:type="spellStart"/>
      <w:r w:rsidRPr="001E64D7">
        <w:rPr>
          <w:i/>
          <w:iCs/>
          <w:color w:val="000000"/>
        </w:rPr>
        <w:t>CoDsvSu</w:t>
      </w:r>
      <w:proofErr w:type="spellEnd"/>
      <w:r w:rsidRPr="001E64D7">
        <w:rPr>
          <w:color w:val="000000"/>
        </w:rPr>
        <w:t xml:space="preserve"> and </w:t>
      </w:r>
      <w:proofErr w:type="spellStart"/>
      <w:r w:rsidRPr="001E64D7">
        <w:rPr>
          <w:i/>
          <w:iCs/>
          <w:color w:val="000000"/>
        </w:rPr>
        <w:t>CoDsvBa</w:t>
      </w:r>
      <w:proofErr w:type="spellEnd"/>
      <w:r w:rsidRPr="001E64D7">
        <w:rPr>
          <w:i/>
          <w:iCs/>
          <w:color w:val="000000"/>
        </w:rPr>
        <w:t xml:space="preserve">) found in the </w:t>
      </w:r>
      <w:proofErr w:type="spellStart"/>
      <w:r w:rsidRPr="001E64D7">
        <w:rPr>
          <w:i/>
          <w:iCs/>
          <w:color w:val="000000"/>
        </w:rPr>
        <w:t>C</w:t>
      </w:r>
      <w:r w:rsidRPr="001E64D7">
        <w:rPr>
          <w:bCs/>
          <w:i/>
          <w:iCs/>
          <w:color w:val="000000"/>
        </w:rPr>
        <w:t>X</w:t>
      </w:r>
      <w:r w:rsidRPr="001E64D7">
        <w:rPr>
          <w:color w:val="000000"/>
        </w:rPr>
        <w:t>_</w:t>
      </w:r>
      <w:r w:rsidRPr="001E64D7">
        <w:rPr>
          <w:i/>
          <w:iCs/>
          <w:color w:val="000000"/>
        </w:rPr>
        <w:t>Liquicomun</w:t>
      </w:r>
      <w:proofErr w:type="spellEnd"/>
      <w:r w:rsidRPr="001E64D7">
        <w:rPr>
          <w:i/>
          <w:iCs/>
          <w:color w:val="000000"/>
        </w:rPr>
        <w:t>’</w:t>
      </w:r>
      <w:r w:rsidRPr="001E64D7">
        <w:rPr>
          <w:color w:val="000000"/>
        </w:rPr>
        <w:t xml:space="preserve"> folder </w:t>
      </w:r>
      <w:sdt>
        <w:sdtPr>
          <w:rPr>
            <w:color w:val="000000"/>
          </w:rPr>
          <w:tag w:val="MENDELEY_CITATION_v3_eyJjaXRhdGlvbklEIjoiTUVOREVMRVlfQ0lUQVRJT05fYjU3MDE2MDUtNTM1Mi00YzYxLThkMGMtNTNmODc3MWZjMzc2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
          <w:id w:val="1007255187"/>
          <w:placeholder>
            <w:docPart w:val="6331A607D71543618E8517BAB9A09569"/>
          </w:placeholder>
        </w:sdtPr>
        <w:sdtContent>
          <w:r w:rsidR="007A7CFB" w:rsidRPr="007A7CFB">
            <w:rPr>
              <w:color w:val="000000"/>
            </w:rPr>
            <w:t>[5]</w:t>
          </w:r>
        </w:sdtContent>
      </w:sdt>
      <w:r w:rsidRPr="001E64D7">
        <w:rPr>
          <w:color w:val="000000"/>
        </w:rPr>
        <w:t xml:space="preserve"> in the files</w:t>
      </w:r>
      <w:r w:rsidRPr="001E64D7">
        <w:rPr>
          <w:i/>
          <w:iCs/>
          <w:color w:val="000000"/>
        </w:rPr>
        <w:t xml:space="preserve"> ‘</w:t>
      </w:r>
      <w:proofErr w:type="spellStart"/>
      <w:r w:rsidRPr="001E64D7">
        <w:rPr>
          <w:i/>
          <w:iCs/>
          <w:color w:val="000000"/>
        </w:rPr>
        <w:t>CX_codsvsub</w:t>
      </w:r>
      <w:proofErr w:type="spellEnd"/>
      <w:r w:rsidRPr="001E64D7">
        <w:rPr>
          <w:i/>
          <w:iCs/>
          <w:color w:val="000000"/>
        </w:rPr>
        <w:t xml:space="preserve">’ </w:t>
      </w:r>
      <w:r w:rsidRPr="001E64D7">
        <w:rPr>
          <w:color w:val="000000"/>
        </w:rPr>
        <w:t>and ‘</w:t>
      </w:r>
      <w:proofErr w:type="spellStart"/>
      <w:r w:rsidRPr="001E64D7">
        <w:rPr>
          <w:i/>
          <w:iCs/>
          <w:color w:val="000000"/>
        </w:rPr>
        <w:t>CX_codsvbaj</w:t>
      </w:r>
      <w:proofErr w:type="spellEnd"/>
      <w:r w:rsidRPr="001E64D7">
        <w:rPr>
          <w:color w:val="000000"/>
        </w:rPr>
        <w:t xml:space="preserve">’’ respectively for each month of the chosen year. See </w:t>
      </w:r>
      <w:r w:rsidRPr="001E64D7">
        <w:rPr>
          <w:color w:val="000000"/>
          <w:lang w:val="es-ES"/>
        </w:rPr>
        <w:fldChar w:fldCharType="begin" w:fldLock="1"/>
      </w:r>
      <w:r w:rsidRPr="001E64D7">
        <w:rPr>
          <w:color w:val="000000"/>
        </w:rPr>
        <w:instrText xml:space="preserve"> REF _Ref205972247 \h </w:instrText>
      </w:r>
      <w:r w:rsidRPr="001E64D7">
        <w:rPr>
          <w:color w:val="000000"/>
          <w:lang w:val="es-ES"/>
        </w:rPr>
      </w:r>
      <w:r w:rsidRPr="001E64D7">
        <w:rPr>
          <w:color w:val="000000"/>
          <w:lang w:val="es-ES"/>
        </w:rPr>
        <w:fldChar w:fldCharType="separate"/>
      </w:r>
      <w:r w:rsidRPr="001E64D7">
        <w:rPr>
          <w:color w:val="000000"/>
        </w:rPr>
        <w:t xml:space="preserve">Figure </w:t>
      </w:r>
      <w:r>
        <w:rPr>
          <w:noProof/>
          <w:color w:val="000000"/>
        </w:rPr>
        <w:t>9</w:t>
      </w:r>
      <w:r w:rsidRPr="001E64D7">
        <w:rPr>
          <w:color w:val="000000"/>
        </w:rPr>
        <w:t>.</w:t>
      </w:r>
      <w:r>
        <w:rPr>
          <w:noProof/>
          <w:color w:val="000000"/>
        </w:rPr>
        <w:t>13</w:t>
      </w:r>
      <w:r w:rsidRPr="001E64D7">
        <w:rPr>
          <w:color w:val="000000"/>
          <w:lang w:val="es-ES"/>
        </w:rPr>
        <w:fldChar w:fldCharType="end"/>
      </w:r>
      <w:r w:rsidRPr="001E64D7">
        <w:rPr>
          <w:color w:val="000000"/>
        </w:rPr>
        <w:t xml:space="preserve"> and </w:t>
      </w:r>
      <w:r w:rsidRPr="001E64D7">
        <w:rPr>
          <w:color w:val="000000"/>
          <w:lang w:val="es-ES"/>
        </w:rPr>
        <w:fldChar w:fldCharType="begin" w:fldLock="1"/>
      </w:r>
      <w:r w:rsidRPr="001E64D7">
        <w:rPr>
          <w:color w:val="000000"/>
        </w:rPr>
        <w:instrText xml:space="preserve"> REF _Ref205972249 \h </w:instrText>
      </w:r>
      <w:r w:rsidRPr="001E64D7">
        <w:rPr>
          <w:color w:val="000000"/>
          <w:lang w:val="es-ES"/>
        </w:rPr>
      </w:r>
      <w:r w:rsidRPr="001E64D7">
        <w:rPr>
          <w:color w:val="000000"/>
          <w:lang w:val="es-ES"/>
        </w:rPr>
        <w:fldChar w:fldCharType="separate"/>
      </w:r>
      <w:r w:rsidRPr="001E64D7">
        <w:rPr>
          <w:color w:val="000000"/>
        </w:rPr>
        <w:t xml:space="preserve">Figure </w:t>
      </w:r>
      <w:r>
        <w:rPr>
          <w:noProof/>
          <w:color w:val="000000"/>
        </w:rPr>
        <w:t>9</w:t>
      </w:r>
      <w:r w:rsidRPr="001E64D7">
        <w:rPr>
          <w:color w:val="000000"/>
        </w:rPr>
        <w:t>.</w:t>
      </w:r>
      <w:r>
        <w:rPr>
          <w:noProof/>
          <w:color w:val="000000"/>
        </w:rPr>
        <w:t>14</w:t>
      </w:r>
      <w:r w:rsidRPr="001E64D7">
        <w:rPr>
          <w:color w:val="000000"/>
          <w:lang w:val="es-ES"/>
        </w:rPr>
        <w:fldChar w:fldCharType="end"/>
      </w:r>
      <w:r w:rsidRPr="001E64D7">
        <w:rPr>
          <w:color w:val="000000"/>
        </w:rPr>
        <w:t xml:space="preserve"> with the sourced data between 1st of June 2023 to 31st of May 2024 for a large consumer. </w:t>
      </w:r>
      <m:oMath>
        <m:r>
          <w:rPr>
            <w:rFonts w:ascii="Cambria Math" w:hAnsi="Cambria Math"/>
            <w:color w:val="000000"/>
          </w:rPr>
          <m:t>BS3</m:t>
        </m:r>
      </m:oMath>
      <w:r w:rsidRPr="001E64D7">
        <w:rPr>
          <w:color w:val="000000"/>
        </w:rPr>
        <w:t xml:space="preserve"> corresponds to the Secondary Band price (</w:t>
      </w:r>
      <w:r w:rsidRPr="001E64D7">
        <w:rPr>
          <w:i/>
          <w:iCs/>
          <w:color w:val="000000"/>
        </w:rPr>
        <w:t>BS3</w:t>
      </w:r>
      <w:r w:rsidRPr="001E64D7">
        <w:rPr>
          <w:color w:val="000000"/>
        </w:rPr>
        <w:t xml:space="preserve"> in ‘</w:t>
      </w:r>
      <w:proofErr w:type="spellStart"/>
      <w:r w:rsidRPr="001E64D7">
        <w:rPr>
          <w:i/>
          <w:iCs/>
          <w:color w:val="000000"/>
        </w:rPr>
        <w:t>CX_compodem</w:t>
      </w:r>
      <w:proofErr w:type="spellEnd"/>
      <w:r w:rsidRPr="001E64D7">
        <w:rPr>
          <w:color w:val="000000"/>
        </w:rPr>
        <w:t xml:space="preserve">’), and </w:t>
      </w:r>
      <m:oMath>
        <m:r>
          <w:rPr>
            <w:rFonts w:ascii="Cambria Math" w:hAnsi="Cambria Math"/>
            <w:color w:val="000000"/>
          </w:rPr>
          <m:t>RAD3</m:t>
        </m:r>
      </m:oMath>
      <w:r w:rsidRPr="001E64D7">
        <w:rPr>
          <w:color w:val="000000"/>
        </w:rPr>
        <w:t xml:space="preserve"> to the Daily Adjustment Reference (</w:t>
      </w:r>
      <w:r w:rsidRPr="001E64D7">
        <w:rPr>
          <w:i/>
          <w:iCs/>
          <w:color w:val="000000"/>
        </w:rPr>
        <w:t>RAD3</w:t>
      </w:r>
      <w:r w:rsidRPr="001E64D7">
        <w:rPr>
          <w:color w:val="000000"/>
        </w:rPr>
        <w:t xml:space="preserve"> in ‘</w:t>
      </w:r>
      <w:proofErr w:type="spellStart"/>
      <w:r w:rsidRPr="001E64D7">
        <w:rPr>
          <w:i/>
          <w:iCs/>
          <w:color w:val="000000"/>
        </w:rPr>
        <w:t>CX_compodem</w:t>
      </w:r>
      <w:proofErr w:type="spellEnd"/>
      <w:r w:rsidRPr="001E64D7">
        <w:rPr>
          <w:color w:val="000000"/>
        </w:rPr>
        <w:t xml:space="preserve">’). </w:t>
      </w:r>
      <w:r w:rsidRPr="001E64D7">
        <w:rPr>
          <w:color w:val="000000"/>
        </w:rPr>
        <w:fldChar w:fldCharType="begin" w:fldLock="1"/>
      </w:r>
      <w:r w:rsidRPr="001E64D7">
        <w:rPr>
          <w:color w:val="000000"/>
        </w:rPr>
        <w:instrText xml:space="preserve"> REF _Ref205973119 \h </w:instrText>
      </w:r>
      <w:r w:rsidRPr="001E64D7">
        <w:rPr>
          <w:color w:val="000000"/>
        </w:rPr>
      </w:r>
      <w:r w:rsidRPr="001E64D7">
        <w:rPr>
          <w:color w:val="000000"/>
        </w:rPr>
        <w:fldChar w:fldCharType="separate"/>
      </w:r>
      <w:r w:rsidRPr="001E64D7">
        <w:rPr>
          <w:color w:val="000000"/>
        </w:rPr>
        <w:t xml:space="preserve">Figure </w:t>
      </w:r>
      <w:r>
        <w:rPr>
          <w:noProof/>
          <w:color w:val="000000"/>
        </w:rPr>
        <w:t>9</w:t>
      </w:r>
      <w:r w:rsidRPr="001E64D7">
        <w:rPr>
          <w:color w:val="000000"/>
        </w:rPr>
        <w:t>.</w:t>
      </w:r>
      <w:r>
        <w:rPr>
          <w:noProof/>
          <w:color w:val="000000"/>
        </w:rPr>
        <w:t>15</w:t>
      </w:r>
      <w:r w:rsidRPr="001E64D7">
        <w:rPr>
          <w:color w:val="000000"/>
        </w:rPr>
        <w:fldChar w:fldCharType="end"/>
      </w:r>
      <w:r w:rsidRPr="001E64D7">
        <w:rPr>
          <w:color w:val="000000"/>
        </w:rPr>
        <w:t xml:space="preserve"> and </w:t>
      </w:r>
      <w:r w:rsidRPr="001E64D7">
        <w:rPr>
          <w:color w:val="000000"/>
        </w:rPr>
        <w:fldChar w:fldCharType="begin" w:fldLock="1"/>
      </w:r>
      <w:r w:rsidRPr="001E64D7">
        <w:rPr>
          <w:color w:val="000000"/>
        </w:rPr>
        <w:instrText xml:space="preserve"> REF _Ref205973121 \h </w:instrText>
      </w:r>
      <w:r w:rsidRPr="001E64D7">
        <w:rPr>
          <w:color w:val="000000"/>
        </w:rPr>
      </w:r>
      <w:r w:rsidRPr="001E64D7">
        <w:rPr>
          <w:color w:val="000000"/>
        </w:rPr>
        <w:fldChar w:fldCharType="separate"/>
      </w:r>
      <w:r w:rsidRPr="001E64D7">
        <w:rPr>
          <w:color w:val="000000"/>
        </w:rPr>
        <w:t xml:space="preserve">Figure </w:t>
      </w:r>
      <w:r>
        <w:rPr>
          <w:noProof/>
          <w:color w:val="000000"/>
        </w:rPr>
        <w:t>9</w:t>
      </w:r>
      <w:r w:rsidRPr="001E64D7">
        <w:rPr>
          <w:color w:val="000000"/>
        </w:rPr>
        <w:t>.</w:t>
      </w:r>
      <w:r>
        <w:rPr>
          <w:noProof/>
          <w:color w:val="000000"/>
        </w:rPr>
        <w:t>16</w:t>
      </w:r>
      <w:r w:rsidRPr="001E64D7">
        <w:rPr>
          <w:color w:val="000000"/>
        </w:rPr>
        <w:fldChar w:fldCharType="end"/>
      </w:r>
      <w:r w:rsidRPr="001E64D7">
        <w:rPr>
          <w:color w:val="000000"/>
        </w:rPr>
        <w:t xml:space="preserve"> depict BS3 and RAD3 data between 1st of June 2023 to 31st of May 2024. These parameters are multiplied by the mismatch factor (</w:t>
      </w:r>
      <m:oMath>
        <m:r>
          <w:rPr>
            <w:rFonts w:ascii="Cambria Math" w:hAnsi="Cambria Math"/>
            <w:color w:val="000000"/>
          </w:rPr>
          <m:t>facto</m:t>
        </m:r>
        <m:sSub>
          <m:sSubPr>
            <m:ctrlPr>
              <w:rPr>
                <w:rFonts w:ascii="Cambria Math" w:hAnsi="Cambria Math"/>
                <w:i/>
                <w:color w:val="000000"/>
              </w:rPr>
            </m:ctrlPr>
          </m:sSubPr>
          <m:e>
            <m:r>
              <w:rPr>
                <w:rFonts w:ascii="Cambria Math" w:hAnsi="Cambria Math"/>
                <w:color w:val="000000"/>
              </w:rPr>
              <m:t>r</m:t>
            </m:r>
          </m:e>
          <m:sub>
            <m:r>
              <w:rPr>
                <w:rFonts w:ascii="Cambria Math" w:hAnsi="Cambria Math"/>
                <w:color w:val="000000"/>
              </w:rPr>
              <m:t>Dsv</m:t>
            </m:r>
          </m:sub>
        </m:sSub>
      </m:oMath>
      <w:r w:rsidRPr="001E64D7">
        <w:rPr>
          <w:color w:val="000000"/>
        </w:rPr>
        <w:t xml:space="preserve">), which depends on the electricity provider. In this case the electricity provider is assumed to be Som </w:t>
      </w:r>
      <w:proofErr w:type="spellStart"/>
      <w:r w:rsidRPr="001E64D7">
        <w:rPr>
          <w:color w:val="000000"/>
        </w:rPr>
        <w:t>Energia</w:t>
      </w:r>
      <w:proofErr w:type="spellEnd"/>
      <w:r w:rsidRPr="001E64D7">
        <w:rPr>
          <w:color w:val="000000"/>
        </w:rPr>
        <w:t xml:space="preserve">, for which the deviation factor is 14% </w:t>
      </w:r>
      <w:sdt>
        <w:sdtPr>
          <w:rPr>
            <w:color w:val="000000"/>
          </w:rPr>
          <w:tag w:val="MENDELEY_CITATION_v3_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"/>
          <w:id w:val="536092089"/>
          <w:placeholder>
            <w:docPart w:val="26611465D82E4FC1B4D810EBD0C2E829"/>
          </w:placeholder>
        </w:sdtPr>
        <w:sdtContent>
          <w:r w:rsidR="007A7CFB" w:rsidRPr="007A7CFB">
            <w:rPr>
              <w:color w:val="000000"/>
            </w:rPr>
            <w:t>[6]</w:t>
          </w:r>
        </w:sdtContent>
      </w:sdt>
      <w:r w:rsidRPr="001E64D7">
        <w:rPr>
          <w:color w:val="000000"/>
        </w:rPr>
        <w:t xml:space="preserve">. The deviation penalty cost resulting from Eq. </w:t>
      </w:r>
      <w:r w:rsidRPr="001E64D7">
        <w:rPr>
          <w:color w:val="000000"/>
        </w:rPr>
        <w:fldChar w:fldCharType="begin" w:fldLock="1"/>
      </w:r>
      <w:r w:rsidRPr="001E64D7">
        <w:rPr>
          <w:color w:val="000000"/>
        </w:rPr>
        <w:instrText xml:space="preserve"> REF _Ref205885798 \h </w:instrText>
      </w:r>
      <w:r w:rsidRPr="001E64D7">
        <w:rPr>
          <w:color w:val="000000"/>
        </w:rPr>
      </w:r>
      <w:r w:rsidRPr="001E64D7">
        <w:rPr>
          <w:color w:val="000000"/>
        </w:rPr>
        <w:fldChar w:fldCharType="separate"/>
      </w:r>
      <w:r w:rsidRPr="001E64D7">
        <w:rPr>
          <w:color w:val="000000"/>
        </w:rPr>
        <w:t>(</w:t>
      </w:r>
      <w:r>
        <w:rPr>
          <w:noProof/>
          <w:color w:val="000000"/>
        </w:rPr>
        <w:t>9</w:t>
      </w:r>
      <w:r w:rsidRPr="001E64D7">
        <w:rPr>
          <w:color w:val="000000"/>
        </w:rPr>
        <w:t>.</w:t>
      </w:r>
      <w:r>
        <w:rPr>
          <w:noProof/>
          <w:color w:val="000000"/>
        </w:rPr>
        <w:t>2</w:t>
      </w:r>
      <w:r w:rsidRPr="001E64D7">
        <w:rPr>
          <w:color w:val="000000"/>
        </w:rPr>
        <w:fldChar w:fldCharType="end"/>
      </w:r>
      <w:r w:rsidRPr="001E64D7">
        <w:rPr>
          <w:color w:val="000000"/>
        </w:rPr>
        <w:t xml:space="preserve">) is shown in </w:t>
      </w:r>
      <w:r w:rsidRPr="001E64D7">
        <w:rPr>
          <w:color w:val="000000"/>
        </w:rPr>
        <w:fldChar w:fldCharType="begin" w:fldLock="1"/>
      </w:r>
      <w:r w:rsidRPr="001E64D7">
        <w:rPr>
          <w:color w:val="000000"/>
        </w:rPr>
        <w:instrText xml:space="preserve"> REF _Ref212186816 \h </w:instrText>
      </w:r>
      <w:r w:rsidRPr="001E64D7">
        <w:rPr>
          <w:color w:val="000000"/>
        </w:rPr>
      </w:r>
      <w:r w:rsidRPr="001E64D7">
        <w:rPr>
          <w:color w:val="000000"/>
        </w:rPr>
        <w:fldChar w:fldCharType="separate"/>
      </w:r>
      <w:r w:rsidRPr="001E64D7">
        <w:rPr>
          <w:color w:val="000000"/>
        </w:rPr>
        <w:t xml:space="preserve">Figure </w:t>
      </w:r>
      <w:r>
        <w:rPr>
          <w:noProof/>
          <w:color w:val="000000"/>
        </w:rPr>
        <w:t>9</w:t>
      </w:r>
      <w:r w:rsidRPr="001E64D7">
        <w:rPr>
          <w:color w:val="000000"/>
        </w:rPr>
        <w:t>.</w:t>
      </w:r>
      <w:r>
        <w:rPr>
          <w:noProof/>
          <w:color w:val="000000"/>
        </w:rPr>
        <w:t>17</w:t>
      </w:r>
      <w:r w:rsidRPr="001E64D7">
        <w:rPr>
          <w:color w:val="000000"/>
        </w:rPr>
        <w:fldChar w:fldCharType="end"/>
      </w:r>
      <w:r w:rsidRPr="001E64D7">
        <w:rPr>
          <w:color w:val="000000"/>
        </w:rPr>
        <w:t>.</w:t>
      </w:r>
    </w:p>
    <w:p w14:paraId="1691A359" w14:textId="77777777" w:rsidR="005C7CBD" w:rsidRPr="001E64D7" w:rsidRDefault="005C7CBD" w:rsidP="005C7CBD">
      <w:pPr>
        <w:keepNext/>
        <w:jc w:val="center"/>
        <w:rPr>
          <w:color w:val="000000"/>
        </w:rPr>
      </w:pPr>
      <w:r w:rsidRPr="001E64D7">
        <w:rPr>
          <w:noProof/>
          <w:color w:val="000000"/>
        </w:rPr>
        <w:lastRenderedPageBreak/>
        <w:drawing>
          <wp:inline distT="0" distB="0" distL="0" distR="0" wp14:anchorId="378956D7" wp14:editId="2AD54442">
            <wp:extent cx="4241455" cy="3240000"/>
            <wp:effectExtent l="0" t="0" r="6985" b="0"/>
            <wp:docPr id="1352986182" name="Picture 1" descr="P18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86182" name="Picture 1" descr="P1888#yIS1"/>
                    <pic:cNvPicPr>
                      <a:picLocks noChangeAspect="1" noChangeArrowheads="1"/>
                    </pic:cNvPicPr>
                  </pic:nvPicPr>
                  <pic:blipFill>
                    <a:blip r:embed="rId9"/>
                    <a:stretch>
                      <a:fillRect/>
                    </a:stretch>
                  </pic:blipFill>
                  <pic:spPr bwMode="auto">
                    <a:xfrm>
                      <a:off x="0" y="0"/>
                      <a:ext cx="4241455" cy="3240000"/>
                    </a:xfrm>
                    <a:prstGeom prst="rect">
                      <a:avLst/>
                    </a:prstGeom>
                  </pic:spPr>
                </pic:pic>
              </a:graphicData>
            </a:graphic>
          </wp:inline>
        </w:drawing>
      </w:r>
    </w:p>
    <w:p w14:paraId="6C345988" w14:textId="77777777" w:rsidR="005C7CBD" w:rsidRPr="001E64D7" w:rsidRDefault="005C7CBD" w:rsidP="005C7CBD">
      <w:pPr>
        <w:pStyle w:val="Caption"/>
        <w:rPr>
          <w:color w:val="000000"/>
          <w:sz w:val="24"/>
        </w:rPr>
      </w:pPr>
      <w:bookmarkStart w:id="10" w:name="_Ref205972247"/>
      <w:bookmarkStart w:id="11" w:name="_Toc222211915"/>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13</w:t>
      </w:r>
      <w:r w:rsidRPr="001E64D7">
        <w:rPr>
          <w:color w:val="000000"/>
          <w:sz w:val="24"/>
        </w:rPr>
        <w:fldChar w:fldCharType="end"/>
      </w:r>
      <w:bookmarkEnd w:id="10"/>
      <w:r w:rsidRPr="001E64D7">
        <w:rPr>
          <w:color w:val="000000"/>
          <w:sz w:val="24"/>
        </w:rPr>
        <w:t>. Hourly increased mismatch cost (</w:t>
      </w:r>
      <w:proofErr w:type="spellStart"/>
      <w:r w:rsidRPr="001E64D7">
        <w:rPr>
          <w:color w:val="000000"/>
          <w:sz w:val="24"/>
        </w:rPr>
        <w:t>CoDsvSu</w:t>
      </w:r>
      <w:proofErr w:type="spellEnd"/>
      <w:r w:rsidRPr="001E64D7">
        <w:rPr>
          <w:color w:val="000000"/>
          <w:sz w:val="24"/>
        </w:rPr>
        <w:t>).</w:t>
      </w:r>
      <w:bookmarkEnd w:id="11"/>
    </w:p>
    <w:p w14:paraId="2F5BAC32" w14:textId="77777777" w:rsidR="005C7CBD" w:rsidRPr="001E64D7" w:rsidRDefault="005C7CBD" w:rsidP="005C7CBD">
      <w:pPr>
        <w:keepNext/>
        <w:jc w:val="center"/>
        <w:rPr>
          <w:color w:val="000000"/>
        </w:rPr>
      </w:pPr>
      <w:r w:rsidRPr="001E64D7">
        <w:rPr>
          <w:noProof/>
          <w:color w:val="000000"/>
        </w:rPr>
        <w:drawing>
          <wp:inline distT="0" distB="0" distL="0" distR="0" wp14:anchorId="52A85CC3" wp14:editId="1FFB74F1">
            <wp:extent cx="4243464" cy="3240000"/>
            <wp:effectExtent l="0" t="0" r="5080" b="0"/>
            <wp:docPr id="1556634187" name="Picture 1" descr="P189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4187" name="Picture 1" descr="P1890#yIS1"/>
                    <pic:cNvPicPr>
                      <a:picLocks noChangeAspect="1" noChangeArrowheads="1"/>
                    </pic:cNvPicPr>
                  </pic:nvPicPr>
                  <pic:blipFill>
                    <a:blip r:embed="rId10"/>
                    <a:stretch>
                      <a:fillRect/>
                    </a:stretch>
                  </pic:blipFill>
                  <pic:spPr bwMode="auto">
                    <a:xfrm>
                      <a:off x="0" y="0"/>
                      <a:ext cx="4243464" cy="3240000"/>
                    </a:xfrm>
                    <a:prstGeom prst="rect">
                      <a:avLst/>
                    </a:prstGeom>
                  </pic:spPr>
                </pic:pic>
              </a:graphicData>
            </a:graphic>
          </wp:inline>
        </w:drawing>
      </w:r>
    </w:p>
    <w:p w14:paraId="6AE9C251" w14:textId="77777777" w:rsidR="005C7CBD" w:rsidRPr="001E64D7" w:rsidRDefault="005C7CBD" w:rsidP="005C7CBD">
      <w:pPr>
        <w:pStyle w:val="Caption"/>
        <w:rPr>
          <w:color w:val="000000"/>
          <w:sz w:val="24"/>
        </w:rPr>
      </w:pPr>
      <w:bookmarkStart w:id="12" w:name="_Ref205972249"/>
      <w:bookmarkStart w:id="13" w:name="_Toc222211916"/>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14</w:t>
      </w:r>
      <w:r w:rsidRPr="001E64D7">
        <w:rPr>
          <w:color w:val="000000"/>
          <w:sz w:val="24"/>
        </w:rPr>
        <w:fldChar w:fldCharType="end"/>
      </w:r>
      <w:bookmarkEnd w:id="12"/>
      <w:r w:rsidRPr="001E64D7">
        <w:rPr>
          <w:color w:val="000000"/>
          <w:sz w:val="24"/>
        </w:rPr>
        <w:t>. Hourly decreased mismatch cost (</w:t>
      </w:r>
      <w:proofErr w:type="spellStart"/>
      <w:r w:rsidRPr="001E64D7">
        <w:rPr>
          <w:color w:val="000000"/>
          <w:sz w:val="24"/>
        </w:rPr>
        <w:t>CoDsvBa</w:t>
      </w:r>
      <w:proofErr w:type="spellEnd"/>
      <w:r w:rsidRPr="001E64D7">
        <w:rPr>
          <w:color w:val="000000"/>
          <w:sz w:val="24"/>
        </w:rPr>
        <w:t>).</w:t>
      </w:r>
      <w:bookmarkEnd w:id="13"/>
    </w:p>
    <w:p w14:paraId="24D09A8F" w14:textId="77777777" w:rsidR="005C7CBD" w:rsidRPr="001E64D7" w:rsidRDefault="005C7CBD" w:rsidP="005C7CBD">
      <w:pPr>
        <w:keepNext/>
        <w:jc w:val="center"/>
        <w:rPr>
          <w:color w:val="000000"/>
        </w:rPr>
      </w:pPr>
      <w:r w:rsidRPr="001E64D7">
        <w:rPr>
          <w:noProof/>
          <w:color w:val="000000"/>
        </w:rPr>
        <w:lastRenderedPageBreak/>
        <w:drawing>
          <wp:inline distT="0" distB="0" distL="0" distR="0" wp14:anchorId="0CC1FBB3" wp14:editId="08E1B3B5">
            <wp:extent cx="4060465" cy="3240000"/>
            <wp:effectExtent l="0" t="0" r="0" b="0"/>
            <wp:docPr id="497521876" name="Picture 1" descr="P189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1876" name="Picture 1" descr="P1892#yIS1"/>
                    <pic:cNvPicPr>
                      <a:picLocks noChangeAspect="1" noChangeArrowheads="1"/>
                    </pic:cNvPicPr>
                  </pic:nvPicPr>
                  <pic:blipFill>
                    <a:blip r:embed="rId11"/>
                    <a:stretch>
                      <a:fillRect/>
                    </a:stretch>
                  </pic:blipFill>
                  <pic:spPr bwMode="auto">
                    <a:xfrm>
                      <a:off x="0" y="0"/>
                      <a:ext cx="4060465" cy="3240000"/>
                    </a:xfrm>
                    <a:prstGeom prst="rect">
                      <a:avLst/>
                    </a:prstGeom>
                    <a:noFill/>
                    <a:ln>
                      <a:noFill/>
                    </a:ln>
                  </pic:spPr>
                </pic:pic>
              </a:graphicData>
            </a:graphic>
          </wp:inline>
        </w:drawing>
      </w:r>
    </w:p>
    <w:p w14:paraId="71C6209C" w14:textId="77777777" w:rsidR="005C7CBD" w:rsidRPr="001E64D7" w:rsidRDefault="005C7CBD" w:rsidP="005C7CBD">
      <w:pPr>
        <w:pStyle w:val="Caption"/>
        <w:rPr>
          <w:color w:val="000000"/>
          <w:sz w:val="24"/>
        </w:rPr>
      </w:pPr>
      <w:bookmarkStart w:id="14" w:name="_Ref205973119"/>
      <w:bookmarkStart w:id="15" w:name="_Toc222211917"/>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15</w:t>
      </w:r>
      <w:r w:rsidRPr="001E64D7">
        <w:rPr>
          <w:color w:val="000000"/>
          <w:sz w:val="24"/>
        </w:rPr>
        <w:fldChar w:fldCharType="end"/>
      </w:r>
      <w:bookmarkEnd w:id="14"/>
      <w:r w:rsidRPr="001E64D7">
        <w:rPr>
          <w:color w:val="000000"/>
          <w:sz w:val="24"/>
        </w:rPr>
        <w:t>. Hourly secondary band (BS3).</w:t>
      </w:r>
      <w:bookmarkEnd w:id="15"/>
    </w:p>
    <w:p w14:paraId="58DDF782" w14:textId="77777777" w:rsidR="005C7CBD" w:rsidRPr="001E64D7" w:rsidRDefault="005C7CBD" w:rsidP="005C7CBD">
      <w:pPr>
        <w:keepNext/>
        <w:jc w:val="center"/>
        <w:rPr>
          <w:color w:val="000000"/>
        </w:rPr>
      </w:pPr>
      <w:r w:rsidRPr="001E64D7">
        <w:rPr>
          <w:noProof/>
          <w:color w:val="000000"/>
        </w:rPr>
        <w:drawing>
          <wp:inline distT="0" distB="0" distL="0" distR="0" wp14:anchorId="55B7EAA3" wp14:editId="0BB15EC9">
            <wp:extent cx="4159686" cy="3240000"/>
            <wp:effectExtent l="0" t="0" r="0" b="0"/>
            <wp:docPr id="705963368" name="Picture 1" descr="P189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63368" name="Picture 1" descr="P1894#yIS1"/>
                    <pic:cNvPicPr>
                      <a:picLocks noChangeAspect="1" noChangeArrowheads="1"/>
                    </pic:cNvPicPr>
                  </pic:nvPicPr>
                  <pic:blipFill>
                    <a:blip r:embed="rId12"/>
                    <a:stretch>
                      <a:fillRect/>
                    </a:stretch>
                  </pic:blipFill>
                  <pic:spPr bwMode="auto">
                    <a:xfrm>
                      <a:off x="0" y="0"/>
                      <a:ext cx="4159686" cy="3240000"/>
                    </a:xfrm>
                    <a:prstGeom prst="rect">
                      <a:avLst/>
                    </a:prstGeom>
                  </pic:spPr>
                </pic:pic>
              </a:graphicData>
            </a:graphic>
          </wp:inline>
        </w:drawing>
      </w:r>
    </w:p>
    <w:p w14:paraId="566D135D" w14:textId="77777777" w:rsidR="005C7CBD" w:rsidRPr="001E64D7" w:rsidRDefault="005C7CBD" w:rsidP="005C7CBD">
      <w:pPr>
        <w:pStyle w:val="Caption"/>
        <w:rPr>
          <w:color w:val="000000"/>
          <w:sz w:val="24"/>
        </w:rPr>
      </w:pPr>
      <w:bookmarkStart w:id="16" w:name="_Ref205973121"/>
      <w:bookmarkStart w:id="17" w:name="_Toc222211918"/>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16</w:t>
      </w:r>
      <w:r w:rsidRPr="001E64D7">
        <w:rPr>
          <w:color w:val="000000"/>
          <w:sz w:val="24"/>
        </w:rPr>
        <w:fldChar w:fldCharType="end"/>
      </w:r>
      <w:bookmarkEnd w:id="16"/>
      <w:r w:rsidRPr="001E64D7">
        <w:rPr>
          <w:color w:val="000000"/>
          <w:sz w:val="24"/>
        </w:rPr>
        <w:t>. Hourly Daily Adjusted Reference (RAD3)</w:t>
      </w:r>
      <w:bookmarkEnd w:id="17"/>
    </w:p>
    <w:p w14:paraId="318CA829" w14:textId="77777777" w:rsidR="005C7CBD" w:rsidRPr="001E64D7" w:rsidRDefault="005C7CBD" w:rsidP="005C7CBD">
      <w:pPr>
        <w:keepNext/>
        <w:jc w:val="center"/>
        <w:rPr>
          <w:color w:val="000000"/>
        </w:rPr>
      </w:pPr>
      <w:r w:rsidRPr="001E64D7">
        <w:rPr>
          <w:noProof/>
          <w:color w:val="000000"/>
        </w:rPr>
        <w:lastRenderedPageBreak/>
        <w:drawing>
          <wp:inline distT="0" distB="0" distL="0" distR="0" wp14:anchorId="2E8E0A41" wp14:editId="1A2C3329">
            <wp:extent cx="4130575" cy="3240000"/>
            <wp:effectExtent l="0" t="0" r="3810" b="0"/>
            <wp:docPr id="141030126" name="Picture 1" descr="P189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0126" name="Picture 1" descr="P1896#yIS1"/>
                    <pic:cNvPicPr>
                      <a:picLocks noChangeAspect="1" noChangeArrowheads="1"/>
                    </pic:cNvPicPr>
                  </pic:nvPicPr>
                  <pic:blipFill>
                    <a:blip r:embed="rId13"/>
                    <a:stretch>
                      <a:fillRect/>
                    </a:stretch>
                  </pic:blipFill>
                  <pic:spPr bwMode="auto">
                    <a:xfrm>
                      <a:off x="0" y="0"/>
                      <a:ext cx="4130575" cy="3240000"/>
                    </a:xfrm>
                    <a:prstGeom prst="rect">
                      <a:avLst/>
                    </a:prstGeom>
                  </pic:spPr>
                </pic:pic>
              </a:graphicData>
            </a:graphic>
          </wp:inline>
        </w:drawing>
      </w:r>
    </w:p>
    <w:p w14:paraId="7C1BEA68" w14:textId="77777777" w:rsidR="005C7CBD" w:rsidRPr="001E64D7" w:rsidRDefault="005C7CBD" w:rsidP="005C7CBD">
      <w:pPr>
        <w:pStyle w:val="Caption"/>
        <w:rPr>
          <w:color w:val="000000"/>
          <w:sz w:val="24"/>
        </w:rPr>
      </w:pPr>
      <w:bookmarkStart w:id="18" w:name="_Ref212186816"/>
      <w:bookmarkStart w:id="19" w:name="_Toc222211919"/>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17</w:t>
      </w:r>
      <w:r w:rsidRPr="001E64D7">
        <w:rPr>
          <w:color w:val="000000"/>
          <w:sz w:val="24"/>
        </w:rPr>
        <w:fldChar w:fldCharType="end"/>
      </w:r>
      <w:bookmarkEnd w:id="18"/>
      <w:r w:rsidRPr="001E64D7">
        <w:rPr>
          <w:color w:val="000000"/>
          <w:sz w:val="24"/>
        </w:rPr>
        <w:t>. Hourly calculated mismatch (</w:t>
      </w:r>
      <w:proofErr w:type="spellStart"/>
      <w:r w:rsidRPr="001E64D7">
        <w:rPr>
          <w:color w:val="000000"/>
          <w:sz w:val="24"/>
        </w:rPr>
        <w:t>Dsv</w:t>
      </w:r>
      <w:proofErr w:type="spellEnd"/>
      <w:r w:rsidRPr="001E64D7">
        <w:rPr>
          <w:color w:val="000000"/>
          <w:sz w:val="24"/>
        </w:rPr>
        <w:t>)</w:t>
      </w:r>
      <w:bookmarkEnd w:id="19"/>
    </w:p>
    <w:p w14:paraId="55FC9CDA" w14:textId="18E620B4" w:rsidR="005C7CBD" w:rsidRPr="001E64D7" w:rsidRDefault="005C7CBD" w:rsidP="005C7CBD">
      <w:pPr>
        <w:rPr>
          <w:color w:val="000000"/>
        </w:rPr>
      </w:pPr>
      <w:proofErr w:type="spellStart"/>
      <w:r w:rsidRPr="006B4145">
        <w:rPr>
          <w:b/>
          <w:color w:val="000000"/>
        </w:rPr>
        <w:t>GdO</w:t>
      </w:r>
      <w:proofErr w:type="spellEnd"/>
      <w:r w:rsidRPr="001E64D7">
        <w:rPr>
          <w:color w:val="000000"/>
        </w:rPr>
        <w:t xml:space="preserve">: the certificate of renewable origin guarantees the renewable source of electricity and depends on the energy produced by the plants of the specific electricity provider and the costs of renewable certificates. This value is updated quarterly and is published in Som </w:t>
      </w:r>
      <w:proofErr w:type="spellStart"/>
      <w:r w:rsidRPr="001E64D7">
        <w:rPr>
          <w:color w:val="000000"/>
        </w:rPr>
        <w:t>Energia</w:t>
      </w:r>
      <w:proofErr w:type="spellEnd"/>
      <w:r w:rsidRPr="001E64D7">
        <w:rPr>
          <w:color w:val="000000"/>
        </w:rPr>
        <w:t xml:space="preserve"> </w:t>
      </w:r>
      <w:sdt>
        <w:sdtPr>
          <w:rPr>
            <w:color w:val="000000"/>
          </w:rPr>
          <w:tag w:val="MENDELEY_CITATION_v3_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"/>
          <w:id w:val="-537280311"/>
          <w:placeholder>
            <w:docPart w:val="26611465D82E4FC1B4D810EBD0C2E829"/>
          </w:placeholder>
        </w:sdtPr>
        <w:sdtContent>
          <w:r w:rsidR="007A7CFB" w:rsidRPr="007A7CFB">
            <w:rPr>
              <w:color w:val="000000"/>
            </w:rPr>
            <w:t>[6]</w:t>
          </w:r>
        </w:sdtContent>
      </w:sdt>
      <w:r w:rsidRPr="001E64D7">
        <w:rPr>
          <w:color w:val="000000"/>
        </w:rPr>
        <w:t xml:space="preserve">. For example, in Q3 2024, the </w:t>
      </w:r>
      <w:proofErr w:type="spellStart"/>
      <w:r w:rsidRPr="001E64D7">
        <w:rPr>
          <w:color w:val="000000"/>
        </w:rPr>
        <w:t>GdO</w:t>
      </w:r>
      <w:proofErr w:type="spellEnd"/>
      <w:r w:rsidRPr="001E64D7">
        <w:rPr>
          <w:color w:val="000000"/>
        </w:rPr>
        <w:t xml:space="preserve"> cost was 0.99 €/MWh.</w:t>
      </w:r>
    </w:p>
    <w:p w14:paraId="571A47D0" w14:textId="5614B32A" w:rsidR="005C7CBD" w:rsidRPr="001E64D7" w:rsidRDefault="005C7CBD" w:rsidP="005C7CBD">
      <w:pPr>
        <w:rPr>
          <w:color w:val="000000"/>
        </w:rPr>
      </w:pPr>
      <w:proofErr w:type="spellStart"/>
      <w:r w:rsidRPr="006B4145">
        <w:rPr>
          <w:b/>
          <w:color w:val="000000"/>
        </w:rPr>
        <w:t>POsOm</w:t>
      </w:r>
      <w:proofErr w:type="spellEnd"/>
      <w:r w:rsidRPr="001E64D7">
        <w:rPr>
          <w:color w:val="000000"/>
        </w:rPr>
        <w:t>: represents mandatory fees established by the National Commission of the Markets and the Competence to cover the costs of the system operator and market operator. The payment to the system operator, which refers to REE, is equally shared between direct consumers and electricity producers within the national territory (</w:t>
      </w:r>
      <w:r w:rsidRPr="00B53339">
        <w:rPr>
          <w:i/>
          <w:iCs/>
          <w:color w:val="000000"/>
        </w:rPr>
        <w:t>e.g.</w:t>
      </w:r>
      <w:r w:rsidRPr="001E64D7">
        <w:rPr>
          <w:color w:val="000000"/>
        </w:rPr>
        <w:t xml:space="preserve">, in 2024 the cost was 0.17498 €/MWh </w:t>
      </w:r>
      <w:sdt>
        <w:sdtPr>
          <w:rPr>
            <w:color w:val="000000"/>
          </w:rPr>
          <w:tag w:val="MENDELEY_CITATION_v3_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"/>
          <w:id w:val="-389728522"/>
          <w:placeholder>
            <w:docPart w:val="26611465D82E4FC1B4D810EBD0C2E829"/>
          </w:placeholder>
        </w:sdtPr>
        <w:sdtContent>
          <w:r w:rsidR="007A7CFB" w:rsidRPr="007A7CFB">
            <w:rPr>
              <w:color w:val="000000"/>
            </w:rPr>
            <w:t>[7]</w:t>
          </w:r>
        </w:sdtContent>
      </w:sdt>
      <w:r w:rsidRPr="001E64D7">
        <w:rPr>
          <w:color w:val="000000"/>
        </w:rPr>
        <w:t>). The payment to the market operator, which refers to OMIE, is directly paid by the consumer as part of the electricity tariff (</w:t>
      </w:r>
      <w:r w:rsidRPr="00B53339">
        <w:rPr>
          <w:i/>
          <w:iCs/>
          <w:color w:val="000000"/>
        </w:rPr>
        <w:t>e.g.</w:t>
      </w:r>
      <w:r w:rsidRPr="001E64D7">
        <w:rPr>
          <w:color w:val="000000"/>
        </w:rPr>
        <w:t xml:space="preserve">, in 2024 the value was 0.04096 €/MWh </w:t>
      </w:r>
      <w:sdt>
        <w:sdtPr>
          <w:rPr>
            <w:color w:val="000000"/>
          </w:rPr>
          <w:tag w:val="MENDELEY_CITATION_v3_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"/>
          <w:id w:val="-1337462321"/>
          <w:placeholder>
            <w:docPart w:val="26611465D82E4FC1B4D810EBD0C2E829"/>
          </w:placeholder>
        </w:sdtPr>
        <w:sdtContent>
          <w:r w:rsidR="007A7CFB" w:rsidRPr="007A7CFB">
            <w:rPr>
              <w:color w:val="000000"/>
            </w:rPr>
            <w:t>[8]</w:t>
          </w:r>
        </w:sdtContent>
      </w:sdt>
      <w:r w:rsidRPr="001E64D7">
        <w:rPr>
          <w:color w:val="000000"/>
        </w:rPr>
        <w:t>).</w:t>
      </w:r>
    </w:p>
    <w:p w14:paraId="2641D0A1" w14:textId="73AFA289" w:rsidR="005C7CBD" w:rsidRPr="001E64D7" w:rsidRDefault="005C7CBD" w:rsidP="005C7CBD">
      <w:pPr>
        <w:rPr>
          <w:color w:val="000000"/>
        </w:rPr>
      </w:pPr>
      <w:r w:rsidRPr="006B4145">
        <w:rPr>
          <w:b/>
          <w:color w:val="000000"/>
        </w:rPr>
        <w:t>Loss</w:t>
      </w:r>
      <w:r w:rsidRPr="001E64D7">
        <w:rPr>
          <w:color w:val="000000"/>
        </w:rPr>
        <w:t xml:space="preserve">: this parameter accounts for the transmission and distribution losses, calculated as the difference between the energy injected to the generation point and the energy measured at the consumption point. Since consumers are billed according to their actual consumption, losses are applied as a percentage of the consumed energy. These losses are calculated from a fixed value based on the type of consumer, hour, and day </w:t>
      </w:r>
      <w:sdt>
        <w:sdtPr>
          <w:rPr>
            <w:color w:val="000000"/>
          </w:rPr>
          <w:tag w:val="MENDELEY_CITATION_v3_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"/>
          <w:id w:val="-456729300"/>
          <w:placeholder>
            <w:docPart w:val="26611465D82E4FC1B4D810EBD0C2E829"/>
          </w:placeholder>
        </w:sdtPr>
        <w:sdtContent>
          <w:r w:rsidR="007A7CFB" w:rsidRPr="007A7CFB">
            <w:rPr>
              <w:color w:val="000000"/>
            </w:rPr>
            <w:t>[9]</w:t>
          </w:r>
        </w:sdtContent>
      </w:sdt>
      <w:r w:rsidRPr="001E64D7">
        <w:rPr>
          <w:color w:val="000000"/>
        </w:rPr>
        <w:t xml:space="preserve">, and an hourly correction calculated by the REE. Given that the real value of this parameter is not always available, the REE initially suggests an estimated coefficient </w:t>
      </w:r>
      <w:r w:rsidRPr="001E64D7">
        <w:rPr>
          <w:color w:val="000000"/>
        </w:rPr>
        <w:lastRenderedPageBreak/>
        <w:t>(</w:t>
      </w:r>
      <w:proofErr w:type="spellStart"/>
      <w:r w:rsidRPr="001E64D7">
        <w:rPr>
          <w:i/>
          <w:iCs/>
          <w:color w:val="000000"/>
        </w:rPr>
        <w:t>kest</w:t>
      </w:r>
      <w:proofErr w:type="spellEnd"/>
      <w:r w:rsidRPr="001E64D7">
        <w:rPr>
          <w:color w:val="000000"/>
        </w:rPr>
        <w:t>) until the real value is calculated (</w:t>
      </w:r>
      <w:proofErr w:type="spellStart"/>
      <w:r w:rsidRPr="001E64D7">
        <w:rPr>
          <w:i/>
          <w:iCs/>
          <w:color w:val="000000"/>
        </w:rPr>
        <w:t>kreal</w:t>
      </w:r>
      <w:proofErr w:type="spellEnd"/>
      <w:r w:rsidRPr="001E64D7">
        <w:rPr>
          <w:color w:val="000000"/>
        </w:rPr>
        <w:t>). The data is included in the folder ‘</w:t>
      </w:r>
      <w:proofErr w:type="spellStart"/>
      <w:r w:rsidRPr="001E64D7">
        <w:rPr>
          <w:i/>
          <w:iCs/>
          <w:color w:val="000000"/>
        </w:rPr>
        <w:t>C</w:t>
      </w:r>
      <w:r w:rsidRPr="001E64D7">
        <w:rPr>
          <w:bCs/>
          <w:i/>
          <w:iCs/>
          <w:color w:val="000000"/>
        </w:rPr>
        <w:t>X</w:t>
      </w:r>
      <w:r w:rsidRPr="001E64D7">
        <w:rPr>
          <w:color w:val="000000"/>
        </w:rPr>
        <w:t>_</w:t>
      </w:r>
      <w:r w:rsidRPr="001E64D7">
        <w:rPr>
          <w:i/>
          <w:iCs/>
          <w:color w:val="000000"/>
        </w:rPr>
        <w:t>Liquicomun</w:t>
      </w:r>
      <w:proofErr w:type="spellEnd"/>
      <w:r w:rsidRPr="001E64D7">
        <w:rPr>
          <w:i/>
          <w:iCs/>
          <w:color w:val="000000"/>
        </w:rPr>
        <w:t>’</w:t>
      </w:r>
      <w:r w:rsidRPr="001E64D7">
        <w:rPr>
          <w:color w:val="000000"/>
        </w:rPr>
        <w:t xml:space="preserve"> as ‘</w:t>
      </w:r>
      <w:proofErr w:type="spellStart"/>
      <w:r w:rsidRPr="001E64D7">
        <w:rPr>
          <w:i/>
          <w:iCs/>
          <w:color w:val="000000"/>
        </w:rPr>
        <w:t>kreal</w:t>
      </w:r>
      <w:proofErr w:type="spellEnd"/>
      <w:r w:rsidRPr="001E64D7">
        <w:rPr>
          <w:i/>
          <w:iCs/>
          <w:color w:val="000000"/>
        </w:rPr>
        <w:t xml:space="preserve">’ </w:t>
      </w:r>
      <w:r w:rsidRPr="001E64D7">
        <w:rPr>
          <w:color w:val="000000"/>
        </w:rPr>
        <w:t>and ‘</w:t>
      </w:r>
      <w:proofErr w:type="spellStart"/>
      <w:r w:rsidRPr="001E64D7">
        <w:rPr>
          <w:i/>
          <w:iCs/>
          <w:color w:val="000000"/>
        </w:rPr>
        <w:t>kestimada</w:t>
      </w:r>
      <w:proofErr w:type="spellEnd"/>
      <w:r w:rsidRPr="001E64D7">
        <w:rPr>
          <w:i/>
          <w:iCs/>
          <w:color w:val="000000"/>
        </w:rPr>
        <w:t>’</w:t>
      </w:r>
      <w:r w:rsidRPr="001E64D7">
        <w:rPr>
          <w:color w:val="000000"/>
        </w:rPr>
        <w:t xml:space="preserve">’ </w:t>
      </w:r>
      <w:sdt>
        <w:sdtPr>
          <w:rPr>
            <w:color w:val="000000"/>
          </w:rPr>
          <w:tag w:val="MENDELEY_CITATION_v3_eyJjaXRhdGlvbklEIjoiTUVOREVMRVlfQ0lUQVRJT05fMTIzYTI2M2ItNmI4Yy00YzRkLTk2MWItYTkyOWY5NDRhZDA4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
          <w:id w:val="1938254953"/>
          <w:placeholder>
            <w:docPart w:val="0FDEC4AD02904D0FADBC7D00361CA532"/>
          </w:placeholder>
        </w:sdtPr>
        <w:sdtContent>
          <w:r w:rsidR="007A7CFB" w:rsidRPr="007A7CFB">
            <w:rPr>
              <w:color w:val="000000"/>
            </w:rPr>
            <w:t>[5]</w:t>
          </w:r>
        </w:sdtContent>
      </w:sdt>
      <w:r w:rsidRPr="001E64D7">
        <w:rPr>
          <w:color w:val="000000"/>
        </w:rPr>
        <w:t>.</w:t>
      </w:r>
    </w:p>
    <w:p w14:paraId="45ED70B4" w14:textId="77777777" w:rsidR="005C7CBD" w:rsidRPr="001E64D7" w:rsidRDefault="005C7CBD" w:rsidP="005C7CBD">
      <w:pPr>
        <w:rPr>
          <w:color w:val="000000"/>
        </w:rPr>
      </w:pPr>
      <w:r w:rsidRPr="001E64D7">
        <w:rPr>
          <w:color w:val="000000"/>
        </w:rPr>
        <w:t xml:space="preserve">The losses are represented as a percentage (%) and are calculated according to Eq. </w:t>
      </w:r>
      <w:r w:rsidRPr="001E64D7">
        <w:rPr>
          <w:color w:val="000000"/>
        </w:rPr>
        <w:fldChar w:fldCharType="begin" w:fldLock="1"/>
      </w:r>
      <w:r w:rsidRPr="001E64D7">
        <w:rPr>
          <w:color w:val="000000"/>
        </w:rPr>
        <w:instrText xml:space="preserve"> REF _Ref205892852 \h </w:instrText>
      </w:r>
      <w:r w:rsidRPr="001E64D7">
        <w:rPr>
          <w:color w:val="000000"/>
        </w:rPr>
      </w:r>
      <w:r w:rsidRPr="001E64D7">
        <w:rPr>
          <w:color w:val="000000"/>
        </w:rPr>
        <w:fldChar w:fldCharType="separate"/>
      </w:r>
      <w:r w:rsidRPr="001E64D7">
        <w:rPr>
          <w:color w:val="000000"/>
        </w:rPr>
        <w:t>(</w:t>
      </w:r>
      <w:r>
        <w:rPr>
          <w:noProof/>
          <w:color w:val="000000"/>
        </w:rPr>
        <w:t>9</w:t>
      </w:r>
      <w:r w:rsidRPr="001E64D7">
        <w:rPr>
          <w:color w:val="000000"/>
        </w:rPr>
        <w:t>.</w:t>
      </w:r>
      <w:r>
        <w:rPr>
          <w:noProof/>
          <w:color w:val="000000"/>
        </w:rPr>
        <w:t>3</w:t>
      </w:r>
      <w:r w:rsidRPr="001E64D7">
        <w:rPr>
          <w:color w:val="000000"/>
        </w:rPr>
        <w:fldChar w:fldCharType="end"/>
      </w:r>
      <w:r w:rsidRPr="001E64D7">
        <w:rPr>
          <w:color w:val="000000"/>
        </w:rPr>
        <w:t>):</w:t>
      </w:r>
    </w:p>
    <w:tbl>
      <w:tblPr>
        <w:tblStyle w:val="TableGrid"/>
        <w:tblW w:w="8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96"/>
        <w:gridCol w:w="710"/>
      </w:tblGrid>
      <w:tr w:rsidR="005C7CBD" w:rsidRPr="001E64D7" w14:paraId="532B69E5" w14:textId="77777777" w:rsidTr="00354EFA">
        <w:tc>
          <w:tcPr>
            <w:tcW w:w="7937" w:type="dxa"/>
            <w:vAlign w:val="center"/>
          </w:tcPr>
          <w:p w14:paraId="4109766B" w14:textId="77777777" w:rsidR="005C7CBD" w:rsidRPr="001E64D7" w:rsidRDefault="005C7CBD" w:rsidP="00354EFA">
            <w:pPr>
              <w:jc w:val="center"/>
              <w:rPr>
                <w:color w:val="000000"/>
              </w:rPr>
            </w:pPr>
            <m:oMathPara>
              <m:oMathParaPr>
                <m:jc m:val="left"/>
              </m:oMathParaPr>
              <m:oMath>
                <m:r>
                  <w:rPr>
                    <w:rFonts w:ascii="Cambria Math" w:hAnsi="Cambria Math"/>
                    <w:color w:val="000000"/>
                  </w:rPr>
                  <m:t>loss=coef</m:t>
                </m:r>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loss</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est</m:t>
                    </m:r>
                  </m:sub>
                </m:sSub>
                <m:r>
                  <w:rPr>
                    <w:rFonts w:ascii="Cambria Math" w:hAnsi="Cambria Math"/>
                    <w:color w:val="000000"/>
                  </w:rPr>
                  <m:t xml:space="preserve"> or loss=coef</m:t>
                </m:r>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loss</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real</m:t>
                    </m:r>
                  </m:sub>
                </m:sSub>
              </m:oMath>
            </m:oMathPara>
          </w:p>
        </w:tc>
        <w:tc>
          <w:tcPr>
            <w:tcW w:w="669" w:type="dxa"/>
            <w:vAlign w:val="center"/>
          </w:tcPr>
          <w:p w14:paraId="2310B639" w14:textId="77777777" w:rsidR="005C7CBD" w:rsidRPr="001E64D7" w:rsidRDefault="005C7CBD" w:rsidP="00354EFA">
            <w:pPr>
              <w:pStyle w:val="Caption"/>
              <w:jc w:val="both"/>
              <w:rPr>
                <w:color w:val="000000"/>
                <w:sz w:val="24"/>
              </w:rPr>
            </w:pPr>
            <w:bookmarkStart w:id="20" w:name="_Ref205892852"/>
            <w:r w:rsidRPr="001E64D7">
              <w:rPr>
                <w:color w:val="000000"/>
                <w:sz w:val="24"/>
              </w:rPr>
              <w:t>(</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Equation \* ARABIC \s 1 </w:instrText>
            </w:r>
            <w:r w:rsidRPr="001E64D7">
              <w:rPr>
                <w:color w:val="000000"/>
                <w:sz w:val="24"/>
              </w:rPr>
              <w:fldChar w:fldCharType="separate"/>
            </w:r>
            <w:r>
              <w:rPr>
                <w:noProof/>
                <w:color w:val="000000"/>
                <w:sz w:val="24"/>
              </w:rPr>
              <w:t>3</w:t>
            </w:r>
            <w:r w:rsidRPr="001E64D7">
              <w:rPr>
                <w:color w:val="000000"/>
                <w:sz w:val="24"/>
              </w:rPr>
              <w:fldChar w:fldCharType="end"/>
            </w:r>
            <w:bookmarkEnd w:id="20"/>
            <w:r w:rsidRPr="001E64D7">
              <w:rPr>
                <w:color w:val="000000"/>
                <w:sz w:val="24"/>
              </w:rPr>
              <w:t>)</w:t>
            </w:r>
          </w:p>
        </w:tc>
      </w:tr>
    </w:tbl>
    <w:p w14:paraId="438A5114" w14:textId="77777777" w:rsidR="005C7CBD" w:rsidRPr="001E64D7" w:rsidRDefault="005C7CBD" w:rsidP="005C7CBD">
      <w:pPr>
        <w:rPr>
          <w:color w:val="000000"/>
        </w:rPr>
      </w:pPr>
      <w:r w:rsidRPr="001E64D7">
        <w:rPr>
          <w:color w:val="000000"/>
        </w:rPr>
        <w:t xml:space="preserve">Being </w:t>
      </w:r>
      <m:oMath>
        <m:r>
          <w:rPr>
            <w:rFonts w:ascii="Cambria Math" w:hAnsi="Cambria Math"/>
            <w:color w:val="000000"/>
          </w:rPr>
          <m:t>coef</m:t>
        </m:r>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loss</m:t>
            </m:r>
          </m:sub>
        </m:sSub>
      </m:oMath>
      <w:r w:rsidRPr="001E64D7">
        <w:rPr>
          <w:color w:val="000000"/>
        </w:rPr>
        <w:t xml:space="preserve"> the coefficient of losses set by the ministry and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est</m:t>
            </m:r>
          </m:sub>
        </m:sSub>
      </m:oMath>
      <w:r w:rsidRPr="001E64D7">
        <w:rPr>
          <w:color w:val="000000"/>
        </w:rPr>
        <w:t xml:space="preserve"> or </w:t>
      </w:r>
      <m:oMath>
        <m:sSub>
          <m:sSubPr>
            <m:ctrlPr>
              <w:rPr>
                <w:rFonts w:ascii="Cambria Math" w:hAnsi="Cambria Math"/>
                <w:i/>
                <w:color w:val="000000"/>
              </w:rPr>
            </m:ctrlPr>
          </m:sSubPr>
          <m:e>
            <m:r>
              <w:rPr>
                <w:rFonts w:ascii="Cambria Math" w:hAnsi="Cambria Math"/>
                <w:color w:val="000000"/>
              </w:rPr>
              <m:t>k</m:t>
            </m:r>
          </m:e>
          <m:sub>
            <m:r>
              <w:rPr>
                <w:rFonts w:ascii="Cambria Math" w:hAnsi="Cambria Math"/>
                <w:color w:val="000000"/>
              </w:rPr>
              <m:t>real</m:t>
            </m:r>
          </m:sub>
        </m:sSub>
      </m:oMath>
      <w:r w:rsidRPr="001E64D7">
        <w:rPr>
          <w:color w:val="000000"/>
        </w:rPr>
        <w:t xml:space="preserve"> the estimated or real losses.</w:t>
      </w:r>
    </w:p>
    <w:p w14:paraId="2C5552C5" w14:textId="16DE7BBE" w:rsidR="005C7CBD" w:rsidRPr="001E64D7" w:rsidRDefault="005C7CBD" w:rsidP="005C7CBD">
      <w:pPr>
        <w:rPr>
          <w:color w:val="000000"/>
        </w:rPr>
      </w:pPr>
      <w:r w:rsidRPr="001E64D7">
        <w:rPr>
          <w:color w:val="000000"/>
        </w:rPr>
        <w:fldChar w:fldCharType="begin" w:fldLock="1"/>
      </w:r>
      <w:r w:rsidRPr="001E64D7">
        <w:rPr>
          <w:color w:val="000000"/>
        </w:rPr>
        <w:instrText xml:space="preserve"> REF _Ref205974725 \h </w:instrText>
      </w:r>
      <w:r w:rsidRPr="001E64D7">
        <w:rPr>
          <w:color w:val="000000"/>
        </w:rPr>
      </w:r>
      <w:r w:rsidRPr="001E64D7">
        <w:rPr>
          <w:color w:val="000000"/>
        </w:rPr>
        <w:fldChar w:fldCharType="separate"/>
      </w:r>
      <w:r w:rsidRPr="001E64D7">
        <w:rPr>
          <w:color w:val="000000"/>
        </w:rPr>
        <w:t xml:space="preserve">Figure </w:t>
      </w:r>
      <w:r>
        <w:rPr>
          <w:noProof/>
          <w:color w:val="000000"/>
        </w:rPr>
        <w:t>9</w:t>
      </w:r>
      <w:r w:rsidRPr="001E64D7">
        <w:rPr>
          <w:color w:val="000000"/>
        </w:rPr>
        <w:t>.</w:t>
      </w:r>
      <w:r>
        <w:rPr>
          <w:noProof/>
          <w:color w:val="000000"/>
        </w:rPr>
        <w:t>18</w:t>
      </w:r>
      <w:r w:rsidRPr="001E64D7">
        <w:rPr>
          <w:color w:val="000000"/>
        </w:rPr>
        <w:fldChar w:fldCharType="end"/>
      </w:r>
      <w:r w:rsidRPr="001E64D7">
        <w:rPr>
          <w:color w:val="000000"/>
        </w:rPr>
        <w:t xml:space="preserve"> shows the calculated losses considering the estimated losses (‘C2_</w:t>
      </w:r>
      <w:r w:rsidRPr="001E64D7">
        <w:rPr>
          <w:i/>
          <w:iCs/>
          <w:color w:val="000000"/>
        </w:rPr>
        <w:t>Kestimado</w:t>
      </w:r>
      <w:r w:rsidRPr="001E64D7">
        <w:rPr>
          <w:color w:val="000000"/>
        </w:rPr>
        <w:t xml:space="preserve">’) between 1st of June 2023 to 31st of May 2024 </w:t>
      </w:r>
      <w:sdt>
        <w:sdtPr>
          <w:rPr>
            <w:color w:val="000000"/>
          </w:rPr>
          <w:tag w:val="MENDELEY_CITATION_v3_eyJjaXRhdGlvbklEIjoiTUVOREVMRVlfQ0lUQVRJT05fNDI0NDI4OTUtY2FjYS00NTA4LTg3N2MtOTk4MTg4ZDk1NTE2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
          <w:id w:val="140161874"/>
          <w:placeholder>
            <w:docPart w:val="63C4942ABBDC429EAF474892EB6C5FD7"/>
          </w:placeholder>
        </w:sdtPr>
        <w:sdtContent>
          <w:r w:rsidR="007A7CFB" w:rsidRPr="007A7CFB">
            <w:rPr>
              <w:color w:val="000000"/>
            </w:rPr>
            <w:t>[5]</w:t>
          </w:r>
        </w:sdtContent>
      </w:sdt>
      <w:r w:rsidRPr="001E64D7">
        <w:rPr>
          <w:color w:val="000000"/>
        </w:rPr>
        <w:t>.</w:t>
      </w:r>
    </w:p>
    <w:p w14:paraId="6055159F" w14:textId="77777777" w:rsidR="005C7CBD" w:rsidRPr="001E64D7" w:rsidRDefault="005C7CBD" w:rsidP="005C7CBD">
      <w:pPr>
        <w:keepNext/>
        <w:jc w:val="center"/>
        <w:rPr>
          <w:color w:val="000000"/>
        </w:rPr>
      </w:pPr>
      <w:r w:rsidRPr="001E64D7">
        <w:rPr>
          <w:noProof/>
          <w:color w:val="000000"/>
        </w:rPr>
        <w:drawing>
          <wp:inline distT="0" distB="0" distL="0" distR="0" wp14:anchorId="2CB373AD" wp14:editId="7B698E22">
            <wp:extent cx="4031450" cy="3240000"/>
            <wp:effectExtent l="0" t="0" r="7620" b="0"/>
            <wp:docPr id="324602497" name="Picture 1" descr="P190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02497" name="Picture 1" descr="P1907#yIS1"/>
                    <pic:cNvPicPr>
                      <a:picLocks noChangeAspect="1" noChangeArrowheads="1"/>
                    </pic:cNvPicPr>
                  </pic:nvPicPr>
                  <pic:blipFill>
                    <a:blip r:embed="rId14"/>
                    <a:stretch>
                      <a:fillRect/>
                    </a:stretch>
                  </pic:blipFill>
                  <pic:spPr bwMode="auto">
                    <a:xfrm>
                      <a:off x="0" y="0"/>
                      <a:ext cx="4031450" cy="3240000"/>
                    </a:xfrm>
                    <a:prstGeom prst="rect">
                      <a:avLst/>
                    </a:prstGeom>
                  </pic:spPr>
                </pic:pic>
              </a:graphicData>
            </a:graphic>
          </wp:inline>
        </w:drawing>
      </w:r>
    </w:p>
    <w:p w14:paraId="3B2B6E99" w14:textId="77777777" w:rsidR="005C7CBD" w:rsidRPr="001E64D7" w:rsidRDefault="005C7CBD" w:rsidP="005C7CBD">
      <w:pPr>
        <w:pStyle w:val="Caption"/>
        <w:rPr>
          <w:color w:val="000000"/>
          <w:sz w:val="24"/>
        </w:rPr>
      </w:pPr>
      <w:bookmarkStart w:id="21" w:name="_Ref205974725"/>
      <w:bookmarkStart w:id="22" w:name="_Toc222211920"/>
      <w:r w:rsidRPr="001E64D7">
        <w:rPr>
          <w:color w:val="000000"/>
          <w:sz w:val="24"/>
        </w:rPr>
        <w:t xml:space="preserve">Figure </w:t>
      </w:r>
      <w:r w:rsidRPr="001E64D7">
        <w:rPr>
          <w:color w:val="000000"/>
          <w:sz w:val="24"/>
        </w:rPr>
        <w:fldChar w:fldCharType="begin" w:fldLock="1"/>
      </w:r>
      <w:r w:rsidRPr="001E64D7">
        <w:rPr>
          <w:color w:val="000000"/>
          <w:sz w:val="24"/>
        </w:rPr>
        <w:instrText xml:space="preserve"> STYLEREF 1 \s </w:instrText>
      </w:r>
      <w:r w:rsidRPr="001E64D7">
        <w:rPr>
          <w:color w:val="000000"/>
          <w:sz w:val="24"/>
        </w:rPr>
        <w:fldChar w:fldCharType="separate"/>
      </w:r>
      <w:r>
        <w:rPr>
          <w:noProof/>
          <w:color w:val="000000"/>
          <w:sz w:val="24"/>
        </w:rPr>
        <w:t>9</w:t>
      </w:r>
      <w:r w:rsidRPr="001E64D7">
        <w:rPr>
          <w:color w:val="000000"/>
          <w:sz w:val="24"/>
        </w:rPr>
        <w:fldChar w:fldCharType="end"/>
      </w:r>
      <w:r w:rsidRPr="001E64D7">
        <w:rPr>
          <w:color w:val="000000"/>
          <w:sz w:val="24"/>
        </w:rPr>
        <w:t>.</w:t>
      </w:r>
      <w:r w:rsidRPr="001E64D7">
        <w:rPr>
          <w:color w:val="000000"/>
          <w:sz w:val="24"/>
        </w:rPr>
        <w:fldChar w:fldCharType="begin"/>
      </w:r>
      <w:r w:rsidRPr="001E64D7">
        <w:rPr>
          <w:color w:val="000000"/>
          <w:sz w:val="24"/>
        </w:rPr>
        <w:instrText xml:space="preserve"> SEQ Figure \* ARABIC \s 1 </w:instrText>
      </w:r>
      <w:r w:rsidRPr="001E64D7">
        <w:rPr>
          <w:color w:val="000000"/>
          <w:sz w:val="24"/>
        </w:rPr>
        <w:fldChar w:fldCharType="separate"/>
      </w:r>
      <w:r>
        <w:rPr>
          <w:noProof/>
          <w:color w:val="000000"/>
          <w:sz w:val="24"/>
        </w:rPr>
        <w:t>18</w:t>
      </w:r>
      <w:r w:rsidRPr="001E64D7">
        <w:rPr>
          <w:color w:val="000000"/>
          <w:sz w:val="24"/>
        </w:rPr>
        <w:fldChar w:fldCharType="end"/>
      </w:r>
      <w:bookmarkEnd w:id="21"/>
      <w:r w:rsidRPr="001E64D7">
        <w:rPr>
          <w:color w:val="000000"/>
          <w:sz w:val="24"/>
        </w:rPr>
        <w:t>. Hourly calculated losses (loss)</w:t>
      </w:r>
      <w:bookmarkEnd w:id="22"/>
    </w:p>
    <w:p w14:paraId="0C3EA466" w14:textId="68DA239B" w:rsidR="005C7CBD" w:rsidRPr="007F0AD7" w:rsidRDefault="005C7CBD" w:rsidP="005C7CBD">
      <w:r w:rsidRPr="006B4145">
        <w:rPr>
          <w:b/>
          <w:color w:val="000000"/>
        </w:rPr>
        <w:t>FE</w:t>
      </w:r>
      <w:r w:rsidRPr="001E64D7">
        <w:rPr>
          <w:color w:val="000000"/>
        </w:rPr>
        <w:t xml:space="preserve">: is the contribution to the National Energy Efficiency Fund designed to finance the measures to meet the energy-savings objectives set by European policies. The Spanish ministry determines this fee dividing the total fund cost (without including the Energy Savings Certificate cost, defined as ‘CAE’ at ref. </w:t>
      </w:r>
      <w:sdt>
        <w:sdtPr>
          <w:rPr>
            <w:color w:val="000000"/>
          </w:rPr>
          <w:tag w:val="MENDELEY_CITATION_v3_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"/>
          <w:id w:val="1351675394"/>
          <w:placeholder>
            <w:docPart w:val="26611465D82E4FC1B4D810EBD0C2E829"/>
          </w:placeholder>
        </w:sdtPr>
        <w:sdtContent>
          <w:r w:rsidR="007A7CFB" w:rsidRPr="007A7CFB">
            <w:rPr>
              <w:color w:val="000000"/>
            </w:rPr>
            <w:t>[10]</w:t>
          </w:r>
        </w:sdtContent>
      </w:sdt>
      <w:r>
        <w:t>) by the total energy sold two years prior. As an example of the year 2024, the total cost (369,970</w:t>
      </w:r>
      <w:r w:rsidRPr="00366B03">
        <w:t xml:space="preserve"> </w:t>
      </w:r>
      <w:r>
        <w:t>€) is divided by the total energy sold in 2022 (</w:t>
      </w:r>
      <w:r w:rsidRPr="007D28F0">
        <w:t>379</w:t>
      </w:r>
      <w:r>
        <w:t>,</w:t>
      </w:r>
      <w:r w:rsidRPr="007D28F0">
        <w:t>326</w:t>
      </w:r>
      <w:r>
        <w:t xml:space="preserve"> </w:t>
      </w:r>
      <w:r w:rsidRPr="00366B03">
        <w:t>MWh</w:t>
      </w:r>
      <w:r>
        <w:t>), resulting in 0.9753 €/MWh.</w:t>
      </w:r>
    </w:p>
    <w:p w14:paraId="5A35951A" w14:textId="47E53633" w:rsidR="005C7CBD" w:rsidRDefault="005C7CBD" w:rsidP="005C7CBD">
      <w:r w:rsidRPr="00E97482">
        <w:rPr>
          <w:b/>
          <w:bCs/>
        </w:rPr>
        <w:t>F</w:t>
      </w:r>
      <w:r>
        <w:t>: represents the pre</w:t>
      </w:r>
      <w:r w:rsidRPr="00366B03">
        <w:t>-tax</w:t>
      </w:r>
      <w:r>
        <w:t xml:space="preserve"> earnings of the electricity provider. In the case of Som </w:t>
      </w:r>
      <w:proofErr w:type="spellStart"/>
      <w:r>
        <w:t>Energia</w:t>
      </w:r>
      <w:proofErr w:type="spellEnd"/>
      <w:r>
        <w:t xml:space="preserve">, the margin varies by the consumer scale, being 20 €/MWh for the small consumer, and 16 €/MWh for the medium and large consumers </w:t>
      </w:r>
      <w:sdt>
        <w:sdtPr>
          <w:rPr>
            <w:color w:val="000000"/>
          </w:rPr>
          <w:tag w:val="MENDELEY_CITATION_v3_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"/>
          <w:id w:val="-1910220001"/>
          <w:placeholder>
            <w:docPart w:val="26611465D82E4FC1B4D810EBD0C2E829"/>
          </w:placeholder>
        </w:sdtPr>
        <w:sdtContent>
          <w:r w:rsidR="007A7CFB" w:rsidRPr="007A7CFB">
            <w:rPr>
              <w:color w:val="000000"/>
            </w:rPr>
            <w:t>[6]</w:t>
          </w:r>
        </w:sdtContent>
      </w:sdt>
      <w:r>
        <w:t>.</w:t>
      </w:r>
    </w:p>
    <w:p w14:paraId="54A5DB30" w14:textId="09AD72C1" w:rsidR="005C7CBD" w:rsidRDefault="005C7CBD" w:rsidP="005C7CBD">
      <w:r w:rsidRPr="00E97482">
        <w:rPr>
          <w:b/>
          <w:bCs/>
        </w:rPr>
        <w:lastRenderedPageBreak/>
        <w:t>PtD</w:t>
      </w:r>
      <w:r>
        <w:t xml:space="preserve">: the transmission and distribution fees are set by the ministry for each type of consumer, hour of the day, day of the week and month </w:t>
      </w:r>
      <w:sdt>
        <w:sdtPr>
          <w:rPr>
            <w:color w:val="000000"/>
          </w:rPr>
          <w:tag w:val="MENDELEY_CITATION_v3_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"/>
          <w:id w:val="1634602921"/>
          <w:placeholder>
            <w:docPart w:val="26611465D82E4FC1B4D810EBD0C2E829"/>
          </w:placeholder>
        </w:sdtPr>
        <w:sdtContent>
          <w:r w:rsidR="007A7CFB" w:rsidRPr="007A7CFB">
            <w:rPr>
              <w:color w:val="000000"/>
            </w:rPr>
            <w:t>[11]</w:t>
          </w:r>
        </w:sdtContent>
      </w:sdt>
      <w:r>
        <w:t>.</w:t>
      </w:r>
    </w:p>
    <w:p w14:paraId="79D6AAFB" w14:textId="696F4430" w:rsidR="005C7CBD" w:rsidRDefault="005C7CBD" w:rsidP="005C7CBD">
      <w:r w:rsidRPr="00E97482">
        <w:rPr>
          <w:b/>
          <w:bCs/>
        </w:rPr>
        <w:t>CA</w:t>
      </w:r>
      <w:r>
        <w:t xml:space="preserve">: the system payment is fixed by the corresponding ministry for each type of consumer, hour of the day, day of the week and month </w:t>
      </w:r>
      <w:sdt>
        <w:sdtPr>
          <w:rPr>
            <w:color w:val="000000"/>
          </w:rPr>
          <w:tag w:val="MENDELEY_CITATION_v3_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"/>
          <w:id w:val="-230319209"/>
          <w:placeholder>
            <w:docPart w:val="26611465D82E4FC1B4D810EBD0C2E829"/>
          </w:placeholder>
        </w:sdtPr>
        <w:sdtContent>
          <w:r w:rsidR="007A7CFB" w:rsidRPr="007A7CFB">
            <w:rPr>
              <w:color w:val="000000"/>
            </w:rPr>
            <w:t>[8]</w:t>
          </w:r>
        </w:sdtContent>
      </w:sdt>
      <w:r>
        <w:t>. It is used to finance the energy policies.</w:t>
      </w:r>
    </w:p>
    <w:p w14:paraId="3B6A6AA0" w14:textId="77777777" w:rsidR="005C7CBD" w:rsidRDefault="005C7CBD" w:rsidP="005C7CBD">
      <w:r>
        <w:t>It should be noted that all the previous figures have different y-axis scale to ease data visibility given their variability.</w:t>
      </w:r>
    </w:p>
    <w:p w14:paraId="7C89574F" w14:textId="77777777" w:rsidR="005C7CBD" w:rsidRDefault="005C7CBD" w:rsidP="005C7CBD">
      <w:r>
        <w:t xml:space="preserve">Once the PH is calculated, the rest of the costs are applied, such as the power cost, reactive power (if applicable), penalty for the excess of consumed power, social bonus, electricity tax and energy meter rental fee. The resulting PH between </w:t>
      </w:r>
      <w:r>
        <w:rPr>
          <w:color w:val="000000"/>
        </w:rPr>
        <w:t>1</w:t>
      </w:r>
      <w:r w:rsidRPr="00A02451">
        <w:rPr>
          <w:color w:val="000000"/>
          <w:vertAlign w:val="superscript"/>
        </w:rPr>
        <w:t>st</w:t>
      </w:r>
      <w:r>
        <w:rPr>
          <w:color w:val="000000"/>
        </w:rPr>
        <w:t xml:space="preserve"> of June 2023 to 31</w:t>
      </w:r>
      <w:r w:rsidRPr="00A02451">
        <w:rPr>
          <w:color w:val="000000"/>
          <w:vertAlign w:val="superscript"/>
        </w:rPr>
        <w:t>st</w:t>
      </w:r>
      <w:r>
        <w:rPr>
          <w:color w:val="000000"/>
        </w:rPr>
        <w:t xml:space="preserve"> of May 2024 is plotted in </w:t>
      </w:r>
      <w:r>
        <w:rPr>
          <w:color w:val="000000"/>
        </w:rPr>
        <w:fldChar w:fldCharType="begin" w:fldLock="1"/>
      </w:r>
      <w:r>
        <w:rPr>
          <w:color w:val="000000"/>
        </w:rPr>
        <w:instrText xml:space="preserve"> REF _Ref205983195 \h </w:instrText>
      </w:r>
      <w:r>
        <w:rPr>
          <w:color w:val="000000"/>
        </w:rPr>
      </w:r>
      <w:r>
        <w:rPr>
          <w:color w:val="000000"/>
        </w:rPr>
        <w:fldChar w:fldCharType="separate"/>
      </w:r>
      <w:r>
        <w:t xml:space="preserve">Figure </w:t>
      </w:r>
      <w:r>
        <w:rPr>
          <w:noProof/>
        </w:rPr>
        <w:t>9</w:t>
      </w:r>
      <w:r>
        <w:t>.</w:t>
      </w:r>
      <w:r>
        <w:rPr>
          <w:noProof/>
        </w:rPr>
        <w:t>19</w:t>
      </w:r>
      <w:r>
        <w:rPr>
          <w:color w:val="000000"/>
        </w:rPr>
        <w:fldChar w:fldCharType="end"/>
      </w:r>
      <w:r>
        <w:rPr>
          <w:color w:val="000000"/>
        </w:rPr>
        <w:t>.</w:t>
      </w:r>
    </w:p>
    <w:p w14:paraId="3BE77413" w14:textId="77777777" w:rsidR="005C7CBD" w:rsidRDefault="005C7CBD" w:rsidP="005C7CBD">
      <w:pPr>
        <w:keepNext/>
        <w:jc w:val="center"/>
      </w:pPr>
      <w:r w:rsidRPr="003875C6">
        <w:rPr>
          <w:noProof/>
        </w:rPr>
        <w:drawing>
          <wp:inline distT="0" distB="0" distL="0" distR="0" wp14:anchorId="1B7EA9D6" wp14:editId="65463767">
            <wp:extent cx="4153846" cy="3240000"/>
            <wp:effectExtent l="0" t="0" r="0" b="0"/>
            <wp:docPr id="1671895241" name="Picture 1" descr="P191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95241" name="Picture 1" descr="P1915#yIS1"/>
                    <pic:cNvPicPr>
                      <a:picLocks noChangeAspect="1" noChangeArrowheads="1"/>
                    </pic:cNvPicPr>
                  </pic:nvPicPr>
                  <pic:blipFill>
                    <a:blip r:embed="rId15"/>
                    <a:stretch>
                      <a:fillRect/>
                    </a:stretch>
                  </pic:blipFill>
                  <pic:spPr bwMode="auto">
                    <a:xfrm>
                      <a:off x="0" y="0"/>
                      <a:ext cx="4153846" cy="3240000"/>
                    </a:xfrm>
                    <a:prstGeom prst="rect">
                      <a:avLst/>
                    </a:prstGeom>
                  </pic:spPr>
                </pic:pic>
              </a:graphicData>
            </a:graphic>
          </wp:inline>
        </w:drawing>
      </w:r>
    </w:p>
    <w:p w14:paraId="395CD8D7" w14:textId="77777777" w:rsidR="005C7CBD" w:rsidRDefault="005C7CBD" w:rsidP="005C7CBD">
      <w:pPr>
        <w:pStyle w:val="Caption"/>
      </w:pPr>
      <w:bookmarkStart w:id="23" w:name="_Ref205983195"/>
      <w:bookmarkStart w:id="24" w:name="_Toc222211921"/>
      <w:r>
        <w:t xml:space="preserve">Figure </w:t>
      </w:r>
      <w:r>
        <w:fldChar w:fldCharType="begin" w:fldLock="1"/>
      </w:r>
      <w:r>
        <w:instrText xml:space="preserve"> STYLEREF 1 \s </w:instrText>
      </w:r>
      <w:r>
        <w:fldChar w:fldCharType="separate"/>
      </w:r>
      <w:r>
        <w:rPr>
          <w:noProof/>
        </w:rPr>
        <w:t>9</w:t>
      </w:r>
      <w:r>
        <w:fldChar w:fldCharType="end"/>
      </w:r>
      <w:r>
        <w:t>.</w:t>
      </w:r>
      <w:r>
        <w:fldChar w:fldCharType="begin"/>
      </w:r>
      <w:r>
        <w:instrText xml:space="preserve"> SEQ Figure \* ARABIC \s 1 </w:instrText>
      </w:r>
      <w:r>
        <w:fldChar w:fldCharType="separate"/>
      </w:r>
      <w:r>
        <w:rPr>
          <w:noProof/>
        </w:rPr>
        <w:t>19</w:t>
      </w:r>
      <w:r>
        <w:fldChar w:fldCharType="end"/>
      </w:r>
      <w:bookmarkEnd w:id="23"/>
      <w:r>
        <w:t>. Hourly electricity cost before taxes (PH)</w:t>
      </w:r>
      <w:bookmarkEnd w:id="24"/>
    </w:p>
    <w:p w14:paraId="5B04D698" w14:textId="77777777" w:rsidR="005152A6" w:rsidRDefault="005152A6"/>
    <w:p w14:paraId="3FBC6AAB" w14:textId="77777777" w:rsidR="007A7CFB" w:rsidRDefault="007A7CFB" w:rsidP="007A7CFB">
      <w:pPr>
        <w:rPr>
          <w:color w:val="000000"/>
        </w:rPr>
      </w:pPr>
    </w:p>
    <w:p w14:paraId="1269E255" w14:textId="77777777" w:rsidR="007A7CFB" w:rsidRDefault="007A7CFB" w:rsidP="007A7CFB">
      <w:pPr>
        <w:rPr>
          <w:color w:val="000000"/>
        </w:rPr>
      </w:pPr>
    </w:p>
    <w:p w14:paraId="7BFCB3CF" w14:textId="77777777" w:rsidR="007A7CFB" w:rsidRDefault="007A7CFB" w:rsidP="007A7CFB">
      <w:pPr>
        <w:rPr>
          <w:color w:val="000000"/>
        </w:rPr>
      </w:pPr>
    </w:p>
    <w:p w14:paraId="7950B520" w14:textId="77777777" w:rsidR="007A7CFB" w:rsidRDefault="007A7CFB" w:rsidP="007A7CFB">
      <w:pPr>
        <w:rPr>
          <w:color w:val="000000"/>
        </w:rPr>
      </w:pPr>
    </w:p>
    <w:p w14:paraId="73886C6C" w14:textId="77777777" w:rsidR="007A7CFB" w:rsidRDefault="007A7CFB" w:rsidP="007A7CFB">
      <w:pPr>
        <w:rPr>
          <w:color w:val="000000"/>
        </w:rPr>
      </w:pPr>
    </w:p>
    <w:p w14:paraId="47E4438A" w14:textId="77777777" w:rsidR="007A7CFB" w:rsidRDefault="007A7CFB" w:rsidP="007A7CFB">
      <w:pPr>
        <w:rPr>
          <w:color w:val="000000"/>
        </w:rPr>
      </w:pPr>
    </w:p>
    <w:p w14:paraId="3A54F2AB" w14:textId="77777777" w:rsidR="007A7CFB" w:rsidRDefault="007A7CFB" w:rsidP="007A7CFB">
      <w:pPr>
        <w:rPr>
          <w:color w:val="000000"/>
        </w:rPr>
      </w:pPr>
      <w:r>
        <w:rPr>
          <w:color w:val="000000"/>
        </w:rPr>
        <w:lastRenderedPageBreak/>
        <w:t>References:</w:t>
      </w:r>
    </w:p>
    <w:sdt>
      <w:sdtPr>
        <w:rPr>
          <w:color w:val="000000"/>
        </w:rPr>
        <w:tag w:val="MENDELEY_BIBLIOGRAPHY"/>
        <w:id w:val="601920634"/>
        <w:placeholder>
          <w:docPart w:val="246E14556B7D4CF9B46327EE2CC245B3"/>
        </w:placeholder>
      </w:sdtPr>
      <w:sdtContent>
        <w:p w14:paraId="67EE6E13" w14:textId="77777777" w:rsidR="007A7CFB" w:rsidRPr="007A7CFB" w:rsidRDefault="007A7CFB" w:rsidP="007A7CFB">
          <w:pPr>
            <w:autoSpaceDE w:val="0"/>
            <w:autoSpaceDN w:val="0"/>
            <w:ind w:hanging="640"/>
            <w:rPr>
              <w:rFonts w:eastAsia="Times New Roman"/>
              <w:color w:val="000000"/>
              <w:szCs w:val="24"/>
            </w:rPr>
          </w:pPr>
          <w:r w:rsidRPr="007A7CFB">
            <w:rPr>
              <w:rFonts w:eastAsia="Times New Roman"/>
              <w:color w:val="000000"/>
            </w:rPr>
            <w:t>[1]</w:t>
          </w:r>
          <w:r w:rsidRPr="007A7CFB">
            <w:rPr>
              <w:rFonts w:eastAsia="Times New Roman"/>
              <w:color w:val="000000"/>
            </w:rPr>
            <w:tab/>
            <w:t>“</w:t>
          </w:r>
          <w:proofErr w:type="spellStart"/>
          <w:r w:rsidRPr="007A7CFB">
            <w:rPr>
              <w:rFonts w:eastAsia="Times New Roman"/>
              <w:color w:val="000000"/>
            </w:rPr>
            <w:t>Explicación</w:t>
          </w:r>
          <w:proofErr w:type="spellEnd"/>
          <w:r w:rsidRPr="007A7CFB">
            <w:rPr>
              <w:rFonts w:eastAsia="Times New Roman"/>
              <w:color w:val="000000"/>
            </w:rPr>
            <w:t xml:space="preserve"> </w:t>
          </w:r>
          <w:proofErr w:type="spellStart"/>
          <w:r w:rsidRPr="007A7CFB">
            <w:rPr>
              <w:rFonts w:eastAsia="Times New Roman"/>
              <w:color w:val="000000"/>
            </w:rPr>
            <w:t>tarifa</w:t>
          </w:r>
          <w:proofErr w:type="spellEnd"/>
          <w:r w:rsidRPr="007A7CFB">
            <w:rPr>
              <w:rFonts w:eastAsia="Times New Roman"/>
              <w:color w:val="000000"/>
            </w:rPr>
            <w:t xml:space="preserve"> </w:t>
          </w:r>
          <w:proofErr w:type="spellStart"/>
          <w:r w:rsidRPr="007A7CFB">
            <w:rPr>
              <w:rFonts w:eastAsia="Times New Roman"/>
              <w:color w:val="000000"/>
            </w:rPr>
            <w:t>indexada</w:t>
          </w:r>
          <w:proofErr w:type="spellEnd"/>
          <w:r w:rsidRPr="007A7CFB">
            <w:rPr>
              <w:rFonts w:eastAsia="Times New Roman"/>
              <w:color w:val="000000"/>
            </w:rPr>
            <w:t xml:space="preserve"> Som </w:t>
          </w:r>
          <w:proofErr w:type="spellStart"/>
          <w:r w:rsidRPr="007A7CFB">
            <w:rPr>
              <w:rFonts w:eastAsia="Times New Roman"/>
              <w:color w:val="000000"/>
            </w:rPr>
            <w:t>Energia</w:t>
          </w:r>
          <w:proofErr w:type="spellEnd"/>
          <w:r w:rsidRPr="007A7CFB">
            <w:rPr>
              <w:rFonts w:eastAsia="Times New Roman"/>
              <w:color w:val="000000"/>
            </w:rPr>
            <w:t>”, Accessed: Aug. 12, 2025. [Online]. Available: www.somenergia.coop</w:t>
          </w:r>
        </w:p>
        <w:p w14:paraId="4101B495"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[2]</w:t>
          </w:r>
          <w:r w:rsidRPr="007A7CFB">
            <w:rPr>
              <w:rFonts w:eastAsia="Times New Roman"/>
              <w:color w:val="000000"/>
            </w:rPr>
            <w:tab/>
            <w:t>“</w:t>
          </w:r>
          <w:proofErr w:type="spellStart"/>
          <w:r w:rsidRPr="007A7CFB">
            <w:rPr>
              <w:rFonts w:eastAsia="Times New Roman"/>
              <w:color w:val="000000"/>
            </w:rPr>
            <w:t>Análisis</w:t>
          </w:r>
          <w:proofErr w:type="spellEnd"/>
          <w:r w:rsidRPr="007A7CFB">
            <w:rPr>
              <w:rFonts w:eastAsia="Times New Roman"/>
              <w:color w:val="000000"/>
            </w:rPr>
            <w:t xml:space="preserve"> | ESIOS </w:t>
          </w:r>
          <w:proofErr w:type="spellStart"/>
          <w:r w:rsidRPr="007A7CFB">
            <w:rPr>
              <w:rFonts w:eastAsia="Times New Roman"/>
              <w:color w:val="000000"/>
            </w:rPr>
            <w:t>electricidad</w:t>
          </w:r>
          <w:proofErr w:type="spellEnd"/>
          <w:r w:rsidRPr="007A7CFB">
            <w:rPr>
              <w:rFonts w:eastAsia="Times New Roman"/>
              <w:color w:val="000000"/>
            </w:rPr>
            <w:t xml:space="preserve"> · </w:t>
          </w:r>
          <w:proofErr w:type="spellStart"/>
          <w:r w:rsidRPr="007A7CFB">
            <w:rPr>
              <w:rFonts w:eastAsia="Times New Roman"/>
              <w:color w:val="000000"/>
            </w:rPr>
            <w:t>datos</w:t>
          </w:r>
          <w:proofErr w:type="spellEnd"/>
          <w:r w:rsidRPr="007A7CFB">
            <w:rPr>
              <w:rFonts w:eastAsia="Times New Roman"/>
              <w:color w:val="000000"/>
            </w:rPr>
            <w:t xml:space="preserve"> · </w:t>
          </w:r>
          <w:proofErr w:type="spellStart"/>
          <w:r w:rsidRPr="007A7CFB">
            <w:rPr>
              <w:rFonts w:eastAsia="Times New Roman"/>
              <w:color w:val="000000"/>
            </w:rPr>
            <w:t>transparencia</w:t>
          </w:r>
          <w:proofErr w:type="spellEnd"/>
          <w:r w:rsidRPr="007A7CFB">
            <w:rPr>
              <w:rFonts w:eastAsia="Times New Roman"/>
              <w:color w:val="000000"/>
            </w:rPr>
            <w:t>.” Accessed: Aug. 11, 2025. [Online]. Available: https://www.esios.ree.es/es/analisis/805?vis=1&amp;start_date=01-01-2024T00%3A00&amp;end_date=31-01-2024T23%3A50&amp;compare_start_date=31-12-2023T00%3A00&amp;groupby=hour</w:t>
          </w:r>
        </w:p>
        <w:p w14:paraId="79797E42"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[3]</w:t>
          </w:r>
          <w:r w:rsidRPr="007A7CFB">
            <w:rPr>
              <w:rFonts w:eastAsia="Times New Roman"/>
              <w:color w:val="000000"/>
            </w:rPr>
            <w:tab/>
            <w:t>“OMIE.” Accessed: Aug. 11, 2025. [Online]. Available: https://www.omie.es/</w:t>
          </w:r>
        </w:p>
        <w:p w14:paraId="44EDAAC7"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[4]</w:t>
          </w:r>
          <w:r w:rsidRPr="007A7CFB">
            <w:rPr>
              <w:rFonts w:eastAsia="Times New Roman"/>
              <w:color w:val="000000"/>
            </w:rPr>
            <w:tab/>
            <w:t xml:space="preserve">“BOE-A-2024-2774 Orden TED/113/2024, de 9 de </w:t>
          </w:r>
          <w:proofErr w:type="spellStart"/>
          <w:r w:rsidRPr="007A7CFB">
            <w:rPr>
              <w:rFonts w:eastAsia="Times New Roman"/>
              <w:color w:val="000000"/>
            </w:rPr>
            <w:t>febrero</w:t>
          </w:r>
          <w:proofErr w:type="spellEnd"/>
          <w:r w:rsidRPr="007A7CFB">
            <w:rPr>
              <w:rFonts w:eastAsia="Times New Roman"/>
              <w:color w:val="000000"/>
            </w:rPr>
            <w:t xml:space="preserve">, </w:t>
          </w:r>
          <w:proofErr w:type="spellStart"/>
          <w:r w:rsidRPr="007A7CFB">
            <w:rPr>
              <w:rFonts w:eastAsia="Times New Roman"/>
              <w:color w:val="000000"/>
            </w:rPr>
            <w:t>por</w:t>
          </w:r>
          <w:proofErr w:type="spellEnd"/>
          <w:r w:rsidRPr="007A7CFB">
            <w:rPr>
              <w:rFonts w:eastAsia="Times New Roman"/>
              <w:color w:val="000000"/>
            </w:rPr>
            <w:t xml:space="preserve"> la que se </w:t>
          </w:r>
          <w:proofErr w:type="spellStart"/>
          <w:r w:rsidRPr="007A7CFB">
            <w:rPr>
              <w:rFonts w:eastAsia="Times New Roman"/>
              <w:color w:val="000000"/>
            </w:rPr>
            <w:t>establecen</w:t>
          </w:r>
          <w:proofErr w:type="spellEnd"/>
          <w:r w:rsidRPr="007A7CFB">
            <w:rPr>
              <w:rFonts w:eastAsia="Times New Roman"/>
              <w:color w:val="000000"/>
            </w:rPr>
            <w:t xml:space="preserve"> </w:t>
          </w:r>
          <w:proofErr w:type="spellStart"/>
          <w:r w:rsidRPr="007A7CFB">
            <w:rPr>
              <w:rFonts w:eastAsia="Times New Roman"/>
              <w:color w:val="000000"/>
            </w:rPr>
            <w:t>los</w:t>
          </w:r>
          <w:proofErr w:type="spellEnd"/>
          <w:r w:rsidRPr="007A7CFB">
            <w:rPr>
              <w:rFonts w:eastAsia="Times New Roman"/>
              <w:color w:val="000000"/>
            </w:rPr>
            <w:t xml:space="preserve"> </w:t>
          </w:r>
          <w:proofErr w:type="spellStart"/>
          <w:r w:rsidRPr="007A7CFB">
            <w:rPr>
              <w:rFonts w:eastAsia="Times New Roman"/>
              <w:color w:val="000000"/>
            </w:rPr>
            <w:t>precios</w:t>
          </w:r>
          <w:proofErr w:type="spellEnd"/>
          <w:r w:rsidRPr="007A7CFB">
            <w:rPr>
              <w:rFonts w:eastAsia="Times New Roman"/>
              <w:color w:val="000000"/>
            </w:rPr>
            <w:t xml:space="preserve"> de </w:t>
          </w:r>
          <w:proofErr w:type="spellStart"/>
          <w:r w:rsidRPr="007A7CFB">
            <w:rPr>
              <w:rFonts w:eastAsia="Times New Roman"/>
              <w:color w:val="000000"/>
            </w:rPr>
            <w:t>los</w:t>
          </w:r>
          <w:proofErr w:type="spellEnd"/>
          <w:r w:rsidRPr="007A7CFB">
            <w:rPr>
              <w:rFonts w:eastAsia="Times New Roman"/>
              <w:color w:val="000000"/>
            </w:rPr>
            <w:t xml:space="preserve"> cargos del </w:t>
          </w:r>
          <w:proofErr w:type="spellStart"/>
          <w:r w:rsidRPr="007A7CFB">
            <w:rPr>
              <w:rFonts w:eastAsia="Times New Roman"/>
              <w:color w:val="000000"/>
            </w:rPr>
            <w:t>sistema</w:t>
          </w:r>
          <w:proofErr w:type="spellEnd"/>
          <w:r w:rsidRPr="007A7CFB">
            <w:rPr>
              <w:rFonts w:eastAsia="Times New Roman"/>
              <w:color w:val="000000"/>
            </w:rPr>
            <w:t xml:space="preserve"> </w:t>
          </w:r>
          <w:proofErr w:type="spellStart"/>
          <w:r w:rsidRPr="007A7CFB">
            <w:rPr>
              <w:rFonts w:eastAsia="Times New Roman"/>
              <w:color w:val="000000"/>
            </w:rPr>
            <w:t>eléctrico</w:t>
          </w:r>
          <w:proofErr w:type="spellEnd"/>
          <w:r w:rsidRPr="007A7CFB">
            <w:rPr>
              <w:rFonts w:eastAsia="Times New Roman"/>
              <w:color w:val="000000"/>
            </w:rPr>
            <w:t xml:space="preserve"> y se </w:t>
          </w:r>
          <w:proofErr w:type="spellStart"/>
          <w:r w:rsidRPr="007A7CFB">
            <w:rPr>
              <w:rFonts w:eastAsia="Times New Roman"/>
              <w:color w:val="000000"/>
            </w:rPr>
            <w:t>establecen</w:t>
          </w:r>
          <w:proofErr w:type="spellEnd"/>
          <w:r w:rsidRPr="007A7CFB">
            <w:rPr>
              <w:rFonts w:eastAsia="Times New Roman"/>
              <w:color w:val="000000"/>
            </w:rPr>
            <w:t xml:space="preserve"> </w:t>
          </w:r>
          <w:proofErr w:type="spellStart"/>
          <w:r w:rsidRPr="007A7CFB">
            <w:rPr>
              <w:rFonts w:eastAsia="Times New Roman"/>
              <w:color w:val="000000"/>
            </w:rPr>
            <w:t>diversos</w:t>
          </w:r>
          <w:proofErr w:type="spellEnd"/>
          <w:r w:rsidRPr="007A7CFB">
            <w:rPr>
              <w:rFonts w:eastAsia="Times New Roman"/>
              <w:color w:val="000000"/>
            </w:rPr>
            <w:t xml:space="preserve"> </w:t>
          </w:r>
          <w:proofErr w:type="spellStart"/>
          <w:r w:rsidRPr="007A7CFB">
            <w:rPr>
              <w:rFonts w:eastAsia="Times New Roman"/>
              <w:color w:val="000000"/>
            </w:rPr>
            <w:t>costes</w:t>
          </w:r>
          <w:proofErr w:type="spellEnd"/>
          <w:r w:rsidRPr="007A7CFB">
            <w:rPr>
              <w:rFonts w:eastAsia="Times New Roman"/>
              <w:color w:val="000000"/>
            </w:rPr>
            <w:t xml:space="preserve"> </w:t>
          </w:r>
          <w:proofErr w:type="spellStart"/>
          <w:r w:rsidRPr="007A7CFB">
            <w:rPr>
              <w:rFonts w:eastAsia="Times New Roman"/>
              <w:color w:val="000000"/>
            </w:rPr>
            <w:t>regulados</w:t>
          </w:r>
          <w:proofErr w:type="spellEnd"/>
          <w:r w:rsidRPr="007A7CFB">
            <w:rPr>
              <w:rFonts w:eastAsia="Times New Roman"/>
              <w:color w:val="000000"/>
            </w:rPr>
            <w:t xml:space="preserve"> del </w:t>
          </w:r>
          <w:proofErr w:type="spellStart"/>
          <w:r w:rsidRPr="007A7CFB">
            <w:rPr>
              <w:rFonts w:eastAsia="Times New Roman"/>
              <w:color w:val="000000"/>
            </w:rPr>
            <w:t>sistema</w:t>
          </w:r>
          <w:proofErr w:type="spellEnd"/>
          <w:r w:rsidRPr="007A7CFB">
            <w:rPr>
              <w:rFonts w:eastAsia="Times New Roman"/>
              <w:color w:val="000000"/>
            </w:rPr>
            <w:t xml:space="preserve"> </w:t>
          </w:r>
          <w:proofErr w:type="spellStart"/>
          <w:r w:rsidRPr="007A7CFB">
            <w:rPr>
              <w:rFonts w:eastAsia="Times New Roman"/>
              <w:color w:val="000000"/>
            </w:rPr>
            <w:t>eléctrico</w:t>
          </w:r>
          <w:proofErr w:type="spellEnd"/>
          <w:r w:rsidRPr="007A7CFB">
            <w:rPr>
              <w:rFonts w:eastAsia="Times New Roman"/>
              <w:color w:val="000000"/>
            </w:rPr>
            <w:t xml:space="preserve"> para </w:t>
          </w:r>
          <w:proofErr w:type="spellStart"/>
          <w:r w:rsidRPr="007A7CFB">
            <w:rPr>
              <w:rFonts w:eastAsia="Times New Roman"/>
              <w:color w:val="000000"/>
            </w:rPr>
            <w:t>el</w:t>
          </w:r>
          <w:proofErr w:type="spellEnd"/>
          <w:r w:rsidRPr="007A7CFB">
            <w:rPr>
              <w:rFonts w:eastAsia="Times New Roman"/>
              <w:color w:val="000000"/>
            </w:rPr>
            <w:t xml:space="preserve"> </w:t>
          </w:r>
          <w:proofErr w:type="spellStart"/>
          <w:r w:rsidRPr="007A7CFB">
            <w:rPr>
              <w:rFonts w:eastAsia="Times New Roman"/>
              <w:color w:val="000000"/>
            </w:rPr>
            <w:t>ejercicio</w:t>
          </w:r>
          <w:proofErr w:type="spellEnd"/>
          <w:r w:rsidRPr="007A7CFB">
            <w:rPr>
              <w:rFonts w:eastAsia="Times New Roman"/>
              <w:color w:val="000000"/>
            </w:rPr>
            <w:t xml:space="preserve"> 2024.” Accessed: Aug. 11, 2025. [Online]. Available: https://www.boe.es/diario_boe/txt.php?id=BOE-A-2024-2774</w:t>
          </w:r>
        </w:p>
        <w:p w14:paraId="6CBD776C"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[5]</w:t>
          </w:r>
          <w:r w:rsidRPr="007A7CFB">
            <w:rPr>
              <w:rFonts w:eastAsia="Times New Roman"/>
              <w:color w:val="000000"/>
            </w:rPr>
            <w:tab/>
            <w:t>“</w:t>
          </w:r>
          <w:proofErr w:type="spellStart"/>
          <w:r w:rsidRPr="007A7CFB">
            <w:rPr>
              <w:rFonts w:eastAsia="Times New Roman"/>
              <w:color w:val="000000"/>
            </w:rPr>
            <w:t>Descargas</w:t>
          </w:r>
          <w:proofErr w:type="spellEnd"/>
          <w:r w:rsidRPr="007A7CFB">
            <w:rPr>
              <w:rFonts w:eastAsia="Times New Roman"/>
              <w:color w:val="000000"/>
            </w:rPr>
            <w:t xml:space="preserve"> | ESIOS </w:t>
          </w:r>
          <w:proofErr w:type="spellStart"/>
          <w:r w:rsidRPr="007A7CFB">
            <w:rPr>
              <w:rFonts w:eastAsia="Times New Roman"/>
              <w:color w:val="000000"/>
            </w:rPr>
            <w:t>electricidad</w:t>
          </w:r>
          <w:proofErr w:type="spellEnd"/>
          <w:r w:rsidRPr="007A7CFB">
            <w:rPr>
              <w:rFonts w:eastAsia="Times New Roman"/>
              <w:color w:val="000000"/>
            </w:rPr>
            <w:t xml:space="preserve"> · </w:t>
          </w:r>
          <w:proofErr w:type="spellStart"/>
          <w:r w:rsidRPr="007A7CFB">
            <w:rPr>
              <w:rFonts w:eastAsia="Times New Roman"/>
              <w:color w:val="000000"/>
            </w:rPr>
            <w:t>datos</w:t>
          </w:r>
          <w:proofErr w:type="spellEnd"/>
          <w:r w:rsidRPr="007A7CFB">
            <w:rPr>
              <w:rFonts w:eastAsia="Times New Roman"/>
              <w:color w:val="000000"/>
            </w:rPr>
            <w:t xml:space="preserve"> · </w:t>
          </w:r>
          <w:proofErr w:type="spellStart"/>
          <w:r w:rsidRPr="007A7CFB">
            <w:rPr>
              <w:rFonts w:eastAsia="Times New Roman"/>
              <w:color w:val="000000"/>
            </w:rPr>
            <w:t>transparencia</w:t>
          </w:r>
          <w:proofErr w:type="spellEnd"/>
          <w:r w:rsidRPr="007A7CFB">
            <w:rPr>
              <w:rFonts w:eastAsia="Times New Roman"/>
              <w:color w:val="000000"/>
            </w:rPr>
            <w:t>.” Accessed: Aug. 11, 2025. [Online]. Available: https://www.esios.ree.es/es/descargas?date_type=publicacion&amp;start_date=01-01-2024&amp;end_date=31-01-2024</w:t>
          </w:r>
        </w:p>
        <w:p w14:paraId="3B9B4FFD"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[6]</w:t>
          </w:r>
          <w:r w:rsidRPr="007A7CFB">
            <w:rPr>
              <w:rFonts w:eastAsia="Times New Roman"/>
              <w:color w:val="000000"/>
            </w:rPr>
            <w:tab/>
            <w:t>“</w:t>
          </w:r>
          <w:proofErr w:type="spellStart"/>
          <w:r w:rsidRPr="007A7CFB">
            <w:rPr>
              <w:rFonts w:eastAsia="Times New Roman"/>
              <w:color w:val="000000"/>
            </w:rPr>
            <w:t>Històric</w:t>
          </w:r>
          <w:proofErr w:type="spellEnd"/>
          <w:r w:rsidRPr="007A7CFB">
            <w:rPr>
              <w:rFonts w:eastAsia="Times New Roman"/>
              <w:color w:val="000000"/>
            </w:rPr>
            <w:t xml:space="preserve"> Tarifa </w:t>
          </w:r>
          <w:proofErr w:type="spellStart"/>
          <w:r w:rsidRPr="007A7CFB">
            <w:rPr>
              <w:rFonts w:eastAsia="Times New Roman"/>
              <w:color w:val="000000"/>
            </w:rPr>
            <w:t>indexada</w:t>
          </w:r>
          <w:proofErr w:type="spellEnd"/>
          <w:r w:rsidRPr="007A7CFB">
            <w:rPr>
              <w:rFonts w:eastAsia="Times New Roman"/>
              <w:color w:val="000000"/>
            </w:rPr>
            <w:t>.” Accessed: Aug. 12, 2025. [Online]. Available: https://www.somenergia.coop/ca/historic-tarifa-indexada</w:t>
          </w:r>
        </w:p>
        <w:p w14:paraId="50586A29"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[7]</w:t>
          </w:r>
          <w:r w:rsidRPr="007A7CFB">
            <w:rPr>
              <w:rFonts w:eastAsia="Times New Roman"/>
              <w:color w:val="000000"/>
            </w:rPr>
            <w:tab/>
            <w:t xml:space="preserve">C. DE Nacional Los Mercados Y La </w:t>
          </w:r>
          <w:proofErr w:type="spellStart"/>
          <w:r w:rsidRPr="007A7CFB">
            <w:rPr>
              <w:rFonts w:eastAsia="Times New Roman"/>
              <w:color w:val="000000"/>
            </w:rPr>
            <w:t>Competencia</w:t>
          </w:r>
          <w:proofErr w:type="spellEnd"/>
          <w:r w:rsidRPr="007A7CFB">
            <w:rPr>
              <w:rFonts w:eastAsia="Times New Roman"/>
              <w:color w:val="000000"/>
            </w:rPr>
            <w:t>, “III. OTRAS DISPOSICIONES COMISIÓN NACIONAL DE LOS MERCADOS Y LA COMPETENCIA,” 2023, Accessed: Aug. 13, 2025. [Online]. Available: https://www.boe.es</w:t>
          </w:r>
        </w:p>
        <w:p w14:paraId="6AED8B25"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[8]</w:t>
          </w:r>
          <w:r w:rsidRPr="007A7CFB">
            <w:rPr>
              <w:rFonts w:eastAsia="Times New Roman"/>
              <w:color w:val="000000"/>
            </w:rPr>
            <w:tab/>
            <w:t xml:space="preserve">M. LA Para </w:t>
          </w:r>
          <w:proofErr w:type="spellStart"/>
          <w:r w:rsidRPr="007A7CFB">
            <w:rPr>
              <w:rFonts w:eastAsia="Times New Roman"/>
              <w:color w:val="000000"/>
            </w:rPr>
            <w:t>Transición</w:t>
          </w:r>
          <w:proofErr w:type="spellEnd"/>
          <w:r w:rsidRPr="007A7CFB">
            <w:rPr>
              <w:rFonts w:eastAsia="Times New Roman"/>
              <w:color w:val="000000"/>
            </w:rPr>
            <w:t xml:space="preserve"> </w:t>
          </w:r>
          <w:proofErr w:type="spellStart"/>
          <w:r w:rsidRPr="007A7CFB">
            <w:rPr>
              <w:rFonts w:eastAsia="Times New Roman"/>
              <w:color w:val="000000"/>
            </w:rPr>
            <w:t>Ecológica</w:t>
          </w:r>
          <w:proofErr w:type="spellEnd"/>
          <w:r w:rsidRPr="007A7CFB">
            <w:rPr>
              <w:rFonts w:eastAsia="Times New Roman"/>
              <w:color w:val="000000"/>
            </w:rPr>
            <w:t xml:space="preserve"> Y El Reto </w:t>
          </w:r>
          <w:proofErr w:type="spellStart"/>
          <w:r w:rsidRPr="007A7CFB">
            <w:rPr>
              <w:rFonts w:eastAsia="Times New Roman"/>
              <w:color w:val="000000"/>
            </w:rPr>
            <w:t>Demográfico</w:t>
          </w:r>
          <w:proofErr w:type="spellEnd"/>
          <w:r w:rsidRPr="007A7CFB">
            <w:rPr>
              <w:rFonts w:eastAsia="Times New Roman"/>
              <w:color w:val="000000"/>
            </w:rPr>
            <w:t>, “I. DISPOSICIONES GENERALES MINISTERIO PARA LA TRANSICIÓN ECOLÓGICA Y EL RETO DEMOGRÁFICO,” 2024, Accessed: Aug. 13, 2025. [Online]. Available: https://www.boe.es</w:t>
          </w:r>
        </w:p>
        <w:p w14:paraId="36000BFE"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[9]</w:t>
          </w:r>
          <w:r w:rsidRPr="007A7CFB">
            <w:rPr>
              <w:rFonts w:eastAsia="Times New Roman"/>
              <w:color w:val="000000"/>
            </w:rPr>
            <w:tab/>
          </w:r>
          <w:proofErr w:type="spellStart"/>
          <w:r w:rsidRPr="007A7CFB">
            <w:rPr>
              <w:rFonts w:eastAsia="Times New Roman"/>
              <w:color w:val="000000"/>
            </w:rPr>
            <w:t>Núm</w:t>
          </w:r>
          <w:proofErr w:type="spellEnd"/>
          <w:r w:rsidRPr="007A7CFB">
            <w:rPr>
              <w:rFonts w:eastAsia="Times New Roman"/>
              <w:color w:val="000000"/>
            </w:rPr>
            <w:t>, “BOLETÍN OFICIAL DEL ESTADO COMISIÓN NACIONAL DE LOS MERCADOS Y LA COMPETENCIA”, Accessed: Oct. 24, 2025. [Online]. Available: https://www.boe.es</w:t>
          </w:r>
        </w:p>
        <w:p w14:paraId="3AD8EB5C"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[10]</w:t>
          </w:r>
          <w:r w:rsidRPr="007A7CFB">
            <w:rPr>
              <w:rFonts w:eastAsia="Times New Roman"/>
              <w:color w:val="000000"/>
            </w:rPr>
            <w:tab/>
            <w:t xml:space="preserve">M. LA Para </w:t>
          </w:r>
          <w:proofErr w:type="spellStart"/>
          <w:r w:rsidRPr="007A7CFB">
            <w:rPr>
              <w:rFonts w:eastAsia="Times New Roman"/>
              <w:color w:val="000000"/>
            </w:rPr>
            <w:t>Transición</w:t>
          </w:r>
          <w:proofErr w:type="spellEnd"/>
          <w:r w:rsidRPr="007A7CFB">
            <w:rPr>
              <w:rFonts w:eastAsia="Times New Roman"/>
              <w:color w:val="000000"/>
            </w:rPr>
            <w:t xml:space="preserve"> </w:t>
          </w:r>
          <w:proofErr w:type="spellStart"/>
          <w:r w:rsidRPr="007A7CFB">
            <w:rPr>
              <w:rFonts w:eastAsia="Times New Roman"/>
              <w:color w:val="000000"/>
            </w:rPr>
            <w:t>Ecológica</w:t>
          </w:r>
          <w:proofErr w:type="spellEnd"/>
          <w:r w:rsidRPr="007A7CFB">
            <w:rPr>
              <w:rFonts w:eastAsia="Times New Roman"/>
              <w:color w:val="000000"/>
            </w:rPr>
            <w:t xml:space="preserve"> Y El Reto </w:t>
          </w:r>
          <w:proofErr w:type="spellStart"/>
          <w:r w:rsidRPr="007A7CFB">
            <w:rPr>
              <w:rFonts w:eastAsia="Times New Roman"/>
              <w:color w:val="000000"/>
            </w:rPr>
            <w:t>Demográfico</w:t>
          </w:r>
          <w:proofErr w:type="spellEnd"/>
          <w:r w:rsidRPr="007A7CFB">
            <w:rPr>
              <w:rFonts w:eastAsia="Times New Roman"/>
              <w:color w:val="000000"/>
            </w:rPr>
            <w:t xml:space="preserve">, “I. DISPOSICIONES GENERALES MINISTERIO PARA LA TRANSICIÓN </w:t>
          </w:r>
          <w:r w:rsidRPr="007A7CFB">
            <w:rPr>
              <w:rFonts w:eastAsia="Times New Roman"/>
              <w:color w:val="000000"/>
            </w:rPr>
            <w:lastRenderedPageBreak/>
            <w:t>ECOLÓGICA Y EL RETO DEMOGRÁFICO 5841,” 2024, Accessed: Aug. 13, 2025. [Online]. Available: https://www.boe.es</w:t>
          </w:r>
        </w:p>
        <w:p w14:paraId="2ECA0B54" w14:textId="77777777" w:rsidR="007A7CFB" w:rsidRPr="007A7CFB" w:rsidRDefault="007A7CFB" w:rsidP="007A7CFB">
          <w:pPr>
            <w:autoSpaceDE w:val="0"/>
            <w:autoSpaceDN w:val="0"/>
            <w:ind w:hanging="640"/>
            <w:rPr>
              <w:rFonts w:eastAsia="Times New Roman"/>
              <w:color w:val="000000"/>
            </w:rPr>
          </w:pPr>
          <w:r w:rsidRPr="007A7CFB">
            <w:rPr>
              <w:rFonts w:eastAsia="Times New Roman"/>
              <w:color w:val="000000"/>
            </w:rPr>
            <w:t>[11]</w:t>
          </w:r>
          <w:r w:rsidRPr="007A7CFB">
            <w:rPr>
              <w:rFonts w:eastAsia="Times New Roman"/>
              <w:color w:val="000000"/>
            </w:rPr>
            <w:tab/>
            <w:t xml:space="preserve">C. DE Nacional Los Mercados Y La </w:t>
          </w:r>
          <w:proofErr w:type="spellStart"/>
          <w:r w:rsidRPr="007A7CFB">
            <w:rPr>
              <w:rFonts w:eastAsia="Times New Roman"/>
              <w:color w:val="000000"/>
            </w:rPr>
            <w:t>Competencia</w:t>
          </w:r>
          <w:proofErr w:type="spellEnd"/>
          <w:r w:rsidRPr="007A7CFB">
            <w:rPr>
              <w:rFonts w:eastAsia="Times New Roman"/>
              <w:color w:val="000000"/>
            </w:rPr>
            <w:t>, “III. OTRAS DISPOSICIONES COMISIÓN NACIONAL DE LOS MERCADOS Y LA COMPETENCIA,” 2024, Accessed: Aug. 13, 2025. [Online]. Available: https://www.boe.es</w:t>
          </w:r>
        </w:p>
        <w:p w14:paraId="7FC18FF3" w14:textId="246A2D1F" w:rsidR="007A7CFB" w:rsidRPr="007A7CFB" w:rsidRDefault="007A7CFB">
          <w:pPr>
            <w:rPr>
              <w:color w:val="000000"/>
            </w:rPr>
          </w:pPr>
          <w:r w:rsidRPr="007A7CFB">
            <w:rPr>
              <w:rFonts w:eastAsia="Times New Roman"/>
              <w:color w:val="000000"/>
            </w:rPr>
            <w:t> </w:t>
          </w:r>
        </w:p>
      </w:sdtContent>
    </w:sdt>
    <w:sectPr w:rsidR="007A7CFB" w:rsidRPr="007A7C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C0902"/>
    <w:multiLevelType w:val="multilevel"/>
    <w:tmpl w:val="6B609F9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sz w:val="32"/>
        <w:szCs w:val="32"/>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50000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CBD"/>
    <w:rsid w:val="000839EB"/>
    <w:rsid w:val="000D39EE"/>
    <w:rsid w:val="000F1ECD"/>
    <w:rsid w:val="002E20FD"/>
    <w:rsid w:val="00450DA2"/>
    <w:rsid w:val="004D7AA7"/>
    <w:rsid w:val="005152A6"/>
    <w:rsid w:val="00521133"/>
    <w:rsid w:val="00525C0B"/>
    <w:rsid w:val="005C7CBD"/>
    <w:rsid w:val="00666DB6"/>
    <w:rsid w:val="00674445"/>
    <w:rsid w:val="007151FE"/>
    <w:rsid w:val="00774D1A"/>
    <w:rsid w:val="007A7CFB"/>
    <w:rsid w:val="00964169"/>
    <w:rsid w:val="009B745C"/>
    <w:rsid w:val="009F36BD"/>
    <w:rsid w:val="00B15E3B"/>
    <w:rsid w:val="00BE3C61"/>
    <w:rsid w:val="00DD3A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3F2B"/>
  <w15:chartTrackingRefBased/>
  <w15:docId w15:val="{8FBE9BC5-CD37-44B4-B0DB-3C0AEB49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C7CBD"/>
    <w:pPr>
      <w:spacing w:after="120" w:line="312" w:lineRule="auto"/>
      <w:jc w:val="both"/>
    </w:pPr>
    <w:rPr>
      <w:rFonts w:ascii="Century" w:eastAsiaTheme="minorEastAsia" w:hAnsi="Century"/>
      <w:kern w:val="0"/>
      <w:sz w:val="24"/>
      <w:lang w:val="en-GB" w:eastAsia="es-ES"/>
      <w14:ligatures w14:val="none"/>
    </w:rPr>
  </w:style>
  <w:style w:type="paragraph" w:styleId="Heading1">
    <w:name w:val="heading 1"/>
    <w:basedOn w:val="Normal"/>
    <w:next w:val="Normal"/>
    <w:link w:val="Heading1Char"/>
    <w:uiPriority w:val="9"/>
    <w:qFormat/>
    <w:rsid w:val="005C7CBD"/>
    <w:pPr>
      <w:keepNext/>
      <w:keepLines/>
      <w:numPr>
        <w:numId w:val="1"/>
      </w:numPr>
      <w:spacing w:before="480" w:after="0"/>
      <w:outlineLvl w:val="0"/>
    </w:pPr>
    <w:rPr>
      <w:rFonts w:ascii="Book Antiqua" w:eastAsiaTheme="majorEastAsia" w:hAnsi="Book Antiqua" w:cstheme="majorBidi"/>
      <w:b/>
      <w:bCs/>
      <w:color w:val="0D0D0D" w:themeColor="text1" w:themeTint="F2"/>
      <w:sz w:val="40"/>
      <w:szCs w:val="28"/>
    </w:rPr>
  </w:style>
  <w:style w:type="paragraph" w:styleId="Heading2">
    <w:name w:val="heading 2"/>
    <w:basedOn w:val="Normal"/>
    <w:next w:val="Normal"/>
    <w:link w:val="Heading2Char"/>
    <w:uiPriority w:val="9"/>
    <w:unhideWhenUsed/>
    <w:qFormat/>
    <w:rsid w:val="005C7CBD"/>
    <w:pPr>
      <w:keepNext/>
      <w:keepLines/>
      <w:numPr>
        <w:ilvl w:val="1"/>
        <w:numId w:val="1"/>
      </w:numPr>
      <w:spacing w:before="360"/>
      <w:outlineLvl w:val="1"/>
    </w:pPr>
    <w:rPr>
      <w:rFonts w:ascii="Book Antiqua" w:eastAsiaTheme="majorEastAsia" w:hAnsi="Book Antiqua" w:cstheme="majorBidi"/>
      <w:b/>
      <w:bCs/>
      <w:color w:val="0D0D0D" w:themeColor="text1" w:themeTint="F2"/>
      <w:sz w:val="32"/>
      <w:szCs w:val="26"/>
    </w:rPr>
  </w:style>
  <w:style w:type="paragraph" w:styleId="Heading3">
    <w:name w:val="heading 3"/>
    <w:basedOn w:val="Normal"/>
    <w:next w:val="Normal"/>
    <w:link w:val="Heading3Char"/>
    <w:uiPriority w:val="9"/>
    <w:unhideWhenUsed/>
    <w:qFormat/>
    <w:rsid w:val="005C7CBD"/>
    <w:pPr>
      <w:keepNext/>
      <w:keepLines/>
      <w:numPr>
        <w:ilvl w:val="2"/>
        <w:numId w:val="1"/>
      </w:numPr>
      <w:spacing w:before="360"/>
      <w:outlineLvl w:val="2"/>
    </w:pPr>
    <w:rPr>
      <w:rFonts w:ascii="Book Antiqua" w:eastAsiaTheme="majorEastAsia" w:hAnsi="Book Antiqua" w:cstheme="majorBidi"/>
      <w:b/>
      <w:bCs/>
      <w:color w:val="0D0D0D" w:themeColor="text1" w:themeTint="F2"/>
      <w:sz w:val="28"/>
    </w:rPr>
  </w:style>
  <w:style w:type="paragraph" w:styleId="Heading4">
    <w:name w:val="heading 4"/>
    <w:basedOn w:val="Normal"/>
    <w:next w:val="Normal"/>
    <w:link w:val="Heading4Char"/>
    <w:uiPriority w:val="9"/>
    <w:unhideWhenUsed/>
    <w:rsid w:val="005C7CBD"/>
    <w:pPr>
      <w:keepNext/>
      <w:keepLines/>
      <w:numPr>
        <w:ilvl w:val="3"/>
        <w:numId w:val="1"/>
      </w:numPr>
      <w:spacing w:before="320"/>
      <w:outlineLvl w:val="3"/>
    </w:pPr>
    <w:rPr>
      <w:rFonts w:eastAsiaTheme="majorEastAsia" w:cstheme="majorBidi"/>
      <w:b/>
      <w:bCs/>
      <w:iCs/>
    </w:rPr>
  </w:style>
  <w:style w:type="paragraph" w:styleId="Heading5">
    <w:name w:val="heading 5"/>
    <w:basedOn w:val="Normal"/>
    <w:next w:val="Normal"/>
    <w:link w:val="Heading5Char"/>
    <w:uiPriority w:val="9"/>
    <w:unhideWhenUsed/>
    <w:rsid w:val="005C7CBD"/>
    <w:pPr>
      <w:keepNext/>
      <w:keepLines/>
      <w:numPr>
        <w:ilvl w:val="4"/>
        <w:numId w:val="1"/>
      </w:numPr>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rsid w:val="005C7CBD"/>
    <w:pPr>
      <w:keepNext/>
      <w:keepLines/>
      <w:numPr>
        <w:ilvl w:val="5"/>
        <w:numId w:val="1"/>
      </w:numPr>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5C7CBD"/>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C7CBD"/>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C7CBD"/>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CBD"/>
    <w:rPr>
      <w:rFonts w:ascii="Book Antiqua" w:eastAsiaTheme="majorEastAsia" w:hAnsi="Book Antiqua" w:cstheme="majorBidi"/>
      <w:b/>
      <w:bCs/>
      <w:color w:val="0D0D0D" w:themeColor="text1" w:themeTint="F2"/>
      <w:kern w:val="0"/>
      <w:sz w:val="40"/>
      <w:szCs w:val="28"/>
      <w:lang w:val="en-GB" w:eastAsia="es-ES"/>
      <w14:ligatures w14:val="none"/>
    </w:rPr>
  </w:style>
  <w:style w:type="character" w:customStyle="1" w:styleId="Heading2Char">
    <w:name w:val="Heading 2 Char"/>
    <w:basedOn w:val="DefaultParagraphFont"/>
    <w:link w:val="Heading2"/>
    <w:uiPriority w:val="9"/>
    <w:rsid w:val="005C7CBD"/>
    <w:rPr>
      <w:rFonts w:ascii="Book Antiqua" w:eastAsiaTheme="majorEastAsia" w:hAnsi="Book Antiqua" w:cstheme="majorBidi"/>
      <w:b/>
      <w:bCs/>
      <w:color w:val="0D0D0D" w:themeColor="text1" w:themeTint="F2"/>
      <w:kern w:val="0"/>
      <w:sz w:val="32"/>
      <w:szCs w:val="26"/>
      <w:lang w:val="en-GB" w:eastAsia="es-ES"/>
      <w14:ligatures w14:val="none"/>
    </w:rPr>
  </w:style>
  <w:style w:type="character" w:customStyle="1" w:styleId="Heading3Char">
    <w:name w:val="Heading 3 Char"/>
    <w:basedOn w:val="DefaultParagraphFont"/>
    <w:link w:val="Heading3"/>
    <w:uiPriority w:val="9"/>
    <w:rsid w:val="005C7CBD"/>
    <w:rPr>
      <w:rFonts w:ascii="Book Antiqua" w:eastAsiaTheme="majorEastAsia" w:hAnsi="Book Antiqua" w:cstheme="majorBidi"/>
      <w:b/>
      <w:bCs/>
      <w:color w:val="0D0D0D" w:themeColor="text1" w:themeTint="F2"/>
      <w:kern w:val="0"/>
      <w:sz w:val="28"/>
      <w:lang w:val="en-GB" w:eastAsia="es-ES"/>
      <w14:ligatures w14:val="none"/>
    </w:rPr>
  </w:style>
  <w:style w:type="character" w:customStyle="1" w:styleId="Heading4Char">
    <w:name w:val="Heading 4 Char"/>
    <w:basedOn w:val="DefaultParagraphFont"/>
    <w:link w:val="Heading4"/>
    <w:uiPriority w:val="9"/>
    <w:rsid w:val="005C7CBD"/>
    <w:rPr>
      <w:rFonts w:ascii="Century" w:eastAsiaTheme="majorEastAsia" w:hAnsi="Century" w:cstheme="majorBidi"/>
      <w:b/>
      <w:bCs/>
      <w:iCs/>
      <w:kern w:val="0"/>
      <w:sz w:val="24"/>
      <w:lang w:val="en-GB" w:eastAsia="es-ES"/>
      <w14:ligatures w14:val="none"/>
    </w:rPr>
  </w:style>
  <w:style w:type="character" w:customStyle="1" w:styleId="Heading5Char">
    <w:name w:val="Heading 5 Char"/>
    <w:basedOn w:val="DefaultParagraphFont"/>
    <w:link w:val="Heading5"/>
    <w:uiPriority w:val="9"/>
    <w:rsid w:val="005C7CBD"/>
    <w:rPr>
      <w:rFonts w:asciiTheme="majorHAnsi" w:eastAsiaTheme="majorEastAsia" w:hAnsiTheme="majorHAnsi" w:cstheme="majorBidi"/>
      <w:color w:val="1F3763" w:themeColor="accent1" w:themeShade="7F"/>
      <w:kern w:val="0"/>
      <w:sz w:val="24"/>
      <w:lang w:val="en-GB" w:eastAsia="es-ES"/>
      <w14:ligatures w14:val="none"/>
    </w:rPr>
  </w:style>
  <w:style w:type="character" w:customStyle="1" w:styleId="Heading6Char">
    <w:name w:val="Heading 6 Char"/>
    <w:basedOn w:val="DefaultParagraphFont"/>
    <w:link w:val="Heading6"/>
    <w:uiPriority w:val="9"/>
    <w:semiHidden/>
    <w:rsid w:val="005C7CBD"/>
    <w:rPr>
      <w:rFonts w:asciiTheme="majorHAnsi" w:eastAsiaTheme="majorEastAsia" w:hAnsiTheme="majorHAnsi" w:cstheme="majorBidi"/>
      <w:i/>
      <w:iCs/>
      <w:color w:val="1F3763" w:themeColor="accent1" w:themeShade="7F"/>
      <w:kern w:val="0"/>
      <w:sz w:val="24"/>
      <w:lang w:val="en-GB" w:eastAsia="es-ES"/>
      <w14:ligatures w14:val="none"/>
    </w:rPr>
  </w:style>
  <w:style w:type="character" w:customStyle="1" w:styleId="Heading7Char">
    <w:name w:val="Heading 7 Char"/>
    <w:basedOn w:val="DefaultParagraphFont"/>
    <w:link w:val="Heading7"/>
    <w:uiPriority w:val="9"/>
    <w:semiHidden/>
    <w:rsid w:val="005C7CBD"/>
    <w:rPr>
      <w:rFonts w:asciiTheme="majorHAnsi" w:eastAsiaTheme="majorEastAsia" w:hAnsiTheme="majorHAnsi" w:cstheme="majorBidi"/>
      <w:i/>
      <w:iCs/>
      <w:color w:val="404040" w:themeColor="text1" w:themeTint="BF"/>
      <w:kern w:val="0"/>
      <w:sz w:val="24"/>
      <w:lang w:val="en-GB" w:eastAsia="es-ES"/>
      <w14:ligatures w14:val="none"/>
    </w:rPr>
  </w:style>
  <w:style w:type="character" w:customStyle="1" w:styleId="Heading8Char">
    <w:name w:val="Heading 8 Char"/>
    <w:basedOn w:val="DefaultParagraphFont"/>
    <w:link w:val="Heading8"/>
    <w:uiPriority w:val="9"/>
    <w:semiHidden/>
    <w:rsid w:val="005C7CBD"/>
    <w:rPr>
      <w:rFonts w:asciiTheme="majorHAnsi" w:eastAsiaTheme="majorEastAsia" w:hAnsiTheme="majorHAnsi" w:cstheme="majorBidi"/>
      <w:color w:val="404040" w:themeColor="text1" w:themeTint="BF"/>
      <w:kern w:val="0"/>
      <w:sz w:val="20"/>
      <w:szCs w:val="20"/>
      <w:lang w:val="en-GB" w:eastAsia="es-ES"/>
      <w14:ligatures w14:val="none"/>
    </w:rPr>
  </w:style>
  <w:style w:type="character" w:customStyle="1" w:styleId="Heading9Char">
    <w:name w:val="Heading 9 Char"/>
    <w:basedOn w:val="DefaultParagraphFont"/>
    <w:link w:val="Heading9"/>
    <w:uiPriority w:val="9"/>
    <w:semiHidden/>
    <w:rsid w:val="005C7CBD"/>
    <w:rPr>
      <w:rFonts w:asciiTheme="majorHAnsi" w:eastAsiaTheme="majorEastAsia" w:hAnsiTheme="majorHAnsi" w:cstheme="majorBidi"/>
      <w:i/>
      <w:iCs/>
      <w:color w:val="404040" w:themeColor="text1" w:themeTint="BF"/>
      <w:kern w:val="0"/>
      <w:sz w:val="20"/>
      <w:szCs w:val="20"/>
      <w:lang w:val="en-GB" w:eastAsia="es-ES"/>
      <w14:ligatures w14:val="none"/>
    </w:rPr>
  </w:style>
  <w:style w:type="table" w:styleId="TableGrid">
    <w:name w:val="Table Grid"/>
    <w:basedOn w:val="TableNormal"/>
    <w:rsid w:val="005C7C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nhideWhenUsed/>
    <w:qFormat/>
    <w:rsid w:val="005C7CBD"/>
    <w:pPr>
      <w:spacing w:before="240" w:line="240" w:lineRule="auto"/>
      <w:jc w:val="center"/>
    </w:pPr>
    <w:rPr>
      <w:iCs/>
      <w:color w:val="0D0D0D" w:themeColor="text1" w:themeTint="F2"/>
      <w:sz w:val="22"/>
      <w:szCs w:val="18"/>
    </w:rPr>
  </w:style>
  <w:style w:type="character" w:customStyle="1" w:styleId="CaptionChar">
    <w:name w:val="Caption Char"/>
    <w:basedOn w:val="DefaultParagraphFont"/>
    <w:link w:val="Caption"/>
    <w:rsid w:val="005C7CBD"/>
    <w:rPr>
      <w:rFonts w:ascii="Century" w:eastAsiaTheme="minorEastAsia" w:hAnsi="Century"/>
      <w:iCs/>
      <w:color w:val="0D0D0D" w:themeColor="text1" w:themeTint="F2"/>
      <w:kern w:val="0"/>
      <w:szCs w:val="18"/>
      <w:lang w:val="en-GB" w:eastAsia="es-ES"/>
      <w14:ligatures w14:val="none"/>
    </w:rPr>
  </w:style>
  <w:style w:type="character" w:styleId="PlaceholderText">
    <w:name w:val="Placeholder Text"/>
    <w:basedOn w:val="DefaultParagraphFont"/>
    <w:uiPriority w:val="99"/>
    <w:rsid w:val="007A7CF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3402956">
      <w:bodyDiv w:val="1"/>
      <w:marLeft w:val="0"/>
      <w:marRight w:val="0"/>
      <w:marTop w:val="0"/>
      <w:marBottom w:val="0"/>
      <w:divBdr>
        <w:top w:val="none" w:sz="0" w:space="0" w:color="auto"/>
        <w:left w:val="none" w:sz="0" w:space="0" w:color="auto"/>
        <w:bottom w:val="none" w:sz="0" w:space="0" w:color="auto"/>
        <w:right w:val="none" w:sz="0" w:space="0" w:color="auto"/>
      </w:divBdr>
      <w:divsChild>
        <w:div w:id="1383214300">
          <w:marLeft w:val="640"/>
          <w:marRight w:val="0"/>
          <w:marTop w:val="0"/>
          <w:marBottom w:val="0"/>
          <w:divBdr>
            <w:top w:val="none" w:sz="0" w:space="0" w:color="auto"/>
            <w:left w:val="none" w:sz="0" w:space="0" w:color="auto"/>
            <w:bottom w:val="none" w:sz="0" w:space="0" w:color="auto"/>
            <w:right w:val="none" w:sz="0" w:space="0" w:color="auto"/>
          </w:divBdr>
        </w:div>
        <w:div w:id="2138913883">
          <w:marLeft w:val="640"/>
          <w:marRight w:val="0"/>
          <w:marTop w:val="0"/>
          <w:marBottom w:val="0"/>
          <w:divBdr>
            <w:top w:val="none" w:sz="0" w:space="0" w:color="auto"/>
            <w:left w:val="none" w:sz="0" w:space="0" w:color="auto"/>
            <w:bottom w:val="none" w:sz="0" w:space="0" w:color="auto"/>
            <w:right w:val="none" w:sz="0" w:space="0" w:color="auto"/>
          </w:divBdr>
        </w:div>
        <w:div w:id="2042634191">
          <w:marLeft w:val="640"/>
          <w:marRight w:val="0"/>
          <w:marTop w:val="0"/>
          <w:marBottom w:val="0"/>
          <w:divBdr>
            <w:top w:val="none" w:sz="0" w:space="0" w:color="auto"/>
            <w:left w:val="none" w:sz="0" w:space="0" w:color="auto"/>
            <w:bottom w:val="none" w:sz="0" w:space="0" w:color="auto"/>
            <w:right w:val="none" w:sz="0" w:space="0" w:color="auto"/>
          </w:divBdr>
        </w:div>
        <w:div w:id="1344358605">
          <w:marLeft w:val="640"/>
          <w:marRight w:val="0"/>
          <w:marTop w:val="0"/>
          <w:marBottom w:val="0"/>
          <w:divBdr>
            <w:top w:val="none" w:sz="0" w:space="0" w:color="auto"/>
            <w:left w:val="none" w:sz="0" w:space="0" w:color="auto"/>
            <w:bottom w:val="none" w:sz="0" w:space="0" w:color="auto"/>
            <w:right w:val="none" w:sz="0" w:space="0" w:color="auto"/>
          </w:divBdr>
        </w:div>
        <w:div w:id="2002197773">
          <w:marLeft w:val="640"/>
          <w:marRight w:val="0"/>
          <w:marTop w:val="0"/>
          <w:marBottom w:val="0"/>
          <w:divBdr>
            <w:top w:val="none" w:sz="0" w:space="0" w:color="auto"/>
            <w:left w:val="none" w:sz="0" w:space="0" w:color="auto"/>
            <w:bottom w:val="none" w:sz="0" w:space="0" w:color="auto"/>
            <w:right w:val="none" w:sz="0" w:space="0" w:color="auto"/>
          </w:divBdr>
        </w:div>
        <w:div w:id="151454993">
          <w:marLeft w:val="640"/>
          <w:marRight w:val="0"/>
          <w:marTop w:val="0"/>
          <w:marBottom w:val="0"/>
          <w:divBdr>
            <w:top w:val="none" w:sz="0" w:space="0" w:color="auto"/>
            <w:left w:val="none" w:sz="0" w:space="0" w:color="auto"/>
            <w:bottom w:val="none" w:sz="0" w:space="0" w:color="auto"/>
            <w:right w:val="none" w:sz="0" w:space="0" w:color="auto"/>
          </w:divBdr>
        </w:div>
        <w:div w:id="1559704862">
          <w:marLeft w:val="640"/>
          <w:marRight w:val="0"/>
          <w:marTop w:val="0"/>
          <w:marBottom w:val="0"/>
          <w:divBdr>
            <w:top w:val="none" w:sz="0" w:space="0" w:color="auto"/>
            <w:left w:val="none" w:sz="0" w:space="0" w:color="auto"/>
            <w:bottom w:val="none" w:sz="0" w:space="0" w:color="auto"/>
            <w:right w:val="none" w:sz="0" w:space="0" w:color="auto"/>
          </w:divBdr>
        </w:div>
        <w:div w:id="1641304194">
          <w:marLeft w:val="640"/>
          <w:marRight w:val="0"/>
          <w:marTop w:val="0"/>
          <w:marBottom w:val="0"/>
          <w:divBdr>
            <w:top w:val="none" w:sz="0" w:space="0" w:color="auto"/>
            <w:left w:val="none" w:sz="0" w:space="0" w:color="auto"/>
            <w:bottom w:val="none" w:sz="0" w:space="0" w:color="auto"/>
            <w:right w:val="none" w:sz="0" w:space="0" w:color="auto"/>
          </w:divBdr>
        </w:div>
        <w:div w:id="848562175">
          <w:marLeft w:val="640"/>
          <w:marRight w:val="0"/>
          <w:marTop w:val="0"/>
          <w:marBottom w:val="0"/>
          <w:divBdr>
            <w:top w:val="none" w:sz="0" w:space="0" w:color="auto"/>
            <w:left w:val="none" w:sz="0" w:space="0" w:color="auto"/>
            <w:bottom w:val="none" w:sz="0" w:space="0" w:color="auto"/>
            <w:right w:val="none" w:sz="0" w:space="0" w:color="auto"/>
          </w:divBdr>
        </w:div>
        <w:div w:id="1394549657">
          <w:marLeft w:val="640"/>
          <w:marRight w:val="0"/>
          <w:marTop w:val="0"/>
          <w:marBottom w:val="0"/>
          <w:divBdr>
            <w:top w:val="none" w:sz="0" w:space="0" w:color="auto"/>
            <w:left w:val="none" w:sz="0" w:space="0" w:color="auto"/>
            <w:bottom w:val="none" w:sz="0" w:space="0" w:color="auto"/>
            <w:right w:val="none" w:sz="0" w:space="0" w:color="auto"/>
          </w:divBdr>
        </w:div>
        <w:div w:id="979461088">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6611465D82E4FC1B4D810EBD0C2E829"/>
        <w:category>
          <w:name w:val="General"/>
          <w:gallery w:val="placeholder"/>
        </w:category>
        <w:types>
          <w:type w:val="bbPlcHdr"/>
        </w:types>
        <w:behaviors>
          <w:behavior w:val="content"/>
        </w:behaviors>
        <w:guid w:val="{37704FAD-DAAB-40F2-ADF4-E0D7F1C1A184}"/>
      </w:docPartPr>
      <w:docPartBody>
        <w:p w:rsidR="00567E7E" w:rsidRDefault="00567E7E" w:rsidP="00567E7E">
          <w:pPr>
            <w:pStyle w:val="26611465D82E4FC1B4D810EBD0C2E829"/>
          </w:pPr>
          <w:r w:rsidRPr="008B3C4E">
            <w:rPr>
              <w:rStyle w:val="PlaceholderText"/>
            </w:rPr>
            <w:t>Click or tap here to enter text.</w:t>
          </w:r>
        </w:p>
      </w:docPartBody>
    </w:docPart>
    <w:docPart>
      <w:docPartPr>
        <w:name w:val="2EE3E77AC13A469FAC8DB02748450077"/>
        <w:category>
          <w:name w:val="General"/>
          <w:gallery w:val="placeholder"/>
        </w:category>
        <w:types>
          <w:type w:val="bbPlcHdr"/>
        </w:types>
        <w:behaviors>
          <w:behavior w:val="content"/>
        </w:behaviors>
        <w:guid w:val="{1DDE6E9D-9AD2-40CE-A9F5-9E5314BA9997}"/>
      </w:docPartPr>
      <w:docPartBody>
        <w:p w:rsidR="00567E7E" w:rsidRDefault="00567E7E" w:rsidP="00567E7E">
          <w:pPr>
            <w:pStyle w:val="2EE3E77AC13A469FAC8DB02748450077"/>
          </w:pPr>
          <w:r w:rsidRPr="008B3C4E">
            <w:rPr>
              <w:rStyle w:val="PlaceholderText"/>
            </w:rPr>
            <w:t>Click or tap here to enter text.</w:t>
          </w:r>
        </w:p>
      </w:docPartBody>
    </w:docPart>
    <w:docPart>
      <w:docPartPr>
        <w:name w:val="2727A5CAAA674B269BC72208A8CCD404"/>
        <w:category>
          <w:name w:val="General"/>
          <w:gallery w:val="placeholder"/>
        </w:category>
        <w:types>
          <w:type w:val="bbPlcHdr"/>
        </w:types>
        <w:behaviors>
          <w:behavior w:val="content"/>
        </w:behaviors>
        <w:guid w:val="{F560219F-346D-4282-8F06-AA3988631A34}"/>
      </w:docPartPr>
      <w:docPartBody>
        <w:p w:rsidR="00567E7E" w:rsidRDefault="00567E7E" w:rsidP="00567E7E">
          <w:pPr>
            <w:pStyle w:val="2727A5CAAA674B269BC72208A8CCD404"/>
          </w:pPr>
          <w:r w:rsidRPr="008B3C4E">
            <w:rPr>
              <w:rStyle w:val="PlaceholderText"/>
            </w:rPr>
            <w:t>Click or tap here to enter text.</w:t>
          </w:r>
        </w:p>
      </w:docPartBody>
    </w:docPart>
    <w:docPart>
      <w:docPartPr>
        <w:name w:val="6331A607D71543618E8517BAB9A09569"/>
        <w:category>
          <w:name w:val="General"/>
          <w:gallery w:val="placeholder"/>
        </w:category>
        <w:types>
          <w:type w:val="bbPlcHdr"/>
        </w:types>
        <w:behaviors>
          <w:behavior w:val="content"/>
        </w:behaviors>
        <w:guid w:val="{5D05A198-3B91-47FA-A7D8-6784A525F6D4}"/>
      </w:docPartPr>
      <w:docPartBody>
        <w:p w:rsidR="00567E7E" w:rsidRDefault="00567E7E" w:rsidP="00567E7E">
          <w:pPr>
            <w:pStyle w:val="6331A607D71543618E8517BAB9A09569"/>
          </w:pPr>
          <w:r w:rsidRPr="008B3C4E">
            <w:rPr>
              <w:rStyle w:val="PlaceholderText"/>
            </w:rPr>
            <w:t>Click or tap here to enter text.</w:t>
          </w:r>
        </w:p>
      </w:docPartBody>
    </w:docPart>
    <w:docPart>
      <w:docPartPr>
        <w:name w:val="0FDEC4AD02904D0FADBC7D00361CA532"/>
        <w:category>
          <w:name w:val="General"/>
          <w:gallery w:val="placeholder"/>
        </w:category>
        <w:types>
          <w:type w:val="bbPlcHdr"/>
        </w:types>
        <w:behaviors>
          <w:behavior w:val="content"/>
        </w:behaviors>
        <w:guid w:val="{D4CFDE5C-F6CB-484A-82DB-9A3CBE3782D5}"/>
      </w:docPartPr>
      <w:docPartBody>
        <w:p w:rsidR="00567E7E" w:rsidRDefault="00567E7E" w:rsidP="00567E7E">
          <w:pPr>
            <w:pStyle w:val="0FDEC4AD02904D0FADBC7D00361CA532"/>
          </w:pPr>
          <w:r w:rsidRPr="008B3C4E">
            <w:rPr>
              <w:rStyle w:val="PlaceholderText"/>
            </w:rPr>
            <w:t>Click or tap here to enter text.</w:t>
          </w:r>
        </w:p>
      </w:docPartBody>
    </w:docPart>
    <w:docPart>
      <w:docPartPr>
        <w:name w:val="63C4942ABBDC429EAF474892EB6C5FD7"/>
        <w:category>
          <w:name w:val="General"/>
          <w:gallery w:val="placeholder"/>
        </w:category>
        <w:types>
          <w:type w:val="bbPlcHdr"/>
        </w:types>
        <w:behaviors>
          <w:behavior w:val="content"/>
        </w:behaviors>
        <w:guid w:val="{6C6E7525-D30B-4272-80C0-0136F3DE1104}"/>
      </w:docPartPr>
      <w:docPartBody>
        <w:p w:rsidR="00567E7E" w:rsidRDefault="00567E7E" w:rsidP="00567E7E">
          <w:pPr>
            <w:pStyle w:val="63C4942ABBDC429EAF474892EB6C5FD7"/>
          </w:pPr>
          <w:r w:rsidRPr="008B3C4E">
            <w:rPr>
              <w:rStyle w:val="PlaceholderText"/>
            </w:rPr>
            <w:t>Click or tap here to enter text.</w:t>
          </w:r>
        </w:p>
      </w:docPartBody>
    </w:docPart>
    <w:docPart>
      <w:docPartPr>
        <w:name w:val="246E14556B7D4CF9B46327EE2CC245B3"/>
        <w:category>
          <w:name w:val="General"/>
          <w:gallery w:val="placeholder"/>
        </w:category>
        <w:types>
          <w:type w:val="bbPlcHdr"/>
        </w:types>
        <w:behaviors>
          <w:behavior w:val="content"/>
        </w:behaviors>
        <w:guid w:val="{4CB49D6C-99A8-4A37-B7D9-310ACDA08C7E}"/>
      </w:docPartPr>
      <w:docPartBody>
        <w:p w:rsidR="00567E7E" w:rsidRDefault="00567E7E" w:rsidP="00567E7E">
          <w:pPr>
            <w:pStyle w:val="246E14556B7D4CF9B46327EE2CC245B3"/>
          </w:pPr>
          <w:r w:rsidRPr="00EF48A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E7E"/>
    <w:rsid w:val="00567E7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567E7E"/>
    <w:rPr>
      <w:color w:val="808080"/>
    </w:rPr>
  </w:style>
  <w:style w:type="paragraph" w:customStyle="1" w:styleId="26611465D82E4FC1B4D810EBD0C2E829">
    <w:name w:val="26611465D82E4FC1B4D810EBD0C2E829"/>
    <w:rsid w:val="00567E7E"/>
  </w:style>
  <w:style w:type="paragraph" w:customStyle="1" w:styleId="2EE3E77AC13A469FAC8DB02748450077">
    <w:name w:val="2EE3E77AC13A469FAC8DB02748450077"/>
    <w:rsid w:val="00567E7E"/>
  </w:style>
  <w:style w:type="paragraph" w:customStyle="1" w:styleId="2727A5CAAA674B269BC72208A8CCD404">
    <w:name w:val="2727A5CAAA674B269BC72208A8CCD404"/>
    <w:rsid w:val="00567E7E"/>
  </w:style>
  <w:style w:type="paragraph" w:customStyle="1" w:styleId="6331A607D71543618E8517BAB9A09569">
    <w:name w:val="6331A607D71543618E8517BAB9A09569"/>
    <w:rsid w:val="00567E7E"/>
  </w:style>
  <w:style w:type="paragraph" w:customStyle="1" w:styleId="0FDEC4AD02904D0FADBC7D00361CA532">
    <w:name w:val="0FDEC4AD02904D0FADBC7D00361CA532"/>
    <w:rsid w:val="00567E7E"/>
  </w:style>
  <w:style w:type="paragraph" w:customStyle="1" w:styleId="63C4942ABBDC429EAF474892EB6C5FD7">
    <w:name w:val="63C4942ABBDC429EAF474892EB6C5FD7"/>
    <w:rsid w:val="00567E7E"/>
  </w:style>
  <w:style w:type="paragraph" w:customStyle="1" w:styleId="246E14556B7D4CF9B46327EE2CC245B3">
    <w:name w:val="246E14556B7D4CF9B46327EE2CC245B3"/>
    <w:rsid w:val="00567E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175625-15EA-4C6C-B54F-4EFDAE397FCB}">
  <we:reference id="wa104382081" version="1.55.1.0" store="es-ES" storeType="OMEX"/>
  <we:alternateReferences>
    <we:reference id="wa104382081" version="1.55.1.0" store="" storeType="OMEX"/>
  </we:alternateReferences>
  <we:properties>
    <we:property name="MENDELEY_CITATIONS" value="[{&quot;citationID&quot;:&quot;MENDELEY_CITATION_660e15c1-ad0d-4e03-8857-36518691532a&quot;,&quot;properties&quot;:{&quot;noteIndex&quot;:0},&quot;isEdited&quot;:false,&quot;manualOverride&quot;:{&quot;isManuallyOverridden&quot;:false,&quot;citeprocText&quot;:&quot;[1]&quot;,&quot;manualOverrideText&quot;:&quot;&quot;},&quot;citationTag&quot;:&quot;MENDELEY_CITATION_v3_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&quot;,&quot;citationItems&quot;:[{&quot;id&quot;:&quot;084be54a-68d1-3b77-b6bb-74470bdd97b8&quot;,&quot;itemData&quot;:{&quot;type&quot;:&quot;article-journal&quot;,&quot;id&quot;:&quot;084be54a-68d1-3b77-b6bb-74470bdd97b8&quot;,&quot;title&quot;:&quot;Explicación tarifa indexada Som Energia&quot;,&quot;accessed&quot;:{&quot;date-parts&quot;:[[2025,8,12]]},&quot;URL&quot;:&quot;www.somenergia.coop&quot;,&quot;container-title-short&quot;:&quot;&quot;},&quot;isTemporary&quot;:false}]},{&quot;citationID&quot;:&quot;MENDELEY_CITATION_89eab1b6-3339-4505-82ff-dc6241bb3fc1&quot;,&quot;properties&quot;:{&quot;noteIndex&quot;:0},&quot;isEdited&quot;:false,&quot;manualOverride&quot;:{&quot;isManuallyOverridden&quot;:false,&quot;citeprocText&quot;:&quot;[2], [3]&quot;,&quot;manualOverrideText&quot;:&quot;&quot;},&quot;citationTag&quot;:&quot;MENDELEY_CITATION_v3_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&quot;,&quot;citationItems&quot;:[{&quot;id&quot;:&quot;bc590202-70b1-331f-865d-15c3d882d9dc&quot;,&quot;itemData&quot;:{&quot;type&quot;:&quot;webpage&quot;,&quot;id&quot;:&quot;bc590202-70b1-331f-865d-15c3d882d9dc&quot;,&quot;title&quot;:&quot;Análisis | ESIOS electricidad · datos · transparencia&quot;,&quot;accessed&quot;:{&quot;date-parts&quot;:[[2025,8,11]]},&quot;URL&quot;:&quot;https://www.esios.ree.es/es/analisis/805?vis=1&amp;start_date=01-01-2024T00%3A00&amp;end_date=31-01-2024T23%3A50&amp;compare_start_date=31-12-2023T00%3A00&amp;groupby=hour&quot;,&quot;container-title-short&quot;:&quot;&quot;},&quot;isTemporary&quot;:false},{&quot;id&quot;:&quot;976d5bc5-925b-324e-b7df-b5d5553f9223&quot;,&quot;itemData&quot;:{&quot;type&quot;:&quot;webpage&quot;,&quot;id&quot;:&quot;976d5bc5-925b-324e-b7df-b5d5553f9223&quot;,&quot;title&quot;:&quot;OMIE&quot;,&quot;accessed&quot;:{&quot;date-parts&quot;:[[2025,8,11]]},&quot;URL&quot;:&quot;https://www.omie.es/&quot;,&quot;container-title-short&quot;:&quot;&quot;},&quot;isTemporary&quot;:false}]},{&quot;citationID&quot;:&quot;MENDELEY_CITATION_dd568d8f-30b7-4bdf-9310-4f6be5cbe160&quot;,&quot;properties&quot;:{&quot;noteIndex&quot;:0},&quot;isEdited&quot;:false,&quot;manualOverride&quot;:{&quot;isManuallyOverridden&quot;:false,&quot;citeprocText&quot;:&quot;[4]&quot;,&quot;manualOverrideText&quot;:&quot;&quot;},&quot;citationTag&quot;:&quot;MENDELEY_CITATION_v3_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&quot;,&quot;citationItems&quot;:[{&quot;id&quot;:&quot;a3020ade-b707-3be0-9955-16f0285907a6&quot;,&quot;itemData&quot;:{&quot;type&quot;:&quot;webpage&quot;,&quot;id&quot;:&quot;a3020ade-b707-3be0-9955-16f0285907a6&quot;,&quot;title&quot;:&quot;BOE-A-2024-2774 Orden TED/113/2024, de 9 de febrero, por la que se establecen los precios de los cargos del sistema eléctrico y se establecen diversos costes regulados del sistema eléctrico para el ejercicio 2024.&quot;,&quot;accessed&quot;:{&quot;date-parts&quot;:[[2025,8,11]]},&quot;URL&quot;:&quot;https://www.boe.es/diario_boe/txt.php?id=BOE-A-2024-2774&quot;,&quot;container-title-short&quot;:&quot;&quot;},&quot;isTemporary&quot;:false}]},{&quot;citationID&quot;:&quot;MENDELEY_CITATION_f76b7508-41ef-41cc-a8df-c0b310c3ba77&quot;,&quot;properties&quot;:{&quot;noteIndex&quot;:0},&quot;isEdited&quot;:false,&quot;manualOverride&quot;:{&quot;isManuallyOverridden&quot;:false,&quot;citeprocText&quot;:&quot;[5]&quot;,&quot;manualOverrideText&quot;:&quot;&quot;},&quot;citationTag&quot;:&quot;MENDELEY_CITATION_v3_eyJjaXRhdGlvbklEIjoiTUVOREVMRVlfQ0lUQVRJT05fZjc2Yjc1MDgtNDFlZi00MWNjLWE4ZGYtYzBiMzEwYzNiYTc3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quot;,&quot;citationItems&quot;:[{&quot;id&quot;:&quot;bd5042a7-cbd1-31da-9a10-a068a1b965d4&quot;,&quot;itemData&quot;:{&quot;type&quot;:&quot;webpage&quot;,&quot;id&quot;:&quot;bd5042a7-cbd1-31da-9a10-a068a1b965d4&quot;,&quot;title&quot;:&quot;Descargas | ESIOS electricidad · datos · transparencia&quot;,&quot;accessed&quot;:{&quot;date-parts&quot;:[[2025,8,11]]},&quot;URL&quot;:&quot;https://www.esios.ree.es/es/descargas?date_type=publicacion&amp;start_date=01-01-2024&amp;end_date=31-01-2024&quot;,&quot;container-title-short&quot;:&quot;&quot;},&quot;isTemporary&quot;:false}]},{&quot;citationID&quot;:&quot;MENDELEY_CITATION_302b3294-e06d-4084-997d-f4c624a90bc6&quot;,&quot;properties&quot;:{&quot;noteIndex&quot;:0},&quot;isEdited&quot;:false,&quot;manualOverride&quot;:{&quot;isManuallyOverridden&quot;:false,&quot;citeprocText&quot;:&quot;[5]&quot;,&quot;manualOverrideText&quot;:&quot;&quot;},&quot;citationTag&quot;:&quot;MENDELEY_CITATION_v3_eyJjaXRhdGlvbklEIjoiTUVOREVMRVlfQ0lUQVRJT05fMzAyYjMyOTQtZTA2ZC00MDg0LTk5N2QtZjRjNjI0YTkwYmM2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quot;,&quot;citationItems&quot;:[{&quot;id&quot;:&quot;bd5042a7-cbd1-31da-9a10-a068a1b965d4&quot;,&quot;itemData&quot;:{&quot;type&quot;:&quot;webpage&quot;,&quot;id&quot;:&quot;bd5042a7-cbd1-31da-9a10-a068a1b965d4&quot;,&quot;title&quot;:&quot;Descargas | ESIOS electricidad · datos · transparencia&quot;,&quot;accessed&quot;:{&quot;date-parts&quot;:[[2025,8,11]]},&quot;URL&quot;:&quot;https://www.esios.ree.es/es/descargas?date_type=publicacion&amp;start_date=01-01-2024&amp;end_date=31-01-2024&quot;,&quot;container-title-short&quot;:&quot;&quot;},&quot;isTemporary&quot;:false}]},{&quot;citationID&quot;:&quot;MENDELEY_CITATION_b5701605-5352-4c61-8d0c-53f8771fc376&quot;,&quot;properties&quot;:{&quot;noteIndex&quot;:0},&quot;isEdited&quot;:false,&quot;manualOverride&quot;:{&quot;isManuallyOverridden&quot;:false,&quot;citeprocText&quot;:&quot;[5]&quot;,&quot;manualOverrideText&quot;:&quot;&quot;},&quot;citationTag&quot;:&quot;MENDELEY_CITATION_v3_eyJjaXRhdGlvbklEIjoiTUVOREVMRVlfQ0lUQVRJT05fYjU3MDE2MDUtNTM1Mi00YzYxLThkMGMtNTNmODc3MWZjMzc2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quot;,&quot;citationItems&quot;:[{&quot;id&quot;:&quot;bd5042a7-cbd1-31da-9a10-a068a1b965d4&quot;,&quot;itemData&quot;:{&quot;type&quot;:&quot;webpage&quot;,&quot;id&quot;:&quot;bd5042a7-cbd1-31da-9a10-a068a1b965d4&quot;,&quot;title&quot;:&quot;Descargas | ESIOS electricidad · datos · transparencia&quot;,&quot;accessed&quot;:{&quot;date-parts&quot;:[[2025,8,11]]},&quot;URL&quot;:&quot;https://www.esios.ree.es/es/descargas?date_type=publicacion&amp;start_date=01-01-2024&amp;end_date=31-01-2024&quot;,&quot;container-title-short&quot;:&quot;&quot;},&quot;isTemporary&quot;:false}]},{&quot;citationID&quot;:&quot;MENDELEY_CITATION_165543de-5ff8-49f0-b171-cc61c2a5cc11&quot;,&quot;properties&quot;:{&quot;noteIndex&quot;:0},&quot;isEdited&quot;:false,&quot;manualOverride&quot;:{&quot;isManuallyOverridden&quot;:false,&quot;citeprocText&quot;:&quot;[6]&quot;,&quot;manualOverrideText&quot;:&quot;&quot;},&quot;citationTag&quot;:&quot;MENDELEY_CITATION_v3_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&quot;,&quot;citationItems&quot;:[{&quot;id&quot;:&quot;1183bad4-12a8-31af-b7d2-3db8b40729a3&quot;,&quot;itemData&quot;:{&quot;type&quot;:&quot;webpage&quot;,&quot;id&quot;:&quot;1183bad4-12a8-31af-b7d2-3db8b40729a3&quot;,&quot;title&quot;:&quot;Històric Tarifa indexada&quot;,&quot;accessed&quot;:{&quot;date-parts&quot;:[[2025,8,12]]},&quot;URL&quot;:&quot;https://www.somenergia.coop/ca/historic-tarifa-indexada&quot;,&quot;container-title-short&quot;:&quot;&quot;},&quot;isTemporary&quot;:false}]},{&quot;citationID&quot;:&quot;MENDELEY_CITATION_57e7c1c4-551a-4c4c-aa10-53b77fe0203c&quot;,&quot;properties&quot;:{&quot;noteIndex&quot;:0},&quot;isEdited&quot;:false,&quot;manualOverride&quot;:{&quot;isManuallyOverridden&quot;:false,&quot;citeprocText&quot;:&quot;[6]&quot;,&quot;manualOverrideText&quot;:&quot;&quot;},&quot;citationTag&quot;:&quot;MENDELEY_CITATION_v3_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&quot;,&quot;citationItems&quot;:[{&quot;id&quot;:&quot;1183bad4-12a8-31af-b7d2-3db8b40729a3&quot;,&quot;itemData&quot;:{&quot;type&quot;:&quot;webpage&quot;,&quot;id&quot;:&quot;1183bad4-12a8-31af-b7d2-3db8b40729a3&quot;,&quot;title&quot;:&quot;Històric Tarifa indexada&quot;,&quot;accessed&quot;:{&quot;date-parts&quot;:[[2025,8,12]]},&quot;URL&quot;:&quot;https://www.somenergia.coop/ca/historic-tarifa-indexada&quot;,&quot;container-title-short&quot;:&quot;&quot;},&quot;isTemporary&quot;:false}]},{&quot;citationID&quot;:&quot;MENDELEY_CITATION_9804fffc-ee0c-4bcd-9f3c-6624c3d52a98&quot;,&quot;properties&quot;:{&quot;noteIndex&quot;:0},&quot;isEdited&quot;:false,&quot;manualOverride&quot;:{&quot;isManuallyOverridden&quot;:false,&quot;citeprocText&quot;:&quot;[7]&quot;,&quot;manualOverrideText&quot;:&quot;&quot;},&quot;citationTag&quot;:&quot;MENDELEY_CITATION_v3_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&quot;,&quot;citationItems&quot;:[{&quot;id&quot;:&quot;0e14559f-4522-355f-8927-e2d554986bf1&quot;,&quot;itemData&quot;:{&quot;type&quot;:&quot;article-journal&quot;,&quot;id&quot;:&quot;0e14559f-4522-355f-8927-e2d554986bf1&quot;,&quot;title&quot;:&quot;III. OTRAS DISPOSICIONES COMISIÓN NACIONAL DE LOS MERCADOS Y LA COMPETENCIA&quot;,&quot;author&quot;:[{&quot;family&quot;:&quot;Nacional Los Mercados Y La Competencia&quot;,&quot;given&quot;:&quot;Comisión&quot;,&quot;parse-names&quot;:false,&quot;dropping-particle&quot;:&quot;DE&quot;,&quot;non-dropping-particle&quot;:&quot;&quot;}],&quot;accessed&quot;:{&quot;date-parts&quot;:[[2025,8,13]]},&quot;URL&quot;:&quot;https://www.boe.es&quot;,&quot;issued&quot;:{&quot;date-parts&quot;:[[2023]]},&quot;abstract&quot;:&quot;26328 Resolución de 15 de diciembre de 2023, de la Comisión Nacional de los Mercados y la Competencia, por la que se establece la cuantía de retribución del operador del sistema eléctrico para 2024 y los precios a repercutir a los agentes para su financiación. Visto el expediente relativo al establecimiento de la retribución el operador del sistema para 2024, de conformidad con lo previsto en el artículo 17 de la Circular 4/2019, de 27 de noviembre, de la Comisión Nacional de los Mercados y la Competencia, la Sala de Supervisión Regulatoria, considerando lo siguiente: I. Antecedentes La Ley 3/2013, de 4 de junio, de creación de la Comisión Nacional de los Mercados y la Competencia, en su redacción dada por el Real Decreto-ley 1/2019, de 11 de enero, de medidas urgentes para adecuar las competencias de la Comisión Nacional de los Mercados y la Competencia a las exigencias derivadas del derecho comunitario en relación a las Directivas 2009/72/CE y 2009/73/CE del Parlamento europeo y del Consejo, de 13 de julio de 2009, sobre normas comunes para el mercado interior de la electricidad y del gas natural, establece en su artículo 7.1.i) que es función de la Comisión Nacional de los Mercados y la Competencia establecer mediante circular la metodología para el cálculo de la retribución del operador del sistema eléctrico, en función de los servicios que efectivamente preste. Dicha retribución podrá incorporar incentivos, que podrán tener signos positivos o negativos, a la reducción de costes del sistema eléctrico derivados de la operación del mismo u otros objetivos. El artículo 7.1 de la Ley 3/2013, de 4 de junio, establece que esta circular, así como los actos de ejecución y aplicación de la misma, serán publicados en el «Boletín Oficial del Estado». El preámbulo del Real Decreto-ley 1/2019, de 11 de enero, hace constar que «la retribución del operador del sistema eléctrico será establecida por la Comisión Nacional de los Mercados y la Competencia». En fecha 27 de noviembre de 2019, la Comisión Nacional de los Mercados y la Competencia aprobó la Circular 4/2019, de 27 de noviembre, por la que se establece la metodología de retribución del operador del sistema eléctrico, de acuerdo con lo establecido en el artículo 7.1.i) de la Ley 3/2013, de 4 de junio. Esta Circular fue publicada en el «Boletín Oficial del Estado» el día 3 de diciembre de 2019. Dicha Circular fue objeto de modificación por la Circular 1/2023, de 7 de febrero, de la Comisión Nacional de los Mercados y la Competencia, publicada en el «Boletín Oficial del Estado» el día 16 de febrero de 2023. Entre las modificaciones efectuadas, se revisan los incentivos de la retribución del operador del sistema y se añade el apartado 8 al artículo 9 de la cuenta regulatoria. A través de la Resolución de 15 de diciembre de 2022, de la Comisión Nacional de los Mercados y la Competencia, por la que se establece la cuantía de retribución del operador del sistema eléctrico para 2023 y los precios a repercutir a los agentes para su financiación, se establecieron los parámetros de retribución del periodo regulatorio 2023-2025 para el operador del sistema eléctrico. Respecto al importe devengado por cuenta regulatoria en el periodo 2023-2025, la Resolución de 28 de julio de 2022, de la Comisión Nacional de los Mercados y la BOLETÍN OFICIAL DEL ESTADO Núm. 308 Martes 26 de diciembre de 2023 Sec. III. Pág. 171863&quot;,&quot;container-title-short&quot;:&quot;&quot;},&quot;isTemporary&quot;:false}]},{&quot;citationID&quot;:&quot;MENDELEY_CITATION_20d79727-b044-4cd8-86f1-8f22ece0f156&quot;,&quot;properties&quot;:{&quot;noteIndex&quot;:0},&quot;isEdited&quot;:false,&quot;manualOverride&quot;:{&quot;isManuallyOverridden&quot;:false,&quot;citeprocText&quot;:&quot;[8]&quot;,&quot;manualOverrideText&quot;:&quot;&quot;},&quot;citationTag&quot;:&quot;MENDELEY_CITATION_v3_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&quot;,&quot;citationItems&quot;:[{&quot;id&quot;:&quot;37bb96a3-fef9-38bf-aa2c-bcf911d5f873&quot;,&quot;itemData&quot;:{&quot;type&quot;:&quot;article-journal&quot;,&quot;id&quot;:&quot;37bb96a3-fef9-38bf-aa2c-bcf911d5f873&quot;,&quot;title&quot;:&quot;I. DISPOSICIONES GENERALES MINISTERIO PARA LA TRANSICIÓN ECOLÓGICA Y EL RETO DEMOGRÁFICO&quot;,&quot;author&quot;:[{&quot;family&quot;:&quot;Para Transición Ecológica Y El Reto Demográfico&quot;,&quot;given&quot;:&quot;Ministerio&quot;,&quot;parse-names&quot;:false,&quot;dropping-particle&quot;:&quot;LA&quot;,&quot;non-dropping-particle&quot;:&quot;&quot;}],&quot;accessed&quot;:{&quot;date-parts&quot;:[[2025,8,13]]},&quot;URL&quot;:&quot;https://www.boe.es&quot;,&quot;issued&quot;:{&quot;date-parts&quot;:[[2024]]},&quot;abstract&quot;:&quot;2774 Orden TED/113/2024, de 9 de febrero, por la que se establecen los precios de los cargos del sistema eléctrico y se establecen diversos costes regulados del sistema eléctrico para el ejercicio 2024. I El Real Decreto-ley 1/2019, de 11 de enero, de medidas urgentes para adecuar las competencias de la Comisión Nacional de los Mercados y la Competencia a las exigencias derivadas del derecho comunitario en relación a las Directivas 2009/72/CE y 2009/73/CE del Parlamento Europeo y del Consejo, de 13 de julio de 2009, sobre normas comunes para el mercado interior de la electricidad y del gas natural, respectivamente, procedió a modificar diversos apartados de la Ley 24/2013, de 26 de diciembre, del Sector Eléctrico, así como de la Ley 3/2013, de 4 de junio, de creación de la Comisión Nacional de los Mercados y la Competencia. En concreto, a través de la modificación operada por el referido real decreto-ley sobre el artículo 7.1 de la Ley 3/2013, de 4 de junio, se atribuye a esa Comisión la potestad para establecer mediante circular la estructura y la metodología para el cálculo de los peajes de acceso a las redes de electricidad destinados a cubrir la retribución del transporte y la distribución. En virtud de lo anterior, la Comisión Nacional de los Mercados y la Competencia aprobó la Circular 3/2020, de 15 de enero, por la que se establece la metodología para el cálculo de los peajes de transporte y distribución de electricidad. Del mismo modo, de acuerdo con la modificación introducida por el Real Decreto-ley 1/2019, de 11 de enero, en el artículo 3.7 de la Ley 24/2013, de 26 de diciembre, del Sector Eléctrico, se establece que la Administración General del Estado regulará la estructura de los cargos por costes regulados y de los cargos necesarios para cubrir otros costes del sistema, así como establecer los criterios para el otorgamiento de garantías por los sujetos que corresponda y fijar, en su caso, el precio voluntario para el pequeño consumidor como precio máximo del suministro de energía eléctrica a los consumidores que reglamentariamente se determinen. En virtud de lo anterior, se ha aprobado el Real Decreto 148/2021, de 9 de marzo de 2021, por el que se establece la metodología de cálculo de los cargos del sistema eléctrico. Ambas normas (la Circular 3/2020, de 15 de enero, y el Real Decreto 148/2021, de 9 de marzo) se constituyen como el marco regulador de la estructura y composición de la denominada parte regulada de la factura eléctrica, y su efectiva implementación (mediante la aprobación de los precios unitarios de los peajes de acceso y de los cargos del sistema eléctrico) permiten garantizar la sostenibilidad económica y financiera del sistema, asegurando la dotación de medios económicos suficientes para financiar aspectos tan fundamentales como son los costes de las redes de transporte y distribución, las políticas de promoción de tecnologías de producción de energía eléctrica basadas en fuentes de energías renovables, o la financiación parcial de los extracostes de la actividad de producción en los sistemas eléctricos en los territorios no peninsulares. Tras la implementación, por primera vez, de la nueva estructura de peajes y cargos el 1 de junio de 2021, coincidiendo con la entrada en vigor de la Resolución de 18 de marzo de 2021, de la Comisión Nacional de los Mercados y la Competencia, por la que se establecen los valores de los peajes de acceso a las redes de transporte y distribución de electricidad de aplicación a partir del 1 de junio de 2021, y de la Orden BOLETÍN OFICIAL DEL ESTADO Núm. 39 Miércoles 14 de febrero de 2024 Sec. I. Pág. 17321&quot;,&quot;container-title-short&quot;:&quot;&quot;},&quot;isTemporary&quot;:false}]},{&quot;citationID&quot;:&quot;MENDELEY_CITATION_9b604766-33f3-44d2-8f4b-d988febbc788&quot;,&quot;properties&quot;:{&quot;noteIndex&quot;:0},&quot;isEdited&quot;:false,&quot;manualOverride&quot;:{&quot;isManuallyOverridden&quot;:false,&quot;citeprocText&quot;:&quot;[9]&quot;,&quot;manualOverrideText&quot;:&quot;&quot;},&quot;citationTag&quot;:&quot;MENDELEY_CITATION_v3_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&quot;,&quot;citationItems&quot;:[{&quot;id&quot;:&quot;aad95458-a30f-3fd0-8340-799b370543d5&quot;,&quot;itemData&quot;:{&quot;type&quot;:&quot;article-journal&quot;,&quot;id&quot;:&quot;aad95458-a30f-3fd0-8340-799b370543d5&quot;,&quot;title&quot;:&quot;BOLETÍN OFICIAL DEL ESTADO COMISIÓN NACIONAL DE LOS MERCADOS Y LA COMPETENCIA&quot;,&quot;author&quot;:[{&quot;family&quot;:&quot;Núm&quot;,&quot;given&quot;:&quot;&quot;,&quot;parse-names&quot;:false,&quot;dropping-particle&quot;:&quot;&quot;,&quot;non-dropping-particle&quot;:&quot;&quot;}],&quot;accessed&quot;:{&quot;date-parts&quot;:[[2025,10,24]]},&quot;URL&quot;:&quot;https://www.boe.es&quot;,&quot;abstract&quot;:&quot;1066 Circular 3/2020, de 15 de enero, de la Comisión Nacional de los Mercados y la Competencia, por la que se establece la metodología para el cálculo de los peajes de transporte y distribución de electricidad. El Real Decreto-ley 1/2019, de 11 de enero, de medidas urgentes para adecuar las competencias de la Comisión Nacional de los Mercados y la Competencia a las exigencias derivadas del derecho comunitario en relación a las Directivas 2009/72/CE y 2009/73/CE del Parlamento Europeo y del Consejo, de 13 de julio de 2009, sobre normas comunes para el mercado interior de la electricidad y del gas natural, modificó, a estos efectos, la Ley 3/2013, de 4 de junio, de creación de la Comisión Nacional de los Mercados y la Competencia y la Ley 24/2013, de 26 de diciembre, del Sector Eléctrico, a fin de transferir a la Comisión Nacional de los Mercados y la Competencia las competencias dadas al regulador en la normativa europea. A través de dicha modificación, la Ley 3/2013, de 4 de junio, citada, asignó a la Comisión Nacional de los Mercados y la Competencia la función de establecer mediante circular, previo trámite de audiencia y siguiendo criterios de eficiencia económica, transparencia, objetividad y no discriminación, la estructura y metodología para el cálculo de la parte de los peajes de acceso a las redes de electricidad destinados a cubrir la retribución del transporte y distribución, respetando el principio de sostenibilidad económica y financiera del sistema eléctrico de conformidad con la Ley 24/2013, de 26 de diciembre. La Ley 24/2013, de 26 de diciembre, modificó el marco tarifario establecido en la Ley 54/1997, de 27 de noviembre. En particular, diferenció los peajes de acceso destinados a cubrir la retribución de las actividades de transporte y distribución de energía eléctrica, en línea con lo dispuesto en la Directiva 2009/72/CE, de los cargos destinados a cubrir el resto de los costes regulados. El artículo 9 de la Ley 24/2013, de 26 de diciembre, establece que la energía autoconsumida de origen renovable, cogeneración o residuos estará exenta de todo tipo de cargos y peajes. En caso de que se produzca una transferencia de energía a través de la red de distribución en instalaciones próximas a efectos de autoconsumo, se podrán establecer las cantidades que resulten de aplicación por el uso de dicha red de distribución. Los excedentes de las instalaciones de generación asociadas al autoconsumo estarán sometidos al mismo tratamiento que la energía producida por el resto de las instalaciones de producción, al igual que los déficits de energía que los autoconsumidores adquieran a través de la red de transporte o distribución estarán sometidos al mismo tratamiento que los del resto de consumidores. El artículo 16 de la Ley 24/2013, de 26 de diciembre, dispone que la Comisión Nacional de los Mercados y la Competencia establecerá, mediante circular, la metodología para el establecimiento de los peajes de acceso a las redes de transporte y distribución que deberán satisfacer los usuarios de las mismas. Asimismo, señala que los peajes serán únicos en todo el territorio nacional, que no incluirán ningún tipo de impuestos y que, con carácter general, se actualizarán anualmente. A tal fin, las empresas que realicen las actividades con retribución regulada facilitarán a la Comisión Nacional de los Mercados y la Competencia cuanta información sea necesaria. Por último, señala que la Comisión Nacional de los Mercados y la Competencia aprobará los peajes mediante resolución que se publicará en el «Boletín Oficial del Estado».&quot;,&quot;container-title-short&quot;:&quot;&quot;},&quot;isTemporary&quot;:false}]},{&quot;citationID&quot;:&quot;MENDELEY_CITATION_123a263b-6b8c-4c4d-961b-a929f944ad08&quot;,&quot;properties&quot;:{&quot;noteIndex&quot;:0},&quot;isEdited&quot;:false,&quot;manualOverride&quot;:{&quot;isManuallyOverridden&quot;:false,&quot;citeprocText&quot;:&quot;[5]&quot;,&quot;manualOverrideText&quot;:&quot;&quot;},&quot;citationTag&quot;:&quot;MENDELEY_CITATION_v3_eyJjaXRhdGlvbklEIjoiTUVOREVMRVlfQ0lUQVRJT05fMTIzYTI2M2ItNmI4Yy00YzRkLTk2MWItYTkyOWY5NDRhZDA4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quot;,&quot;citationItems&quot;:[{&quot;id&quot;:&quot;bd5042a7-cbd1-31da-9a10-a068a1b965d4&quot;,&quot;itemData&quot;:{&quot;type&quot;:&quot;webpage&quot;,&quot;id&quot;:&quot;bd5042a7-cbd1-31da-9a10-a068a1b965d4&quot;,&quot;title&quot;:&quot;Descargas | ESIOS electricidad · datos · transparencia&quot;,&quot;accessed&quot;:{&quot;date-parts&quot;:[[2025,8,11]]},&quot;URL&quot;:&quot;https://www.esios.ree.es/es/descargas?date_type=publicacion&amp;start_date=01-01-2024&amp;end_date=31-01-2024&quot;,&quot;container-title-short&quot;:&quot;&quot;},&quot;isTemporary&quot;:false}]},{&quot;citationID&quot;:&quot;MENDELEY_CITATION_42442895-caca-4508-877c-998188d95516&quot;,&quot;properties&quot;:{&quot;noteIndex&quot;:0},&quot;isEdited&quot;:false,&quot;manualOverride&quot;:{&quot;isManuallyOverridden&quot;:false,&quot;citeprocText&quot;:&quot;[5]&quot;,&quot;manualOverrideText&quot;:&quot;&quot;},&quot;citationTag&quot;:&quot;MENDELEY_CITATION_v3_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&quot;,&quot;citationItems&quot;:[{&quot;id&quot;:&quot;bd5042a7-cbd1-31da-9a10-a068a1b965d4&quot;,&quot;itemData&quot;:{&quot;type&quot;:&quot;webpage&quot;,&quot;id&quot;:&quot;bd5042a7-cbd1-31da-9a10-a068a1b965d4&quot;,&quot;title&quot;:&quot;Descargas | ESIOS electricidad · datos · transparencia&quot;,&quot;accessed&quot;:{&quot;date-parts&quot;:[[2025,8,11]]},&quot;URL&quot;:&quot;https://www.esios.ree.es/es/descargas?date_type=publicacion&amp;start_date=01-01-2024&amp;end_date=31-01-2024&quot;,&quot;container-title-short&quot;:&quot;&quot;},&quot;isTemporary&quot;:false}]},{&quot;citationID&quot;:&quot;MENDELEY_CITATION_c506fee3-232e-4e50-9a3f-26d63858922d&quot;,&quot;properties&quot;:{&quot;noteIndex&quot;:0},&quot;isEdited&quot;:false,&quot;manualOverride&quot;:{&quot;isManuallyOverridden&quot;:false,&quot;citeprocText&quot;:&quot;[10]&quot;,&quot;manualOverrideText&quot;:&quot;&quot;},&quot;citationTag&quot;:&quot;MENDELEY_CITATION_v3_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&quot;,&quot;citationItems&quot;:[{&quot;id&quot;:&quot;bd37c966-64c7-3568-b7fe-db009ac7b6e8&quot;,&quot;itemData&quot;:{&quot;type&quot;:&quot;article-journal&quot;,&quot;id&quot;:&quot;bd37c966-64c7-3568-b7fe-db009ac7b6e8&quot;,&quot;title&quot;:&quot;I. DISPOSICIONES GENERALES MINISTERIO PARA LA TRANSICIÓN ECOLÓGICA Y EL RETO DEMOGRÁFICO 5841&quot;,&quot;author&quot;:[{&quot;family&quot;:&quot;Para Transición Ecológica Y El Reto Demográfico&quot;,&quot;given&quot;:&quot;Ministerio&quot;,&quot;parse-names&quot;:false,&quot;dropping-particle&quot;:&quot;LA&quot;,&quot;non-dropping-particle&quot;:&quot;&quot;}],&quot;accessed&quot;:{&quot;date-parts&quot;:[[2025,8,13]]},&quot;URL&quot;:&quot;https://www.boe.es&quot;,&quot;issued&quot;:{&quot;date-parts&quot;:[[2024]]},&quot;container-title-short&quot;:&quot;&quot;},&quot;isTemporary&quot;:false}]},{&quot;citationID&quot;:&quot;MENDELEY_CITATION_4db3187c-1949-4efc-904b-f0b1167c4be7&quot;,&quot;properties&quot;:{&quot;noteIndex&quot;:0},&quot;isEdited&quot;:false,&quot;manualOverride&quot;:{&quot;isManuallyOverridden&quot;:false,&quot;citeprocText&quot;:&quot;[6]&quot;,&quot;manualOverrideText&quot;:&quot;&quot;},&quot;citationTag&quot;:&quot;MENDELEY_CITATION_v3_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&quot;,&quot;citationItems&quot;:[{&quot;id&quot;:&quot;1183bad4-12a8-31af-b7d2-3db8b40729a3&quot;,&quot;itemData&quot;:{&quot;type&quot;:&quot;webpage&quot;,&quot;id&quot;:&quot;1183bad4-12a8-31af-b7d2-3db8b40729a3&quot;,&quot;title&quot;:&quot;Històric Tarifa indexada&quot;,&quot;accessed&quot;:{&quot;date-parts&quot;:[[2025,8,12]]},&quot;URL&quot;:&quot;https://www.somenergia.coop/ca/historic-tarifa-indexada&quot;,&quot;container-title-short&quot;:&quot;&quot;},&quot;isTemporary&quot;:false}]},{&quot;citationID&quot;:&quot;MENDELEY_CITATION_a12aa5a3-01a9-41e3-8bd4-f9cf86b275d6&quot;,&quot;properties&quot;:{&quot;noteIndex&quot;:0},&quot;isEdited&quot;:false,&quot;manualOverride&quot;:{&quot;isManuallyOverridden&quot;:false,&quot;citeprocText&quot;:&quot;[11]&quot;,&quot;manualOverrideText&quot;:&quot;&quot;},&quot;citationTag&quot;:&quot;MENDELEY_CITATION_v3_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&quot;,&quot;citationItems&quot;:[{&quot;id&quot;:&quot;fa7ce2de-5198-327d-867a-e74d5f77e703&quot;,&quot;itemData&quot;:{&quot;type&quot;:&quot;article-journal&quot;,&quot;id&quot;:&quot;fa7ce2de-5198-327d-867a-e74d5f77e703&quot;,&quot;title&quot;:&quot;III. OTRAS DISPOSICIONES COMISIÓN NACIONAL DE LOS MERCADOS Y LA COMPETENCIA&quot;,&quot;author&quot;:[{&quot;family&quot;:&quot;Nacional Los Mercados Y La Competencia&quot;,&quot;given&quot;:&quot;Comisión&quot;,&quot;parse-names&quot;:false,&quot;dropping-particle&quot;:&quot;DE&quot;,&quot;non-dropping-particle&quot;:&quot;&quot;}],&quot;accessed&quot;:{&quot;date-parts&quot;:[[2025,8,13]]},&quot;URL&quot;:&quot;https://www.boe.es&quot;,&quot;issued&quot;:{&quot;date-parts&quot;:[[2024]]},&quot;abstract&quot;:&quot;Mercados y la Competencia, por la que se establecen los valores de los peajes de acceso a las redes de transporte y distribución de electricidad de aplicación a partir del 1 de enero de 2025. La Sala de Supervisión Regulatoria de la Comisión Nacional de los Mercados y la Competencia, en su sesión de 3 de diciembre de 2024, previo trámite de audiencia y de acuerdo con la función establecida en el artículo 7.1 bis de la Ley 3/2013, de 4 de junio, de creación de la Comisión Nacional de los Mercados y la Competencia, y de conformidad con lo previsto en el artículo 13 de la Circular 3/2020, de 15 de diciembre, de la Comisión Nacional de los Mercados y la Competencia, resuelve lo siguiente: I. Antecedentes La Ley 3/2013, de 4 de junio, de creación de la Comisión Nacional de los Mercados y la Competencia, en su redacción dada por el Real Decreto-ley 1/2019, de 11 de enero, de medidas urgentes para adecuar las competencias de la Comisión Nacional de los Mercados y la Competencia a las exigencias derivadas del derecho comunitario en relación a las Directivas 2009/72/CE y 2009/73/CE del Parlamento Europeo y del Consejo, de 13 de julio de 2009, sobre normas comunes para el mercado interior de la electricidad y del gas natural, establece en su artículo 7.1.a) que es función de la Comisión Nacional de los Mercados y la Competencia establecer mediante circular la metodología, previo trámite de audiencia y con criterios de eficiencia económica, transparencia, objetividad y no discriminación y de acuerdo con las orientaciones de política energética, para el cálculo de los peajes de acceso a las redes de electricidad destinados a cubrir la retribución del transporte y la distribución de energía eléctrica. En el ejercicio de esta competencia el pasado 24 de enero de 2020 fue publicada en el «Boletín Oficial del Estado» la Circular 3/2020, de 15 de enero, por la que se establece la metodología para el cálculo de los peajes de transporte y distribución de electricidad. Por otra parte, en el ejercicio de las competencias asignadas a la Comisión Nacional de los Mercados y la Competencia en el artículo 7.1.g) de la Ley 3/2013, de 4 de junio, fueron aprobadas la Circular 5/2019, de 5 de diciembre, por la que se establece la metodología para el cálculo de la retribución de la actividad de transporte de energía eléctrica y la Circular 6/2019, de 5 de diciembre, por la que se establece la metodología para el cálculo de la retribución de la actividad de distribución de energía eléctrica. Estas Circulares fueron publicadas en el «Boletín Oficial del Estado» del día 19 de diciembre de 2019. Conforme al artículo 7.1 bis de la Ley 3/2013, de 4 de junio, y el artículo 13 de la citada Circular 3/2020, de 15 de enero, la Comisión Nacional de los Mercados y la Competencia, previo trámite de audiencia, calculará anualmente y publicará en el «Boletín Oficial del Estado» mediante resolución los valores de los peajes de acceso a las redes de transporte y distribución, así como la cuantía de la retribución de las actividades de transporte y distribución de electricidad. En relación con los peajes de acceso a las redes, han sido publicadas la Resolución de 18 de marzo de 2021, de la Comisión Nacional de los Mercados y la Competencia, por la que se establecen los valores de los peajes de acceso a las redes de transporte y distribución de electricidad de aplicación a partir del 1 de junio de 2021; la Resolución BOLETÍN OFICIAL DEL ESTADO Núm. 302 Lunes 16 de diciembre de 2024 Sec. III. Pág. 172719&quot;,&quot;container-title-short&quot;:&quot;&quot;},&quot;isTemporary&quot;:false}]},{&quot;citationID&quot;:&quot;MENDELEY_CITATION_4d961018-ab38-41b9-8cc2-50b957b4adf6&quot;,&quot;properties&quot;:{&quot;noteIndex&quot;:0},&quot;isEdited&quot;:false,&quot;manualOverride&quot;:{&quot;isManuallyOverridden&quot;:false,&quot;citeprocText&quot;:&quot;[8]&quot;,&quot;manualOverrideText&quot;:&quot;&quot;},&quot;citationTag&quot;:&quot;MENDELEY_CITATION_v3_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&quot;,&quot;citationItems&quot;:[{&quot;id&quot;:&quot;37bb96a3-fef9-38bf-aa2c-bcf911d5f873&quot;,&quot;itemData&quot;:{&quot;type&quot;:&quot;article-journal&quot;,&quot;id&quot;:&quot;37bb96a3-fef9-38bf-aa2c-bcf911d5f873&quot;,&quot;title&quot;:&quot;I. DISPOSICIONES GENERALES MINISTERIO PARA LA TRANSICIÓN ECOLÓGICA Y EL RETO DEMOGRÁFICO&quot;,&quot;author&quot;:[{&quot;family&quot;:&quot;Para Transición Ecológica Y El Reto Demográfico&quot;,&quot;given&quot;:&quot;Ministerio&quot;,&quot;parse-names&quot;:false,&quot;dropping-particle&quot;:&quot;LA&quot;,&quot;non-dropping-particle&quot;:&quot;&quot;}],&quot;accessed&quot;:{&quot;date-parts&quot;:[[2025,8,13]]},&quot;URL&quot;:&quot;https://www.boe.es&quot;,&quot;issued&quot;:{&quot;date-parts&quot;:[[2024]]},&quot;abstract&quot;:&quot;2774 Orden TED/113/2024, de 9 de febrero, por la que se establecen los precios de los cargos del sistema eléctrico y se establecen diversos costes regulados del sistema eléctrico para el ejercicio 2024. I El Real Decreto-ley 1/2019, de 11 de enero, de medidas urgentes para adecuar las competencias de la Comisión Nacional de los Mercados y la Competencia a las exigencias derivadas del derecho comunitario en relación a las Directivas 2009/72/CE y 2009/73/CE del Parlamento Europeo y del Consejo, de 13 de julio de 2009, sobre normas comunes para el mercado interior de la electricidad y del gas natural, respectivamente, procedió a modificar diversos apartados de la Ley 24/2013, de 26 de diciembre, del Sector Eléctrico, así como de la Ley 3/2013, de 4 de junio, de creación de la Comisión Nacional de los Mercados y la Competencia. En concreto, a través de la modificación operada por el referido real decreto-ley sobre el artículo 7.1 de la Ley 3/2013, de 4 de junio, se atribuye a esa Comisión la potestad para establecer mediante circular la estructura y la metodología para el cálculo de los peajes de acceso a las redes de electricidad destinados a cubrir la retribución del transporte y la distribución. En virtud de lo anterior, la Comisión Nacional de los Mercados y la Competencia aprobó la Circular 3/2020, de 15 de enero, por la que se establece la metodología para el cálculo de los peajes de transporte y distribución de electricidad. Del mismo modo, de acuerdo con la modificación introducida por el Real Decreto-ley 1/2019, de 11 de enero, en el artículo 3.7 de la Ley 24/2013, de 26 de diciembre, del Sector Eléctrico, se establece que la Administración General del Estado regulará la estructura de los cargos por costes regulados y de los cargos necesarios para cubrir otros costes del sistema, así como establecer los criterios para el otorgamiento de garantías por los sujetos que corresponda y fijar, en su caso, el precio voluntario para el pequeño consumidor como precio máximo del suministro de energía eléctrica a los consumidores que reglamentariamente se determinen. En virtud de lo anterior, se ha aprobado el Real Decreto 148/2021, de 9 de marzo de 2021, por el que se establece la metodología de cálculo de los cargos del sistema eléctrico. Ambas normas (la Circular 3/2020, de 15 de enero, y el Real Decreto 148/2021, de 9 de marzo) se constituyen como el marco regulador de la estructura y composición de la denominada parte regulada de la factura eléctrica, y su efectiva implementación (mediante la aprobación de los precios unitarios de los peajes de acceso y de los cargos del sistema eléctrico) permiten garantizar la sostenibilidad económica y financiera del sistema, asegurando la dotación de medios económicos suficientes para financiar aspectos tan fundamentales como son los costes de las redes de transporte y distribución, las políticas de promoción de tecnologías de producción de energía eléctrica basadas en fuentes de energías renovables, o la financiación parcial de los extracostes de la actividad de producción en los sistemas eléctricos en los territorios no peninsulares. Tras la implementación, por primera vez, de la nueva estructura de peajes y cargos el 1 de junio de 2021, coincidiendo con la entrada en vigor de la Resolución de 18 de marzo de 2021, de la Comisión Nacional de los Mercados y la Competencia, por la que se establecen los valores de los peajes de acceso a las redes de transporte y distribución de electricidad de aplicación a partir del 1 de junio de 2021, y de la Orden BOLETÍN OFICIAL DEL ESTADO Núm. 39 Miércoles 14 de febrero de 2024 Sec. I. Pág. 17321&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8246967717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9909C-B3CD-4CA0-BCE4-679E360E5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1701</Words>
  <Characters>9358</Characters>
  <Application>Microsoft Office Word</Application>
  <DocSecurity>0</DocSecurity>
  <Lines>77</Lines>
  <Paragraphs>22</Paragraphs>
  <ScaleCrop>false</ScaleCrop>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LOPEZ DE CEBALLOS REGIFE</dc:creator>
  <cp:keywords/>
  <dc:description/>
  <cp:lastModifiedBy>ALICIA LOPEZ DE CEBALLOS REGIFE</cp:lastModifiedBy>
  <cp:revision>2</cp:revision>
  <dcterms:created xsi:type="dcterms:W3CDTF">2026-06-26T10:25:00Z</dcterms:created>
  <dcterms:modified xsi:type="dcterms:W3CDTF">2026-06-26T10:28:00Z</dcterms:modified>
</cp:coreProperties>
</file>