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87BE" w14:textId="77777777" w:rsidR="00154580" w:rsidRDefault="00154580">
      <w:pPr>
        <w:pStyle w:val="Ttulo"/>
        <w:jc w:val="center"/>
        <w:rPr>
          <w:sz w:val="36"/>
          <w:szCs w:val="36"/>
          <w:lang w:eastAsia="es-CL"/>
        </w:rPr>
      </w:pPr>
      <w:r>
        <w:rPr>
          <w:b/>
          <w:bCs/>
          <w:sz w:val="36"/>
          <w:szCs w:val="36"/>
        </w:rPr>
        <w:t>INFORME TÉCNICO, PROPUESTA DE DESARROLLO Y CONDICIONES CONTRACTUALES</w:t>
      </w:r>
    </w:p>
    <w:p w14:paraId="51D1A5F6" w14:textId="77777777" w:rsidR="00154580" w:rsidRDefault="00154580">
      <w:pPr>
        <w:pStyle w:val="Subttulo"/>
        <w:jc w:val="center"/>
        <w:rPr>
          <w:lang w:eastAsia="es-CL"/>
        </w:rPr>
      </w:pPr>
      <w:r>
        <w:rPr>
          <w:b/>
          <w:bCs/>
        </w:rPr>
        <w:t>Proyecto:</w:t>
      </w:r>
      <w:r>
        <w:t xml:space="preserve"> Plataforma </w:t>
      </w:r>
      <w:proofErr w:type="spellStart"/>
      <w:r>
        <w:t>Ecommerce</w:t>
      </w:r>
      <w:proofErr w:type="spellEnd"/>
      <w:r>
        <w:t xml:space="preserve"> Personalizada</w:t>
      </w:r>
    </w:p>
    <w:p w14:paraId="3271C794" w14:textId="77777777" w:rsidR="00154580" w:rsidRDefault="00154580">
      <w:pPr>
        <w:rPr>
          <w:lang w:eastAsia="es-CL"/>
        </w:rPr>
      </w:pPr>
      <w:r>
        <w:rPr>
          <w:b/>
          <w:bCs/>
        </w:rPr>
        <w:t>Cliente:</w:t>
      </w:r>
      <w:r>
        <w:t xml:space="preserve"> Lira de Luna</w:t>
      </w:r>
    </w:p>
    <w:p w14:paraId="267AABF6" w14:textId="77777777" w:rsidR="00154580" w:rsidRDefault="00154580">
      <w:pPr>
        <w:rPr>
          <w:lang w:eastAsia="es-CL"/>
        </w:rPr>
      </w:pPr>
      <w:r>
        <w:rPr>
          <w:b/>
          <w:bCs/>
        </w:rPr>
        <w:t>Preparado por:</w:t>
      </w:r>
      <w:r>
        <w:t xml:space="preserve"> Marcos Oyarzo Á. – Consultor en Transformación Digital &amp; Desarrollo TI</w:t>
      </w:r>
    </w:p>
    <w:p w14:paraId="496FA2AF" w14:textId="77777777" w:rsidR="00154580" w:rsidRDefault="00154580">
      <w:pPr>
        <w:rPr>
          <w:lang w:eastAsia="es-CL"/>
        </w:rPr>
      </w:pPr>
      <w:r>
        <w:rPr>
          <w:b/>
          <w:bCs/>
        </w:rPr>
        <w:t>Marca comercial:</w:t>
      </w:r>
      <w:r>
        <w:t xml:space="preserve"> Independencia Digital</w:t>
      </w:r>
    </w:p>
    <w:p w14:paraId="4B40E229" w14:textId="77777777" w:rsidR="00154580" w:rsidRDefault="00154580">
      <w:pPr>
        <w:rPr>
          <w:lang w:eastAsia="es-CL"/>
        </w:rPr>
      </w:pPr>
      <w:r>
        <w:rPr>
          <w:b/>
          <w:bCs/>
        </w:rPr>
        <w:t>Fecha de emisión:</w:t>
      </w:r>
      <w:r>
        <w:t xml:space="preserve"> 20 de mayo de 2026</w:t>
      </w:r>
    </w:p>
    <w:p w14:paraId="0C6A44C9" w14:textId="77777777" w:rsidR="00154580" w:rsidRDefault="00154580">
      <w:pPr>
        <w:rPr>
          <w:lang w:eastAsia="es-CL"/>
        </w:rPr>
      </w:pPr>
      <w:r>
        <w:rPr>
          <w:b/>
          <w:bCs/>
        </w:rPr>
        <w:t>Validez de la propuesta:</w:t>
      </w:r>
      <w:r>
        <w:t xml:space="preserve"> 15 días corridos</w:t>
      </w:r>
    </w:p>
    <w:p w14:paraId="5BE9A586"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1. Resumen del proyecto</w:t>
      </w:r>
    </w:p>
    <w:p w14:paraId="2DD84803" w14:textId="77777777" w:rsidR="00154580" w:rsidRPr="00154580" w:rsidRDefault="00154580" w:rsidP="00154580">
      <w:pPr>
        <w:jc w:val="both"/>
      </w:pPr>
      <w:r w:rsidRPr="00154580">
        <w:t>El presente documento tiene por objeto formalizar el alcance, la arquitectura técnica, los plazos, los hitos de pago y los marcos legales regulatorios para el diseño y desarrollo de una plataforma de comercio electrónico (</w:t>
      </w:r>
      <w:proofErr w:type="spellStart"/>
      <w:r w:rsidRPr="00154580">
        <w:t>Ecommerce</w:t>
      </w:r>
      <w:proofErr w:type="spellEnd"/>
      <w:r w:rsidRPr="00154580">
        <w:t xml:space="preserve">) a medida para la marca </w:t>
      </w:r>
      <w:r w:rsidRPr="00154580">
        <w:rPr>
          <w:b/>
          <w:bCs/>
        </w:rPr>
        <w:t>Lira de Luna</w:t>
      </w:r>
      <w:r w:rsidRPr="00154580">
        <w:t>. El objetivo principal es dotar al cliente de una infraestructura digital autónoma, optimizada para la conversión de ventas y con integración nativa automatizada para el mercado chileno.</w:t>
      </w:r>
    </w:p>
    <w:p w14:paraId="2FD68A58"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2. Alcance del desarrollo</w:t>
      </w:r>
    </w:p>
    <w:p w14:paraId="48B66921" w14:textId="77777777" w:rsidR="00154580" w:rsidRPr="00154580" w:rsidRDefault="00154580" w:rsidP="00154580">
      <w:pPr>
        <w:jc w:val="both"/>
      </w:pPr>
      <w:r w:rsidRPr="00154580">
        <w:t xml:space="preserve">La plataforma se construirá utilizando estándares modernos de desarrollo de software, garantizando una interfaz adaptativa (Mobile-First), velocidad de carga óptima y un panel administrativo seguro. El desarrollo comprende </w:t>
      </w:r>
      <w:r w:rsidRPr="00154580">
        <w:rPr>
          <w:b/>
          <w:bCs/>
        </w:rPr>
        <w:t>única y exclusivamente</w:t>
      </w:r>
      <w:r w:rsidRPr="00154580">
        <w:t xml:space="preserve"> los siguientes módulos:</w:t>
      </w:r>
    </w:p>
    <w:p w14:paraId="1B67AC1D" w14:textId="77777777" w:rsidR="00154580" w:rsidRDefault="00154580" w:rsidP="00154580">
      <w:pPr>
        <w:pStyle w:val="Ttulo3"/>
        <w:jc w:val="both"/>
        <w:rPr>
          <w:rFonts w:cstheme="minorBidi"/>
          <w:lang w:eastAsia="es-CL"/>
        </w:rPr>
      </w:pPr>
      <w:r>
        <w:rPr>
          <w:rFonts w:cstheme="minorBidi"/>
        </w:rPr>
        <w:t xml:space="preserve">A. Módulos del </w:t>
      </w:r>
      <w:proofErr w:type="spellStart"/>
      <w:r>
        <w:rPr>
          <w:rFonts w:cstheme="minorBidi"/>
        </w:rPr>
        <w:t>frontend</w:t>
      </w:r>
      <w:proofErr w:type="spellEnd"/>
      <w:r>
        <w:rPr>
          <w:rFonts w:cstheme="minorBidi"/>
        </w:rPr>
        <w:t xml:space="preserve"> (experiencia del cliente)</w:t>
      </w:r>
    </w:p>
    <w:p w14:paraId="2EBF23F9" w14:textId="77777777" w:rsidR="00154580" w:rsidRPr="00154580" w:rsidRDefault="00154580" w:rsidP="00154580">
      <w:pPr>
        <w:numPr>
          <w:ilvl w:val="0"/>
          <w:numId w:val="16"/>
        </w:numPr>
        <w:jc w:val="both"/>
      </w:pPr>
      <w:r w:rsidRPr="00154580">
        <w:rPr>
          <w:b/>
          <w:bCs/>
        </w:rPr>
        <w:t>Catálogo de Productos Dinámico:</w:t>
      </w:r>
      <w:r w:rsidRPr="00154580">
        <w:t xml:space="preserve"> Despliegue visual de los productos de la marca organizados por categorías, con filtros de búsqueda y fichas técnicas de detalle individuales.</w:t>
      </w:r>
    </w:p>
    <w:p w14:paraId="75D3D707" w14:textId="77777777" w:rsidR="00154580" w:rsidRPr="00154580" w:rsidRDefault="00154580" w:rsidP="00154580">
      <w:pPr>
        <w:numPr>
          <w:ilvl w:val="0"/>
          <w:numId w:val="16"/>
        </w:numPr>
        <w:jc w:val="both"/>
      </w:pPr>
      <w:r w:rsidRPr="00154580">
        <w:rPr>
          <w:b/>
          <w:bCs/>
        </w:rPr>
        <w:t>Carrito de Compras:</w:t>
      </w:r>
      <w:r w:rsidRPr="00154580">
        <w:t xml:space="preserve"> Flujo de acumulación de productos, cálculo automático de subtotales y pasarela interna para el ingreso de datos de facturación/despacho.</w:t>
      </w:r>
    </w:p>
    <w:p w14:paraId="5AED23FF" w14:textId="5259FF7C" w:rsidR="00154580" w:rsidRPr="00154580" w:rsidRDefault="00154580" w:rsidP="00154580">
      <w:pPr>
        <w:numPr>
          <w:ilvl w:val="0"/>
          <w:numId w:val="16"/>
        </w:numPr>
        <w:jc w:val="both"/>
      </w:pPr>
      <w:r w:rsidRPr="00154580">
        <w:rPr>
          <w:b/>
          <w:bCs/>
        </w:rPr>
        <w:t>Pasarela de Pago Automatizada:</w:t>
      </w:r>
      <w:r w:rsidRPr="00154580">
        <w:t xml:space="preserve"> Integración mediante API con </w:t>
      </w:r>
      <w:r w:rsidRPr="00154580">
        <w:rPr>
          <w:b/>
          <w:bCs/>
        </w:rPr>
        <w:t>Mercado Pago</w:t>
      </w:r>
      <w:r w:rsidRPr="00154580">
        <w:t xml:space="preserve"> para el procesamiento de transacciones seguras en </w:t>
      </w:r>
      <w:r w:rsidR="00AB21AD" w:rsidRPr="00154580">
        <w:t>pesos chilenos</w:t>
      </w:r>
      <w:r w:rsidRPr="00154580">
        <w:t xml:space="preserve"> (CLP) a </w:t>
      </w:r>
      <w:r w:rsidRPr="00154580">
        <w:lastRenderedPageBreak/>
        <w:t>través de Webpay (Tarjetas de Crédito/Débito), transferencias electrónicas y cuentas digitales.</w:t>
      </w:r>
    </w:p>
    <w:p w14:paraId="6188DD0B" w14:textId="77777777" w:rsidR="00154580" w:rsidRDefault="00154580" w:rsidP="00154580">
      <w:pPr>
        <w:pStyle w:val="Ttulo3"/>
        <w:jc w:val="both"/>
        <w:rPr>
          <w:rFonts w:cstheme="minorBidi"/>
          <w:lang w:eastAsia="es-CL"/>
        </w:rPr>
      </w:pPr>
      <w:r>
        <w:rPr>
          <w:rFonts w:cstheme="minorBidi"/>
        </w:rPr>
        <w:t xml:space="preserve">B. Módulos del </w:t>
      </w:r>
      <w:proofErr w:type="spellStart"/>
      <w:r>
        <w:rPr>
          <w:rFonts w:cstheme="minorBidi"/>
        </w:rPr>
        <w:t>backend</w:t>
      </w:r>
      <w:proofErr w:type="spellEnd"/>
      <w:r>
        <w:rPr>
          <w:rFonts w:cstheme="minorBidi"/>
        </w:rPr>
        <w:t xml:space="preserve"> (panel de administración privado)</w:t>
      </w:r>
    </w:p>
    <w:p w14:paraId="2923F62E" w14:textId="77777777" w:rsidR="00154580" w:rsidRPr="00154580" w:rsidRDefault="00154580" w:rsidP="00154580">
      <w:pPr>
        <w:numPr>
          <w:ilvl w:val="0"/>
          <w:numId w:val="17"/>
        </w:numPr>
        <w:jc w:val="both"/>
      </w:pPr>
      <w:r w:rsidRPr="00154580">
        <w:rPr>
          <w:b/>
          <w:bCs/>
        </w:rPr>
        <w:t>Gestión de Inventario y Stock:</w:t>
      </w:r>
      <w:r w:rsidRPr="00154580">
        <w:t xml:space="preserve"> Interfaz privada que faculta a Lira de Luna para subir, editar o eliminar productos, modificar precios, descripciones e imágenes de forma autónoma.</w:t>
      </w:r>
    </w:p>
    <w:p w14:paraId="63A7FA15" w14:textId="77777777" w:rsidR="00154580" w:rsidRPr="00154580" w:rsidRDefault="00154580" w:rsidP="00154580">
      <w:pPr>
        <w:numPr>
          <w:ilvl w:val="0"/>
          <w:numId w:val="17"/>
        </w:numPr>
        <w:jc w:val="both"/>
      </w:pPr>
      <w:r w:rsidRPr="00154580">
        <w:rPr>
          <w:b/>
          <w:bCs/>
        </w:rPr>
        <w:t>Módulo de Control de Órdenes:</w:t>
      </w:r>
      <w:r w:rsidRPr="00154580">
        <w:t xml:space="preserve"> Panel de visualización de pedidos entrantes clasificados por estado (Pendientes, Pagados, Despachados).</w:t>
      </w:r>
    </w:p>
    <w:p w14:paraId="3E31DA63" w14:textId="77777777" w:rsidR="00154580" w:rsidRPr="00154580" w:rsidRDefault="00154580" w:rsidP="00154580">
      <w:pPr>
        <w:numPr>
          <w:ilvl w:val="0"/>
          <w:numId w:val="17"/>
        </w:numPr>
        <w:jc w:val="both"/>
      </w:pPr>
      <w:r w:rsidRPr="00154580">
        <w:rPr>
          <w:b/>
          <w:bCs/>
        </w:rPr>
        <w:t>Arquitectura de Seguridad Asíncrona (</w:t>
      </w:r>
      <w:proofErr w:type="spellStart"/>
      <w:r w:rsidRPr="00154580">
        <w:rPr>
          <w:b/>
          <w:bCs/>
        </w:rPr>
        <w:t>Webhooks</w:t>
      </w:r>
      <w:proofErr w:type="spellEnd"/>
      <w:r w:rsidRPr="00154580">
        <w:rPr>
          <w:b/>
          <w:bCs/>
        </w:rPr>
        <w:t>):</w:t>
      </w:r>
      <w:r w:rsidRPr="00154580">
        <w:t xml:space="preserve"> Configuración de un puente de comunicación segura entre los servidores de Mercado Pago y la base de datos de la tienda virtual, garantizando que el stock se actualice y la orden se marque como "Pagada" solo tras la validación real de los fondos.</w:t>
      </w:r>
    </w:p>
    <w:p w14:paraId="4EE6468C"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3. Infraestructura y requisitos económicos del cliente</w:t>
      </w:r>
    </w:p>
    <w:p w14:paraId="55DAD515" w14:textId="77777777" w:rsidR="00154580" w:rsidRPr="00154580" w:rsidRDefault="00154580" w:rsidP="00154580">
      <w:pPr>
        <w:jc w:val="both"/>
      </w:pPr>
      <w:r w:rsidRPr="00154580">
        <w:t>Para la puesta en marcha de la aplicación en un entorno real de producción, es requisito obligatorio que la propiedad de la infraestructura tecnológica base quede registrada a nombre de Lira de Luna. Por lo tanto, el cliente se compromete a financiar:</w:t>
      </w:r>
    </w:p>
    <w:p w14:paraId="472D5B13" w14:textId="77777777" w:rsidR="00154580" w:rsidRPr="00154580" w:rsidRDefault="00154580" w:rsidP="00154580">
      <w:pPr>
        <w:numPr>
          <w:ilvl w:val="0"/>
          <w:numId w:val="18"/>
        </w:numPr>
        <w:jc w:val="both"/>
      </w:pPr>
      <w:r w:rsidRPr="00154580">
        <w:rPr>
          <w:b/>
          <w:bCs/>
        </w:rPr>
        <w:t>Dominio Web:</w:t>
      </w:r>
      <w:r w:rsidRPr="00154580">
        <w:t xml:space="preserve"> La adquisición de los derechos del nombre de dominio (ej. www.liradeluna.cl).</w:t>
      </w:r>
    </w:p>
    <w:p w14:paraId="320BB694" w14:textId="77777777" w:rsidR="00154580" w:rsidRPr="00154580" w:rsidRDefault="00154580" w:rsidP="00154580">
      <w:pPr>
        <w:numPr>
          <w:ilvl w:val="0"/>
          <w:numId w:val="18"/>
        </w:numPr>
        <w:jc w:val="both"/>
      </w:pPr>
      <w:r w:rsidRPr="00154580">
        <w:rPr>
          <w:b/>
          <w:bCs/>
        </w:rPr>
        <w:t>Servidor de Alojamiento (Hosting/Cloud):</w:t>
      </w:r>
      <w:r w:rsidRPr="00154580">
        <w:t xml:space="preserve"> El arriendo mensual o anual del espacio de servidor donde residirán la aplicación y la base de datos.</w:t>
      </w:r>
    </w:p>
    <w:p w14:paraId="06681AF8" w14:textId="77777777" w:rsidR="00154580" w:rsidRPr="00154580" w:rsidRDefault="00154580" w:rsidP="00154580">
      <w:pPr>
        <w:numPr>
          <w:ilvl w:val="1"/>
          <w:numId w:val="18"/>
        </w:numPr>
        <w:jc w:val="both"/>
      </w:pPr>
      <w:r w:rsidRPr="00154580">
        <w:rPr>
          <w:i/>
          <w:iCs/>
        </w:rPr>
        <w:t>Nota:</w:t>
      </w:r>
      <w:r w:rsidRPr="00154580">
        <w:t xml:space="preserve"> La evaluación, consultoría y selección técnica de los proveedores de dominio y servidor idóneos serán realizadas directamente por mí para asegurar compatibilidad y alta disponibilidad. El cliente es responsable exclusivamente de ejecutar el pago a las entidades recomendadas.</w:t>
      </w:r>
    </w:p>
    <w:p w14:paraId="0C9A6057"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4. Compromiso de colaboración y disposición del cliente</w:t>
      </w:r>
    </w:p>
    <w:p w14:paraId="2BF3C61A" w14:textId="77777777" w:rsidR="00154580" w:rsidRPr="00154580" w:rsidRDefault="00154580" w:rsidP="00154580">
      <w:pPr>
        <w:jc w:val="both"/>
      </w:pPr>
      <w:r w:rsidRPr="00154580">
        <w:t>Para dar cumplimiento al cronograma técnico, se requiere la colaboración activa, oportuna y de buena fe por parte del cliente.</w:t>
      </w:r>
    </w:p>
    <w:p w14:paraId="420392D6" w14:textId="77777777" w:rsidR="00154580" w:rsidRPr="00154580" w:rsidRDefault="00154580" w:rsidP="00154580">
      <w:pPr>
        <w:numPr>
          <w:ilvl w:val="0"/>
          <w:numId w:val="19"/>
        </w:numPr>
        <w:jc w:val="both"/>
      </w:pPr>
      <w:r w:rsidRPr="00154580">
        <w:rPr>
          <w:b/>
          <w:bCs/>
        </w:rPr>
        <w:t>Acceso a Pasarela de Pagos:</w:t>
      </w:r>
      <w:r w:rsidRPr="00154580">
        <w:t xml:space="preserve"> El proceso de integración de la API requiere sesiones de trabajo conjuntas o sincronizadas donde el cliente deberá iniciar sesión en su cuenta comercial de Mercado Pago para autorizar las credenciales de producción (</w:t>
      </w:r>
      <w:r w:rsidRPr="00154580">
        <w:rPr>
          <w:i/>
          <w:iCs/>
        </w:rPr>
        <w:t>API Keys / Tokens</w:t>
      </w:r>
      <w:r w:rsidRPr="00154580">
        <w:t>).</w:t>
      </w:r>
    </w:p>
    <w:p w14:paraId="1E24E8D9" w14:textId="46827911" w:rsidR="00154580" w:rsidRPr="00154580" w:rsidRDefault="00154580" w:rsidP="00154580">
      <w:pPr>
        <w:numPr>
          <w:ilvl w:val="0"/>
          <w:numId w:val="19"/>
        </w:numPr>
        <w:jc w:val="both"/>
      </w:pPr>
      <w:r w:rsidRPr="00154580">
        <w:rPr>
          <w:b/>
          <w:bCs/>
        </w:rPr>
        <w:lastRenderedPageBreak/>
        <w:t>Entrega de Contenidos:</w:t>
      </w:r>
      <w:r w:rsidRPr="00154580">
        <w:t xml:space="preserve"> El cliente dispondrá de un plazo máximo de 10 d</w:t>
      </w:r>
      <w:r>
        <w:t>ía</w:t>
      </w:r>
      <w:r w:rsidRPr="00154580">
        <w:t>s hábiles desde el inicio del proyecto para hacer entrega de los materiales base (logotipos, textos legales, descripciones de productos e imágenes iniciales). El retraso en estos insumos facultará al desarrollador a congelar temporalmente los plazos de entrega del proyecto.</w:t>
      </w:r>
    </w:p>
    <w:p w14:paraId="3596228C"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5. Plazo de desarrollo y naturaleza del periodo máximo</w:t>
      </w:r>
    </w:p>
    <w:p w14:paraId="32910E73" w14:textId="77777777" w:rsidR="00154580" w:rsidRPr="00154580" w:rsidRDefault="00154580" w:rsidP="00154580">
      <w:pPr>
        <w:numPr>
          <w:ilvl w:val="0"/>
          <w:numId w:val="20"/>
        </w:numPr>
        <w:jc w:val="both"/>
      </w:pPr>
      <w:r w:rsidRPr="00154580">
        <w:rPr>
          <w:b/>
          <w:bCs/>
        </w:rPr>
        <w:t>Plazo Máximo:</w:t>
      </w:r>
      <w:r w:rsidRPr="00154580">
        <w:t xml:space="preserve"> El periodo máximo establecido para la ejecución total del proyecto (diseño, programación, pruebas e integración) será de </w:t>
      </w:r>
      <w:r w:rsidRPr="00154580">
        <w:rPr>
          <w:b/>
          <w:bCs/>
        </w:rPr>
        <w:t>3 meses</w:t>
      </w:r>
      <w:r w:rsidRPr="00154580">
        <w:t>, contados de manera efectiva a partir del día hábil siguiente a la recepción del pago del Hito 1.</w:t>
      </w:r>
    </w:p>
    <w:p w14:paraId="01E42D0B" w14:textId="77777777" w:rsidR="00154580" w:rsidRPr="00154580" w:rsidRDefault="00154580" w:rsidP="00154580">
      <w:pPr>
        <w:numPr>
          <w:ilvl w:val="0"/>
          <w:numId w:val="20"/>
        </w:numPr>
        <w:jc w:val="both"/>
      </w:pPr>
      <w:r w:rsidRPr="00154580">
        <w:rPr>
          <w:b/>
          <w:bCs/>
        </w:rPr>
        <w:t>Término Anticipado:</w:t>
      </w:r>
      <w:r w:rsidRPr="00154580">
        <w:t xml:space="preserve"> El plazo de 3 meses constituye un </w:t>
      </w:r>
      <w:r w:rsidRPr="00154580">
        <w:rPr>
          <w:b/>
          <w:bCs/>
        </w:rPr>
        <w:t>límite máximo de resguardo técnico</w:t>
      </w:r>
      <w:r w:rsidRPr="00154580">
        <w:t xml:space="preserve"> y no una bolsa de horas de libre disposición para el cliente. En caso de que el desarrollador complete y despliegue la totalidad de los módulos descritos en la Sección 2 en un tiempo menor (por ejemplo, en 1 o 2 meses), </w:t>
      </w:r>
      <w:r w:rsidRPr="00154580">
        <w:rPr>
          <w:b/>
          <w:bCs/>
        </w:rPr>
        <w:t>el servicio de desarrollo se dará por finalizado y completado con éxito de forma inmediata</w:t>
      </w:r>
      <w:r w:rsidRPr="00154580">
        <w:t>. El cliente no tendrá derecho a exigir requerimientos, modificaciones o mantenciones adicionales amparándose en el tiempo restante de los 3 meses estipulados originalmente.</w:t>
      </w:r>
    </w:p>
    <w:p w14:paraId="00355AD0"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6. Cláusulas de regulación de servicio</w:t>
      </w:r>
    </w:p>
    <w:p w14:paraId="164A4DDB" w14:textId="77777777" w:rsidR="00154580" w:rsidRPr="00154580" w:rsidRDefault="00154580" w:rsidP="00154580">
      <w:pPr>
        <w:jc w:val="both"/>
      </w:pPr>
      <w:r w:rsidRPr="00154580">
        <w:t>Las partes acuerdan que la aceptación de este informe y el posterior inicio de los trabajos quedan regulados bajo las siguientes normativas de prestación de servicios profesionales independientes:</w:t>
      </w:r>
    </w:p>
    <w:p w14:paraId="1C133A67" w14:textId="77777777" w:rsidR="00154580" w:rsidRDefault="00154580" w:rsidP="00154580">
      <w:pPr>
        <w:pStyle w:val="Ttulo3"/>
        <w:jc w:val="both"/>
        <w:rPr>
          <w:rFonts w:cstheme="minorBidi"/>
          <w:lang w:eastAsia="es-CL"/>
        </w:rPr>
      </w:pPr>
      <w:r>
        <w:rPr>
          <w:rFonts w:cstheme="minorBidi"/>
        </w:rPr>
        <w:t>6.1. Obligación de medios y limitación de responsabilidad</w:t>
      </w:r>
    </w:p>
    <w:p w14:paraId="0D4AF100" w14:textId="77777777" w:rsidR="00154580" w:rsidRPr="00154580" w:rsidRDefault="00154580" w:rsidP="00154580">
      <w:pPr>
        <w:jc w:val="both"/>
      </w:pPr>
      <w:r w:rsidRPr="00154580">
        <w:t xml:space="preserve">El desarrollador asume una </w:t>
      </w:r>
      <w:r w:rsidRPr="00154580">
        <w:rPr>
          <w:b/>
          <w:bCs/>
        </w:rPr>
        <w:t>obligación de medios</w:t>
      </w:r>
      <w:r w:rsidRPr="00154580">
        <w:t xml:space="preserve"> y no de resultado subjetivo. Esto significa que se compromete a aportar toda su experiencia, diligencia profesional, habilidades técnicas y mejores prácticas de la industria de software para construir la plataforma descrita en la Sección 2. El desarrollador no se hace responsable por el éxito comercial del negocio del cliente, por variaciones en las ventas, ni por expectativas o interpretaciones estéticas personales del cliente que se desvíen del alcance técnico explícitamente firmado.</w:t>
      </w:r>
    </w:p>
    <w:p w14:paraId="38A11794" w14:textId="77777777" w:rsidR="00154580" w:rsidRDefault="00154580" w:rsidP="00154580">
      <w:pPr>
        <w:pStyle w:val="Ttulo3"/>
        <w:jc w:val="both"/>
        <w:rPr>
          <w:rFonts w:cstheme="minorBidi"/>
          <w:lang w:eastAsia="es-CL"/>
        </w:rPr>
      </w:pPr>
      <w:r>
        <w:rPr>
          <w:rFonts w:cstheme="minorBidi"/>
        </w:rPr>
        <w:t>6.2. Política de gestión de cambios</w:t>
      </w:r>
    </w:p>
    <w:p w14:paraId="66B01BDB" w14:textId="77777777" w:rsidR="00154580" w:rsidRPr="00154580" w:rsidRDefault="00154580" w:rsidP="00154580">
      <w:pPr>
        <w:jc w:val="both"/>
      </w:pPr>
      <w:r w:rsidRPr="00154580">
        <w:t xml:space="preserve">Cualquier solicitud de modificación, adición de funcionalidades, pasarelas extras o flujos de trabajo que no se encuentren explícitamente detallados en la Sección 2 de este documento se considerará </w:t>
      </w:r>
      <w:r w:rsidRPr="00154580">
        <w:rPr>
          <w:b/>
          <w:bCs/>
        </w:rPr>
        <w:t>Fuera de Alcance</w:t>
      </w:r>
      <w:r w:rsidRPr="00154580">
        <w:t xml:space="preserve">. En caso de requerirse, se evaluará </w:t>
      </w:r>
      <w:r w:rsidRPr="00154580">
        <w:lastRenderedPageBreak/>
        <w:t>su viabilidad técnica y se emitirá un documento anexo denominado "Orden de Cambio", el cual detallará un presupuesto extra y los días de prórroga que se sumarán al cronograma. Ningún cambio comenzará a desarrollarse antes de ser cotizado, aprobado y pagado por el cliente.</w:t>
      </w:r>
    </w:p>
    <w:p w14:paraId="0D536FF5" w14:textId="77777777" w:rsidR="00154580" w:rsidRDefault="00154580" w:rsidP="00154580">
      <w:pPr>
        <w:pStyle w:val="Ttulo3"/>
        <w:jc w:val="both"/>
        <w:rPr>
          <w:rFonts w:cstheme="minorBidi"/>
          <w:lang w:eastAsia="es-CL"/>
        </w:rPr>
      </w:pPr>
      <w:r>
        <w:rPr>
          <w:rFonts w:cstheme="minorBidi"/>
        </w:rPr>
        <w:t>6.3. Recepción conforme y extinción de la prestación</w:t>
      </w:r>
    </w:p>
    <w:p w14:paraId="10CCCD3B" w14:textId="0762A9BB" w:rsidR="00154580" w:rsidRPr="00154580" w:rsidRDefault="00154580" w:rsidP="00154580">
      <w:pPr>
        <w:jc w:val="both"/>
      </w:pPr>
      <w:r w:rsidRPr="00154580">
        <w:t xml:space="preserve">El desarrollo del software se validará de manera modular. Una vez completado un módulo o la totalidad de la plataforma y presentada al cliente para su revisión, este dispondrá de </w:t>
      </w:r>
      <w:r w:rsidRPr="00154580">
        <w:rPr>
          <w:b/>
          <w:bCs/>
        </w:rPr>
        <w:t>5 d</w:t>
      </w:r>
      <w:r w:rsidR="008B0B49">
        <w:rPr>
          <w:b/>
          <w:bCs/>
        </w:rPr>
        <w:t>ía</w:t>
      </w:r>
      <w:r w:rsidRPr="00154580">
        <w:rPr>
          <w:b/>
          <w:bCs/>
        </w:rPr>
        <w:t>s hábiles</w:t>
      </w:r>
      <w:r w:rsidRPr="00154580">
        <w:t xml:space="preserve"> para realizar pruebas en el entorno de pruebas (Sandbox) y levantar observaciones técnicas basadas </w:t>
      </w:r>
      <w:r w:rsidRPr="00154580">
        <w:rPr>
          <w:i/>
          <w:iCs/>
        </w:rPr>
        <w:t>únicamente</w:t>
      </w:r>
      <w:r w:rsidRPr="00154580">
        <w:t xml:space="preserve"> en errores de funcionamiento del alcance acordado. Pasado este plazo sin observaciones por escrito, o habiéndose corregido los errores reportados, la plataforma se considerará </w:t>
      </w:r>
      <w:r w:rsidRPr="00154580">
        <w:rPr>
          <w:b/>
          <w:bCs/>
        </w:rPr>
        <w:t>Aceptada y Recibida Conforme</w:t>
      </w:r>
      <w:r w:rsidRPr="00154580">
        <w:t>. Esta aceptación extingue de forma definitiva la prestación del servicio de desarrollo, dando paso exclusivo a la fase de capacitación.</w:t>
      </w:r>
    </w:p>
    <w:p w14:paraId="181AE83A" w14:textId="77777777" w:rsidR="00154580" w:rsidRDefault="00154580" w:rsidP="00154580">
      <w:pPr>
        <w:pStyle w:val="Ttulo3"/>
        <w:jc w:val="both"/>
        <w:rPr>
          <w:rFonts w:cstheme="minorBidi"/>
          <w:lang w:eastAsia="es-CL"/>
        </w:rPr>
      </w:pPr>
      <w:r>
        <w:rPr>
          <w:rFonts w:cstheme="minorBidi"/>
        </w:rPr>
        <w:t>6.4. Derecho a retracto comercial y política de devolución</w:t>
      </w:r>
    </w:p>
    <w:p w14:paraId="7D0C2326" w14:textId="77777777" w:rsidR="00154580" w:rsidRPr="00154580" w:rsidRDefault="00154580" w:rsidP="00154580">
      <w:pPr>
        <w:jc w:val="both"/>
      </w:pPr>
      <w:r w:rsidRPr="00154580">
        <w:t xml:space="preserve">En cumplimiento con las políticas de transparencia en servicios profesionales, el cliente dispondrá de un plazo máximo de </w:t>
      </w:r>
      <w:r w:rsidRPr="00154580">
        <w:rPr>
          <w:b/>
          <w:bCs/>
        </w:rPr>
        <w:t>10 días corridos</w:t>
      </w:r>
      <w:r w:rsidRPr="00154580">
        <w:t>, contados a partir del pago del Hito 1, para ejercer el derecho a retracto unilateral del proyecto de forma voluntaria.</w:t>
      </w:r>
    </w:p>
    <w:p w14:paraId="55AD5826" w14:textId="77777777" w:rsidR="00154580" w:rsidRPr="00154580" w:rsidRDefault="00154580" w:rsidP="00154580">
      <w:pPr>
        <w:numPr>
          <w:ilvl w:val="0"/>
          <w:numId w:val="21"/>
        </w:numPr>
        <w:jc w:val="both"/>
      </w:pPr>
      <w:r w:rsidRPr="00154580">
        <w:rPr>
          <w:b/>
          <w:bCs/>
        </w:rPr>
        <w:t>Condición de Devolución:</w:t>
      </w:r>
      <w:r w:rsidRPr="00154580">
        <w:t xml:space="preserve"> En caso de retracto dentro de estos 10 días, el desarrollador retendrá el </w:t>
      </w:r>
      <w:r w:rsidRPr="00154580">
        <w:rPr>
          <w:b/>
          <w:bCs/>
        </w:rPr>
        <w:t>50% del valor del Hito 1 ($75.000 CLP)</w:t>
      </w:r>
      <w:r w:rsidRPr="00154580">
        <w:t xml:space="preserve"> por concepto de horas de consultoría inicial, diseño de arquitectura de software y costos de procesamiento de la pasarela de pago (Flow). El 50% restante ($75.000 CLP) será devuelto al cliente mediante transferencia bancaria en un plazo máximo de 5 días hábiles.</w:t>
      </w:r>
    </w:p>
    <w:p w14:paraId="761B80A5" w14:textId="77777777" w:rsidR="00154580" w:rsidRPr="00154580" w:rsidRDefault="00154580" w:rsidP="00154580">
      <w:pPr>
        <w:numPr>
          <w:ilvl w:val="0"/>
          <w:numId w:val="21"/>
        </w:numPr>
        <w:jc w:val="both"/>
      </w:pPr>
      <w:r w:rsidRPr="00154580">
        <w:rPr>
          <w:b/>
          <w:bCs/>
        </w:rPr>
        <w:t>Extinción del Retracto:</w:t>
      </w:r>
      <w:r w:rsidRPr="00154580">
        <w:t xml:space="preserve"> Pasados los 10 días corridos, </w:t>
      </w:r>
      <w:r w:rsidRPr="00154580">
        <w:rPr>
          <w:b/>
          <w:bCs/>
        </w:rPr>
        <w:t>no habrá derecho a retracto ni a devolución de ningún porcentaje del dinero abonado</w:t>
      </w:r>
      <w:r w:rsidRPr="00154580">
        <w:t>, debiendo el cliente cumplir con los hitos financieros establecidos si el desarrollo sigue su curso.</w:t>
      </w:r>
    </w:p>
    <w:p w14:paraId="0F70CB37"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7. Fase de capacitación y traspaso</w:t>
      </w:r>
    </w:p>
    <w:p w14:paraId="17BA2EF3" w14:textId="77777777" w:rsidR="00154580" w:rsidRPr="00154580" w:rsidRDefault="00154580" w:rsidP="00154580">
      <w:pPr>
        <w:jc w:val="both"/>
      </w:pPr>
      <w:r w:rsidRPr="00154580">
        <w:t>Habiéndose validado el correcto comportamiento del código en producción y dándose por recibido conforme el desarrollo (independiente de si esto ocurre antes o al límite de los 3 meses), se dará inicio de forma inmediata al periodo de traspaso:</w:t>
      </w:r>
    </w:p>
    <w:p w14:paraId="5CA7ED74" w14:textId="2150E0BC" w:rsidR="00154580" w:rsidRPr="00154580" w:rsidRDefault="00154580" w:rsidP="00154580">
      <w:pPr>
        <w:numPr>
          <w:ilvl w:val="0"/>
          <w:numId w:val="22"/>
        </w:numPr>
        <w:jc w:val="both"/>
      </w:pPr>
      <w:r w:rsidRPr="00154580">
        <w:rPr>
          <w:b/>
          <w:bCs/>
        </w:rPr>
        <w:t>Capacitación:</w:t>
      </w:r>
      <w:r w:rsidRPr="00154580">
        <w:t xml:space="preserve"> Se realizará una sesión técnica dirigida al administrador de Lira de Luna para instruir en el correcto uso del panel de inventario (carga/edición </w:t>
      </w:r>
      <w:r w:rsidRPr="00154580">
        <w:lastRenderedPageBreak/>
        <w:t>de productos), la lectura del flujo de órdenes de compra y la gestión básica del balance dentro de Mercado Pago.</w:t>
      </w:r>
    </w:p>
    <w:p w14:paraId="314D586D" w14:textId="61B03E83" w:rsidR="00154580" w:rsidRPr="00154580" w:rsidRDefault="00154580" w:rsidP="00154580">
      <w:pPr>
        <w:numPr>
          <w:ilvl w:val="0"/>
          <w:numId w:val="22"/>
        </w:numPr>
        <w:jc w:val="both"/>
      </w:pPr>
      <w:r w:rsidRPr="00154580">
        <w:rPr>
          <w:b/>
          <w:bCs/>
        </w:rPr>
        <w:t>Cierre del Servicio:</w:t>
      </w:r>
      <w:r w:rsidRPr="00154580">
        <w:t xml:space="preserve"> Tras la capacitación, se darán por concluidas de manera absoluta las obligaciones del desarrollador respecto a la construcción del software.</w:t>
      </w:r>
    </w:p>
    <w:p w14:paraId="4B429977" w14:textId="77777777"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 xml:space="preserve">8. Condiciones comerciales </w:t>
      </w:r>
      <w:proofErr w:type="spellStart"/>
      <w:r>
        <w:rPr>
          <w:rFonts w:asciiTheme="minorHAnsi" w:hAnsiTheme="minorHAnsi" w:cstheme="minorBidi"/>
        </w:rPr>
        <w:t>y</w:t>
      </w:r>
      <w:proofErr w:type="spellEnd"/>
      <w:r>
        <w:rPr>
          <w:rFonts w:asciiTheme="minorHAnsi" w:hAnsiTheme="minorHAnsi" w:cstheme="minorBidi"/>
        </w:rPr>
        <w:t xml:space="preserve"> hitos de pago</w:t>
      </w:r>
    </w:p>
    <w:p w14:paraId="42359BEB" w14:textId="23D783C1" w:rsidR="00154580" w:rsidRPr="00154580" w:rsidRDefault="00154580" w:rsidP="00154580">
      <w:pPr>
        <w:jc w:val="both"/>
      </w:pPr>
      <w:r w:rsidRPr="00154580">
        <w:t>Los honorarios profesionales por concepto de diseño, desarrollo e integración de la plataforma descrita se respaldarán mediante la emisión del documento tributario correspondiente (Boleta de Honorarios / Servicios) a través de la plataforma Flow Pay, estructurándose bajo los siguientes hitos financieros:</w:t>
      </w:r>
    </w:p>
    <w:tbl>
      <w:tblPr>
        <w:tblStyle w:val="GridTable4-Accent1"/>
        <w:tblW w:w="5000" w:type="pct"/>
        <w:tblInd w:w="0" w:type="dxa"/>
        <w:tblLook w:val="04A0" w:firstRow="1" w:lastRow="0" w:firstColumn="1" w:lastColumn="0" w:noHBand="0" w:noVBand="1"/>
      </w:tblPr>
      <w:tblGrid>
        <w:gridCol w:w="1732"/>
        <w:gridCol w:w="4070"/>
        <w:gridCol w:w="1325"/>
        <w:gridCol w:w="1691"/>
      </w:tblGrid>
      <w:tr w:rsidR="00154580" w14:paraId="3113B3E1"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4FBD6A1" w14:textId="77777777" w:rsidR="00154580" w:rsidRDefault="00154580">
            <w:pPr>
              <w:spacing w:after="160"/>
              <w:rPr>
                <w:lang w:eastAsia="es-CL"/>
              </w:rPr>
            </w:pPr>
            <w:r>
              <w:rPr>
                <w:b/>
                <w:bCs/>
              </w:rPr>
              <w:t>Hito / Fase</w:t>
            </w:r>
          </w:p>
        </w:tc>
        <w:tc>
          <w:tcPr>
            <w:tcW w:w="0" w:type="auto"/>
            <w:tcBorders>
              <w:top w:val="single" w:sz="8" w:space="0" w:color="auto"/>
              <w:left w:val="single" w:sz="8" w:space="0" w:color="auto"/>
              <w:bottom w:val="single" w:sz="8" w:space="0" w:color="auto"/>
              <w:right w:val="single" w:sz="8" w:space="0" w:color="auto"/>
            </w:tcBorders>
            <w:vAlign w:val="center"/>
            <w:hideMark/>
          </w:tcPr>
          <w:p w14:paraId="6C65B1F5" w14:textId="57E088C3" w:rsidR="00154580" w:rsidRDefault="00154580">
            <w:pPr>
              <w:spacing w:after="160"/>
            </w:pPr>
            <w:r>
              <w:rPr>
                <w:b/>
                <w:bCs/>
              </w:rPr>
              <w:t>Detalle comercial</w:t>
            </w:r>
          </w:p>
        </w:tc>
        <w:tc>
          <w:tcPr>
            <w:tcW w:w="0" w:type="auto"/>
            <w:tcBorders>
              <w:top w:val="single" w:sz="8" w:space="0" w:color="auto"/>
              <w:left w:val="single" w:sz="8" w:space="0" w:color="auto"/>
              <w:bottom w:val="single" w:sz="8" w:space="0" w:color="auto"/>
              <w:right w:val="single" w:sz="8" w:space="0" w:color="auto"/>
            </w:tcBorders>
            <w:vAlign w:val="center"/>
            <w:hideMark/>
          </w:tcPr>
          <w:p w14:paraId="1468EB2F" w14:textId="77777777" w:rsidR="00154580" w:rsidRDefault="00154580">
            <w:pPr>
              <w:spacing w:after="160"/>
            </w:pPr>
            <w:r>
              <w:rPr>
                <w:b/>
                <w:bCs/>
              </w:rPr>
              <w:t>Monto asociado</w:t>
            </w:r>
          </w:p>
        </w:tc>
        <w:tc>
          <w:tcPr>
            <w:tcW w:w="0" w:type="auto"/>
            <w:tcBorders>
              <w:top w:val="single" w:sz="8" w:space="0" w:color="auto"/>
              <w:left w:val="single" w:sz="8" w:space="0" w:color="auto"/>
              <w:bottom w:val="single" w:sz="8" w:space="0" w:color="auto"/>
              <w:right w:val="single" w:sz="8" w:space="0" w:color="auto"/>
            </w:tcBorders>
            <w:vAlign w:val="center"/>
            <w:hideMark/>
          </w:tcPr>
          <w:p w14:paraId="18132233" w14:textId="77777777" w:rsidR="00154580" w:rsidRDefault="00154580">
            <w:pPr>
              <w:spacing w:after="160"/>
            </w:pPr>
            <w:r>
              <w:rPr>
                <w:b/>
                <w:bCs/>
              </w:rPr>
              <w:t>Estado</w:t>
            </w:r>
          </w:p>
        </w:tc>
      </w:tr>
      <w:tr w:rsidR="00154580" w14:paraId="12FB100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BE87ECD" w14:textId="77777777" w:rsidR="00154580" w:rsidRDefault="00154580">
            <w:pPr>
              <w:spacing w:after="160"/>
            </w:pPr>
            <w:r>
              <w:rPr>
                <w:b/>
                <w:bCs/>
              </w:rPr>
              <w:t>Hito 1: Activación de proyecto</w:t>
            </w:r>
          </w:p>
        </w:tc>
        <w:tc>
          <w:tcPr>
            <w:tcW w:w="0" w:type="auto"/>
            <w:tcBorders>
              <w:top w:val="single" w:sz="8" w:space="0" w:color="auto"/>
              <w:left w:val="single" w:sz="8" w:space="0" w:color="auto"/>
              <w:bottom w:val="single" w:sz="8" w:space="0" w:color="auto"/>
              <w:right w:val="single" w:sz="8" w:space="0" w:color="auto"/>
            </w:tcBorders>
            <w:vAlign w:val="center"/>
            <w:hideMark/>
          </w:tcPr>
          <w:p w14:paraId="015563EE" w14:textId="5A5FD799" w:rsidR="00154580" w:rsidRDefault="00154580">
            <w:pPr>
              <w:spacing w:after="160"/>
            </w:pPr>
            <w:r>
              <w:t xml:space="preserve">Pago inicial en concepto de abono para la reserva de horas de desarrollo y diseño de arquitectura. </w:t>
            </w:r>
            <w:r>
              <w:rPr>
                <w:i/>
                <w:iCs/>
              </w:rPr>
              <w:t>(Sujeto a política de retracto de 10 días, cláusula 6.4)</w:t>
            </w: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43E752B0" w14:textId="77777777" w:rsidR="00154580" w:rsidRDefault="00154580">
            <w:pPr>
              <w:spacing w:after="160"/>
            </w:pPr>
            <w:r>
              <w:rPr>
                <w:b/>
                <w:bCs/>
              </w:rPr>
              <w:t>$150.000 CLP</w:t>
            </w:r>
          </w:p>
        </w:tc>
        <w:tc>
          <w:tcPr>
            <w:tcW w:w="0" w:type="auto"/>
            <w:tcBorders>
              <w:top w:val="single" w:sz="8" w:space="0" w:color="auto"/>
              <w:left w:val="single" w:sz="8" w:space="0" w:color="auto"/>
              <w:bottom w:val="single" w:sz="8" w:space="0" w:color="auto"/>
              <w:right w:val="single" w:sz="8" w:space="0" w:color="auto"/>
            </w:tcBorders>
            <w:vAlign w:val="center"/>
            <w:hideMark/>
          </w:tcPr>
          <w:p w14:paraId="1C5C10BE" w14:textId="77777777" w:rsidR="00154580" w:rsidRDefault="00154580">
            <w:pPr>
              <w:spacing w:after="160"/>
            </w:pPr>
            <w:r>
              <w:rPr>
                <w:b/>
                <w:bCs/>
              </w:rPr>
              <w:t>Requerido para iniciar el código</w:t>
            </w:r>
          </w:p>
        </w:tc>
      </w:tr>
      <w:tr w:rsidR="00154580" w14:paraId="3067EE1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4A3CA6B" w14:textId="77777777" w:rsidR="00154580" w:rsidRDefault="00154580">
            <w:pPr>
              <w:spacing w:after="160"/>
            </w:pPr>
            <w:r>
              <w:rPr>
                <w:b/>
                <w:bCs/>
              </w:rPr>
              <w:t>Hito 2: Término de plataforma</w:t>
            </w:r>
          </w:p>
        </w:tc>
        <w:tc>
          <w:tcPr>
            <w:tcW w:w="0" w:type="auto"/>
            <w:tcBorders>
              <w:top w:val="single" w:sz="8" w:space="0" w:color="auto"/>
              <w:left w:val="single" w:sz="8" w:space="0" w:color="auto"/>
              <w:bottom w:val="single" w:sz="8" w:space="0" w:color="auto"/>
              <w:right w:val="single" w:sz="8" w:space="0" w:color="auto"/>
            </w:tcBorders>
            <w:vAlign w:val="center"/>
            <w:hideMark/>
          </w:tcPr>
          <w:p w14:paraId="5A9942D6" w14:textId="393A1E7A" w:rsidR="00154580" w:rsidRDefault="00154580">
            <w:pPr>
              <w:spacing w:after="160"/>
            </w:pPr>
            <w:r>
              <w:t>Pago del saldo pendiente de la solución, pagadero una vez concluida la funcionalidad técnica de la tienda y de forma previa o simultánea al inicio de la fase de capacitación.</w:t>
            </w:r>
          </w:p>
        </w:tc>
        <w:tc>
          <w:tcPr>
            <w:tcW w:w="0" w:type="auto"/>
            <w:tcBorders>
              <w:top w:val="single" w:sz="8" w:space="0" w:color="auto"/>
              <w:left w:val="single" w:sz="8" w:space="0" w:color="auto"/>
              <w:bottom w:val="single" w:sz="8" w:space="0" w:color="auto"/>
              <w:right w:val="single" w:sz="8" w:space="0" w:color="auto"/>
            </w:tcBorders>
            <w:vAlign w:val="center"/>
            <w:hideMark/>
          </w:tcPr>
          <w:p w14:paraId="44A5EF06" w14:textId="066259D0" w:rsidR="00154580" w:rsidRDefault="00154580">
            <w:pPr>
              <w:spacing w:after="160"/>
            </w:pPr>
            <w:r>
              <w:rPr>
                <w:b/>
                <w:bCs/>
              </w:rPr>
              <w:t>$150.000 CLP</w:t>
            </w:r>
          </w:p>
        </w:tc>
        <w:tc>
          <w:tcPr>
            <w:tcW w:w="0" w:type="auto"/>
            <w:tcBorders>
              <w:top w:val="single" w:sz="8" w:space="0" w:color="auto"/>
              <w:left w:val="single" w:sz="8" w:space="0" w:color="auto"/>
              <w:bottom w:val="single" w:sz="8" w:space="0" w:color="auto"/>
              <w:right w:val="single" w:sz="8" w:space="0" w:color="auto"/>
            </w:tcBorders>
            <w:vAlign w:val="center"/>
            <w:hideMark/>
          </w:tcPr>
          <w:p w14:paraId="2CCF8682" w14:textId="77777777" w:rsidR="00154580" w:rsidRDefault="00154580">
            <w:pPr>
              <w:spacing w:after="160"/>
            </w:pPr>
            <w:r>
              <w:rPr>
                <w:b/>
                <w:bCs/>
              </w:rPr>
              <w:t>Al finalizar el desarrollo técnico</w:t>
            </w:r>
          </w:p>
        </w:tc>
      </w:tr>
    </w:tbl>
    <w:p w14:paraId="486DB6FD" w14:textId="3A47F3D2" w:rsidR="00154580" w:rsidRDefault="00154580" w:rsidP="00154580">
      <w:pPr>
        <w:pStyle w:val="Ttulo2"/>
        <w:jc w:val="both"/>
        <w:rPr>
          <w:rFonts w:asciiTheme="minorHAnsi" w:hAnsiTheme="minorHAnsi" w:cstheme="minorBidi"/>
          <w:lang w:eastAsia="es-CL"/>
        </w:rPr>
      </w:pPr>
      <w:r>
        <w:rPr>
          <w:rFonts w:asciiTheme="minorHAnsi" w:hAnsiTheme="minorHAnsi" w:cstheme="minorBidi"/>
        </w:rPr>
        <w:t>Aceptación de propuesta y condiciones</w:t>
      </w:r>
    </w:p>
    <w:p w14:paraId="257E85A9" w14:textId="05B008B0" w:rsidR="00154580" w:rsidRDefault="00154580" w:rsidP="00154580">
      <w:pPr>
        <w:jc w:val="both"/>
      </w:pPr>
      <w:r>
        <w:rPr>
          <w:noProof/>
        </w:rPr>
        <w:drawing>
          <wp:anchor distT="0" distB="0" distL="114300" distR="114300" simplePos="0" relativeHeight="251659264" behindDoc="0" locked="0" layoutInCell="1" allowOverlap="1" wp14:anchorId="0CC743F1" wp14:editId="2D2B35AC">
            <wp:simplePos x="0" y="0"/>
            <wp:positionH relativeFrom="margin">
              <wp:posOffset>1873787</wp:posOffset>
            </wp:positionH>
            <wp:positionV relativeFrom="paragraph">
              <wp:posOffset>900186</wp:posOffset>
            </wp:positionV>
            <wp:extent cx="544717" cy="844062"/>
            <wp:effectExtent l="0" t="0" r="8255" b="0"/>
            <wp:wrapNone/>
            <wp:docPr id="6517689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8977" name="Imagen 6517689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717" cy="844062"/>
                    </a:xfrm>
                    <a:prstGeom prst="rect">
                      <a:avLst/>
                    </a:prstGeom>
                  </pic:spPr>
                </pic:pic>
              </a:graphicData>
            </a:graphic>
            <wp14:sizeRelH relativeFrom="margin">
              <wp14:pctWidth>0</wp14:pctWidth>
            </wp14:sizeRelH>
            <wp14:sizeRelV relativeFrom="margin">
              <wp14:pctHeight>0</wp14:pctHeight>
            </wp14:sizeRelV>
          </wp:anchor>
        </w:drawing>
      </w:r>
      <w:r w:rsidRPr="00154580">
        <w:t xml:space="preserve">Para constancia del mutuo acuerdo sobre el alcance cerrado del </w:t>
      </w:r>
      <w:proofErr w:type="spellStart"/>
      <w:r w:rsidRPr="00154580">
        <w:t>ecommerce</w:t>
      </w:r>
      <w:proofErr w:type="spellEnd"/>
      <w:r w:rsidRPr="00154580">
        <w:t>, la extinción del servicio por entrega anticipada, el flujo de pagos por hitos y las cláusulas de regulación de servicios profesionales independientes descritas en este documento, las partes firman de conformidad:</w:t>
      </w:r>
    </w:p>
    <w:p w14:paraId="1680D5A4" w14:textId="3FD95327" w:rsidR="00154580" w:rsidRDefault="00154580" w:rsidP="00154580">
      <w:pPr>
        <w:jc w:val="both"/>
      </w:pPr>
      <w:r>
        <w:rPr>
          <w:noProof/>
        </w:rPr>
        <w:drawing>
          <wp:anchor distT="0" distB="0" distL="114300" distR="114300" simplePos="0" relativeHeight="251658240" behindDoc="0" locked="0" layoutInCell="1" allowOverlap="1" wp14:anchorId="54BEF4A8" wp14:editId="166B4B0F">
            <wp:simplePos x="0" y="0"/>
            <wp:positionH relativeFrom="column">
              <wp:posOffset>668997</wp:posOffset>
            </wp:positionH>
            <wp:positionV relativeFrom="paragraph">
              <wp:posOffset>51289</wp:posOffset>
            </wp:positionV>
            <wp:extent cx="1336431" cy="968981"/>
            <wp:effectExtent l="0" t="0" r="0" b="0"/>
            <wp:wrapNone/>
            <wp:docPr id="1375505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05054" name="Imagen 1375505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6431" cy="968981"/>
                    </a:xfrm>
                    <a:prstGeom prst="rect">
                      <a:avLst/>
                    </a:prstGeom>
                  </pic:spPr>
                </pic:pic>
              </a:graphicData>
            </a:graphic>
            <wp14:sizeRelH relativeFrom="margin">
              <wp14:pctWidth>0</wp14:pctWidth>
            </wp14:sizeRelH>
            <wp14:sizeRelV relativeFrom="margin">
              <wp14:pctHeight>0</wp14:pctHeight>
            </wp14:sizeRelV>
          </wp:anchor>
        </w:drawing>
      </w:r>
    </w:p>
    <w:p w14:paraId="59D1C013" w14:textId="77777777" w:rsidR="00154580" w:rsidRPr="00154580" w:rsidRDefault="00154580" w:rsidP="00154580">
      <w:pPr>
        <w:jc w:val="both"/>
      </w:pPr>
    </w:p>
    <w:p w14:paraId="1039D069" w14:textId="77777777" w:rsidR="00154580" w:rsidRDefault="00154580" w:rsidP="00154580">
      <w:pPr>
        <w:jc w:val="center"/>
        <w:rPr>
          <w:lang w:eastAsia="es-CL"/>
        </w:rPr>
      </w:pPr>
      <w:r>
        <w:t>__________________________________                __________________________________</w:t>
      </w:r>
    </w:p>
    <w:p w14:paraId="16C68805" w14:textId="684AE292" w:rsidR="00154580" w:rsidRDefault="00154580" w:rsidP="00154580">
      <w:pPr>
        <w:jc w:val="center"/>
        <w:rPr>
          <w:lang w:eastAsia="es-CL"/>
        </w:rPr>
      </w:pPr>
      <w:r>
        <w:rPr>
          <w:b/>
          <w:bCs/>
        </w:rPr>
        <w:t>Marcos Oyarzo Á.</w:t>
      </w:r>
      <w:r>
        <w:t>         </w:t>
      </w:r>
      <w:r>
        <w:tab/>
      </w:r>
      <w:r>
        <w:tab/>
        <w:t xml:space="preserve">                       </w:t>
      </w:r>
      <w:r>
        <w:rPr>
          <w:b/>
          <w:bCs/>
        </w:rPr>
        <w:t>Lira de Luna</w:t>
      </w:r>
    </w:p>
    <w:p w14:paraId="65E6095E" w14:textId="27F14FAD" w:rsidR="00154580" w:rsidRDefault="00154580" w:rsidP="00154580">
      <w:pPr>
        <w:jc w:val="center"/>
        <w:rPr>
          <w:lang w:eastAsia="es-CL"/>
        </w:rPr>
      </w:pPr>
      <w:r>
        <w:t>Independencia Digital</w:t>
      </w:r>
      <w:r>
        <w:tab/>
        <w:t>      </w:t>
      </w:r>
      <w:r>
        <w:tab/>
      </w:r>
      <w:r>
        <w:tab/>
        <w:t>     Cliente contratante</w:t>
      </w:r>
    </w:p>
    <w:sectPr w:rsidR="00154580">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74525" w14:textId="77777777" w:rsidR="009E5B16" w:rsidRDefault="009E5B16" w:rsidP="002F3F4F">
      <w:pPr>
        <w:spacing w:after="0" w:line="240" w:lineRule="auto"/>
      </w:pPr>
      <w:r>
        <w:separator/>
      </w:r>
    </w:p>
  </w:endnote>
  <w:endnote w:type="continuationSeparator" w:id="0">
    <w:p w14:paraId="072EB442" w14:textId="77777777" w:rsidR="009E5B16" w:rsidRDefault="009E5B16" w:rsidP="002F3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7A88" w14:textId="77777777" w:rsidR="009E5B16" w:rsidRDefault="009E5B16" w:rsidP="002F3F4F">
      <w:pPr>
        <w:spacing w:after="0" w:line="240" w:lineRule="auto"/>
      </w:pPr>
      <w:r>
        <w:separator/>
      </w:r>
    </w:p>
  </w:footnote>
  <w:footnote w:type="continuationSeparator" w:id="0">
    <w:p w14:paraId="600384D0" w14:textId="77777777" w:rsidR="009E5B16" w:rsidRDefault="009E5B16" w:rsidP="002F3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2470" w14:textId="75A8811D" w:rsidR="002F3F4F" w:rsidRDefault="002F3F4F">
    <w:pPr>
      <w:pStyle w:val="Encabezado"/>
    </w:pPr>
    <w:r>
      <w:rPr>
        <w:noProof/>
      </w:rPr>
      <w:drawing>
        <wp:anchor distT="0" distB="0" distL="114300" distR="114300" simplePos="0" relativeHeight="251658240" behindDoc="0" locked="0" layoutInCell="1" allowOverlap="1" wp14:anchorId="5C6E2720" wp14:editId="702CB1C7">
          <wp:simplePos x="0" y="0"/>
          <wp:positionH relativeFrom="margin">
            <wp:posOffset>-656884</wp:posOffset>
          </wp:positionH>
          <wp:positionV relativeFrom="paragraph">
            <wp:posOffset>-190178</wp:posOffset>
          </wp:positionV>
          <wp:extent cx="1512467" cy="491320"/>
          <wp:effectExtent l="0" t="0" r="0" b="4445"/>
          <wp:wrapNone/>
          <wp:docPr id="1906519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9951" name="Imagen 1906519951"/>
                  <pic:cNvPicPr/>
                </pic:nvPicPr>
                <pic:blipFill>
                  <a:blip r:embed="rId1">
                    <a:extLst>
                      <a:ext uri="{28A0092B-C50C-407E-A947-70E740481C1C}">
                        <a14:useLocalDpi xmlns:a14="http://schemas.microsoft.com/office/drawing/2010/main" val="0"/>
                      </a:ext>
                    </a:extLst>
                  </a:blip>
                  <a:stretch>
                    <a:fillRect/>
                  </a:stretch>
                </pic:blipFill>
                <pic:spPr>
                  <a:xfrm>
                    <a:off x="0" y="0"/>
                    <a:ext cx="1512467" cy="4913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2C91"/>
    <w:multiLevelType w:val="multilevel"/>
    <w:tmpl w:val="D98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77CA"/>
    <w:multiLevelType w:val="multilevel"/>
    <w:tmpl w:val="7EEA6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B0CA0"/>
    <w:multiLevelType w:val="multilevel"/>
    <w:tmpl w:val="24F8B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E2746"/>
    <w:multiLevelType w:val="multilevel"/>
    <w:tmpl w:val="E6C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466B7"/>
    <w:multiLevelType w:val="multilevel"/>
    <w:tmpl w:val="8404F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45D03"/>
    <w:multiLevelType w:val="multilevel"/>
    <w:tmpl w:val="1D0A8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66697"/>
    <w:multiLevelType w:val="multilevel"/>
    <w:tmpl w:val="F4B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602E5"/>
    <w:multiLevelType w:val="multilevel"/>
    <w:tmpl w:val="863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C5BEC"/>
    <w:multiLevelType w:val="multilevel"/>
    <w:tmpl w:val="62D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396A"/>
    <w:multiLevelType w:val="multilevel"/>
    <w:tmpl w:val="A63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81B27"/>
    <w:multiLevelType w:val="multilevel"/>
    <w:tmpl w:val="DBF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B2005"/>
    <w:multiLevelType w:val="multilevel"/>
    <w:tmpl w:val="41D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D245A"/>
    <w:multiLevelType w:val="multilevel"/>
    <w:tmpl w:val="A65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51DBA"/>
    <w:multiLevelType w:val="multilevel"/>
    <w:tmpl w:val="4FF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9032C"/>
    <w:multiLevelType w:val="multilevel"/>
    <w:tmpl w:val="B85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A6474"/>
    <w:multiLevelType w:val="multilevel"/>
    <w:tmpl w:val="164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F790A"/>
    <w:multiLevelType w:val="multilevel"/>
    <w:tmpl w:val="984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25D33"/>
    <w:multiLevelType w:val="multilevel"/>
    <w:tmpl w:val="7370F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4345C6"/>
    <w:multiLevelType w:val="multilevel"/>
    <w:tmpl w:val="0652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E4FC9"/>
    <w:multiLevelType w:val="multilevel"/>
    <w:tmpl w:val="258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079B7"/>
    <w:multiLevelType w:val="multilevel"/>
    <w:tmpl w:val="61C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439AC"/>
    <w:multiLevelType w:val="multilevel"/>
    <w:tmpl w:val="954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099257">
    <w:abstractNumId w:val="14"/>
  </w:num>
  <w:num w:numId="2" w16cid:durableId="234366801">
    <w:abstractNumId w:val="0"/>
  </w:num>
  <w:num w:numId="3" w16cid:durableId="1278637848">
    <w:abstractNumId w:val="2"/>
  </w:num>
  <w:num w:numId="4" w16cid:durableId="1468164929">
    <w:abstractNumId w:val="4"/>
  </w:num>
  <w:num w:numId="5" w16cid:durableId="559482059">
    <w:abstractNumId w:val="11"/>
  </w:num>
  <w:num w:numId="6" w16cid:durableId="1524321535">
    <w:abstractNumId w:val="3"/>
  </w:num>
  <w:num w:numId="7" w16cid:durableId="1612861674">
    <w:abstractNumId w:val="1"/>
  </w:num>
  <w:num w:numId="8" w16cid:durableId="613176288">
    <w:abstractNumId w:val="15"/>
  </w:num>
  <w:num w:numId="9" w16cid:durableId="744569029">
    <w:abstractNumId w:val="21"/>
  </w:num>
  <w:num w:numId="10" w16cid:durableId="949971619">
    <w:abstractNumId w:val="13"/>
  </w:num>
  <w:num w:numId="11" w16cid:durableId="2058356034">
    <w:abstractNumId w:val="9"/>
  </w:num>
  <w:num w:numId="12" w16cid:durableId="968129503">
    <w:abstractNumId w:val="17"/>
  </w:num>
  <w:num w:numId="13" w16cid:durableId="1506096302">
    <w:abstractNumId w:val="20"/>
  </w:num>
  <w:num w:numId="14" w16cid:durableId="918902128">
    <w:abstractNumId w:val="7"/>
  </w:num>
  <w:num w:numId="15" w16cid:durableId="1059133878">
    <w:abstractNumId w:val="18"/>
  </w:num>
  <w:num w:numId="16" w16cid:durableId="871117067">
    <w:abstractNumId w:val="8"/>
  </w:num>
  <w:num w:numId="17" w16cid:durableId="1989507223">
    <w:abstractNumId w:val="12"/>
  </w:num>
  <w:num w:numId="18" w16cid:durableId="2096199774">
    <w:abstractNumId w:val="5"/>
  </w:num>
  <w:num w:numId="19" w16cid:durableId="1359619065">
    <w:abstractNumId w:val="19"/>
  </w:num>
  <w:num w:numId="20" w16cid:durableId="2144619777">
    <w:abstractNumId w:val="10"/>
  </w:num>
  <w:num w:numId="21" w16cid:durableId="847839385">
    <w:abstractNumId w:val="16"/>
  </w:num>
  <w:num w:numId="22" w16cid:durableId="1438477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F4F"/>
    <w:rsid w:val="00154580"/>
    <w:rsid w:val="002F3F4F"/>
    <w:rsid w:val="00521433"/>
    <w:rsid w:val="008B0B49"/>
    <w:rsid w:val="00933522"/>
    <w:rsid w:val="009349EB"/>
    <w:rsid w:val="009E5B16"/>
    <w:rsid w:val="00AB21AD"/>
    <w:rsid w:val="00AF1933"/>
    <w:rsid w:val="00D7680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362B"/>
  <w15:chartTrackingRefBased/>
  <w15:docId w15:val="{6C803699-74BF-483E-A72F-FA7D1C663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3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3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F3F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3F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3F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3F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3F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3F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3F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3F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3F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3F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3F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3F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3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3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3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3F4F"/>
    <w:rPr>
      <w:rFonts w:eastAsiaTheme="majorEastAsia" w:cstheme="majorBidi"/>
      <w:color w:val="272727" w:themeColor="text1" w:themeTint="D8"/>
    </w:rPr>
  </w:style>
  <w:style w:type="paragraph" w:styleId="Ttulo">
    <w:name w:val="Title"/>
    <w:basedOn w:val="Normal"/>
    <w:next w:val="Normal"/>
    <w:link w:val="TtuloCar"/>
    <w:uiPriority w:val="10"/>
    <w:qFormat/>
    <w:rsid w:val="002F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3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3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3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3F4F"/>
    <w:pPr>
      <w:spacing w:before="160"/>
      <w:jc w:val="center"/>
    </w:pPr>
    <w:rPr>
      <w:i/>
      <w:iCs/>
      <w:color w:val="404040" w:themeColor="text1" w:themeTint="BF"/>
    </w:rPr>
  </w:style>
  <w:style w:type="character" w:customStyle="1" w:styleId="CitaCar">
    <w:name w:val="Cita Car"/>
    <w:basedOn w:val="Fuentedeprrafopredeter"/>
    <w:link w:val="Cita"/>
    <w:uiPriority w:val="29"/>
    <w:rsid w:val="002F3F4F"/>
    <w:rPr>
      <w:i/>
      <w:iCs/>
      <w:color w:val="404040" w:themeColor="text1" w:themeTint="BF"/>
    </w:rPr>
  </w:style>
  <w:style w:type="paragraph" w:styleId="Prrafodelista">
    <w:name w:val="List Paragraph"/>
    <w:basedOn w:val="Normal"/>
    <w:uiPriority w:val="34"/>
    <w:qFormat/>
    <w:rsid w:val="002F3F4F"/>
    <w:pPr>
      <w:ind w:left="720"/>
      <w:contextualSpacing/>
    </w:pPr>
  </w:style>
  <w:style w:type="character" w:styleId="nfasisintenso">
    <w:name w:val="Intense Emphasis"/>
    <w:basedOn w:val="Fuentedeprrafopredeter"/>
    <w:uiPriority w:val="21"/>
    <w:qFormat/>
    <w:rsid w:val="002F3F4F"/>
    <w:rPr>
      <w:i/>
      <w:iCs/>
      <w:color w:val="0F4761" w:themeColor="accent1" w:themeShade="BF"/>
    </w:rPr>
  </w:style>
  <w:style w:type="paragraph" w:styleId="Citadestacada">
    <w:name w:val="Intense Quote"/>
    <w:basedOn w:val="Normal"/>
    <w:next w:val="Normal"/>
    <w:link w:val="CitadestacadaCar"/>
    <w:uiPriority w:val="30"/>
    <w:qFormat/>
    <w:rsid w:val="002F3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3F4F"/>
    <w:rPr>
      <w:i/>
      <w:iCs/>
      <w:color w:val="0F4761" w:themeColor="accent1" w:themeShade="BF"/>
    </w:rPr>
  </w:style>
  <w:style w:type="character" w:styleId="Referenciaintensa">
    <w:name w:val="Intense Reference"/>
    <w:basedOn w:val="Fuentedeprrafopredeter"/>
    <w:uiPriority w:val="32"/>
    <w:qFormat/>
    <w:rsid w:val="002F3F4F"/>
    <w:rPr>
      <w:b/>
      <w:bCs/>
      <w:smallCaps/>
      <w:color w:val="0F4761" w:themeColor="accent1" w:themeShade="BF"/>
      <w:spacing w:val="5"/>
    </w:rPr>
  </w:style>
  <w:style w:type="paragraph" w:styleId="Encabezado">
    <w:name w:val="header"/>
    <w:basedOn w:val="Normal"/>
    <w:link w:val="EncabezadoCar"/>
    <w:uiPriority w:val="99"/>
    <w:unhideWhenUsed/>
    <w:rsid w:val="002F3F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3F4F"/>
  </w:style>
  <w:style w:type="paragraph" w:styleId="Piedepgina">
    <w:name w:val="footer"/>
    <w:basedOn w:val="Normal"/>
    <w:link w:val="PiedepginaCar"/>
    <w:uiPriority w:val="99"/>
    <w:unhideWhenUsed/>
    <w:rsid w:val="002F3F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3F4F"/>
  </w:style>
  <w:style w:type="table" w:customStyle="1" w:styleId="GridTable4-Accent1">
    <w:name w:val="Grid Table 4 - Accent 1"/>
    <w:basedOn w:val="Tablanormal"/>
    <w:uiPriority w:val="49"/>
    <w:rsid w:val="00D76805"/>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1510</Words>
  <Characters>8565</Characters>
  <Application>Microsoft Office Word</Application>
  <DocSecurity>0</DocSecurity>
  <Lines>182</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Oyarzo</dc:creator>
  <cp:keywords/>
  <dc:description/>
  <cp:lastModifiedBy>Marcos Oyarzo</cp:lastModifiedBy>
  <cp:revision>3</cp:revision>
  <cp:lastPrinted>2026-05-20T06:32:00Z</cp:lastPrinted>
  <dcterms:created xsi:type="dcterms:W3CDTF">2026-05-20T06:00:00Z</dcterms:created>
  <dcterms:modified xsi:type="dcterms:W3CDTF">2026-05-20T06:32:00Z</dcterms:modified>
</cp:coreProperties>
</file>