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02B5C"/>
          <w:sz w:val="64"/>
          <w:szCs w:val="64"/>
        </w:rPr>
        <w:t xml:space="preserve">IcodLife — Análise de</w:t>
      </w:r>
    </w:p>
    <w:p>
      <w:pPr>
        <w:spacing w:after="120"/>
      </w:pPr>
      <w:r>
        <w:rPr>
          <w:rFonts w:ascii="Arial" w:cs="Arial" w:eastAsia="Arial" w:hAnsi="Arial"/>
          <w:color w:val="00A896"/>
          <w:sz w:val="40"/>
          <w:szCs w:val="40"/>
        </w:rPr>
        <w:t xml:space="preserve">Novas Features e Oportunidades</w:t>
      </w:r>
    </w:p>
    <w:p>
      <w:pPr>
        <w:spacing w:after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base no estado atual da plataforma (v7 · Sprint 19)</w:t>
      </w:r>
    </w:p>
    <w:p>
      <w:pPr>
        <w:pBdr>
          <w:bottom w:val="single" w:color="002B5C" w:sz="8"/>
        </w:pBdr>
        <w:spacing w:after="7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1. Gaps Identificados na Plataforma Atual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itens abaixo representam funcionalidades previstas na arquitetura (schema Prisma, módulos NestJS) mas ainda sem interface ou parcialmente implementadas: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400"/>
        <w:gridCol w:w="16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Esforço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Telemedicina Mobile (Sprint 20 planejada)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feature diferenciadora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de Prontuário (tela mobile)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 — fluxo entre paciente e médico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 inline no Doutor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 — experiência do médico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de médicos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Alto — monetização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automatizados (Playwright/Detox)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qualidade e CI/CD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2FA (autenticação em 2 fatores)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segurança em saúde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mode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UX em áreas com baixo sinal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🟢 Futura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Wearables integration (Apple Watch/Fitbit)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dados vitais automáticos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🟢 Futura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2. Novas Features de Alto Impacto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IA Avançada — Análise Preditiva de Saúde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módulo HealthBot atual usa IA para chat genérico. A próxima evolução é transformá-lo em um motor preditivo personalizado: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de Risco Cardiovascular: cruzar BP + glicemia + IMC + estilo de vida para calcular risco Framingham simplificado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Tendência de Hipertensão: alertar o paciente quando a tendência das últimas 10 leituras for ascendente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Pré-diabetes detection: monitorar glicemia em jejum e alertar quando 3+ leituras acima de 100 mg/dL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de adesão a medicamentos: cruzar MedicationLog com horários programados e calcular taxa de adesão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Resumo semanal automático: relatório IA toda segunda-feira com os destaques de saúde da semana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Dependências: Claude API já integrada; requer apenas novos endpoints de agregação no ExamService e BloodPressureService.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Marketplace de Médicos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Feature de maior potencial de monetização. Permite que médicos cadastrados recebam agendamentos de novos pacientes via plataforma: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por especialidade, cidade, nome e plano de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público do médico com foto, bio, currículum e avaliações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 online com calendário real do médico (DoctorWorkingHours já existe)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avaliações pós-consulta (1–5 estrelas + comentário)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Pagamento integrado: Pix, cartão via Stripe/PagSeguro, reembolso por plano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Comissão da plataforma: 8–12% por consulta mediada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Componentes já disponíveis: Doctor model, DoctorWorkingHours, DoctorBlockedSlot, PatientDoctor, DoctorAppointment — faltam apenas as interfaces de busca e pagamento.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Integrações com Wearables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Coleta automática de dados vitais elimina o atrito de registro manual: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Health (iOS): HealthKit bridge via expo-health para BP, frequência cardíaca, glicemia, sono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Fit (Android): sincronia via GoogleFit API ou expo-health-connect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Fitbit, Garmin, Polar via OAuth2 + webhooks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importados seguem o mesmo modelo BloodPressureReading / GlucoseReading — sem mudança de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na tela de vitais indicando a origem (manual vs wearable)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Receita e Pedido de Exame com Assinatura Digital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médico já emite receitas e pedidos de exame (DoctorPrescription, DoctorExamOrder). O próximo passo é torná-los válidos legalmente: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digital com certificado ICP-Brasil do médico (via token A3 ou nuvem)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na receita para validação pelo farmacêutico / laboratório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Receituário Especial (tipo B/C) com formato regulatório da ANVISA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Envio direto por WhatsApp ou e-mail para o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farmácias parceiras para despacho imediato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Prontuário Compartilhado com Acesso Hierárquico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modelo ShareToken já existe. A evolução é criar um portal externo de acesso: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 público de leitura de prontuário com QR code — sem login para o médico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Níveis: basic (dados gerais), medium (vitais + consultas), complete (tudo incluindo exames), custom (campos selecionados)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de acesso configurável: 1 hora / 24h / 7 dias / ilimitado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 acessos: quem, quando, qual IP — visível para o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Notificação push quando o prontuário for acessado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Offline Mode Mobile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Pacientes em áreas com sinal fraco (zona rural, hospital com bloqueio) precisam de acesso offline: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local de últimas leituras BP e glicemia com SQLite/MMKV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Formulário de registro de dados vitais funciona offline e sincroniza quando conectar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Prontuário PDF em cache local para apresentar ao médico sem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 visual de status de sincronização no Dashboard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Dashboard Analytics para Médicos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médico hoje não tem visão agregada de sua carteira de pacientes: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geral: total de pacientes ativos, consultas no mês, taxa de cancelamento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clínicos: pacientes com BP em crise ou glicemia crítica nas últimas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Faturamento mensal: gráfico de receita por mês, por especialidade e por método de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 da semana com taxa de ocupação e slots disponíveis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diagnósticos e medicamentos mais prescritos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Notificações Inteligentes com 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Evoluir o sistema de push para enviar notificações contextualizadas, não apenas lembretes: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'Seu padrão de pressão esta semana está 15% acima da sua média — considere consultar seu médico'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'Faz 6 meses sem leitura de glicemia — que tal registrar uma hoje?'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'Você perdeu 3 doses de Losartana nos últimos 7 dias. Precisa de ajuda?'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'Sua vacina Influenza vence em 30 dias — agende seu reforço'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Cadência inteligente: não enviar mais de 2 notificações ativas por dia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3. Oportunidades de Negócio B2B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White-Label para Operadoras de Saúde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Operadoras (Unimed, Bradesco Saúde, Sul América) precisam de apps de gestão de saúde para seus beneficiários. O IcodLife pode ser licenciado como white-label: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Customização de identidade visual (cores, logo, nome)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de carterinha digital com dados do plano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indicadores de saúde da base de beneficiários (anonimizado, LGPD)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Cobrança: setup fee + mensalidade por beneficiário ativo (R$2–R$5/mês/usuário)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Plataforma para Clínicas Médicas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Clínicas com múltiplos médicos precisam de sistema integrado de agenda, prontuário e financeiro: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Multi-tenant: cada clínica tem seu espaço isolado com múltiplos médicos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Recepção: visão geral de agenda de todos os médicos da clínica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Financeiro centralizado: relatórios por médico, plano de saúde e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glosa: controle de cobranças rejeitadas por convênio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Cobrança: R$299–R$599/mês por clínica (independente do número de médicos)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Integração com Laboratórios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Parceria com laboratórios (DASA, Fleury, Hermes Pardini) para recebimento automático de resultados: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de integração HL7 FHIR para recebimento de laudos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aparece automaticamente no ExamResult do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Notificação push ao paciente quando resultado estiver disponível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interpreta o laudo e destaca itens fora do padrão de referência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de integração: fee por resultado entregue via plataforma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Saúde Corporativa (B2B2C)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Empresas buscam benefícios de saúde para colaboradores além do plano convencional: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Empresa: acesso ao IcodLife para todos os funcionários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RH (anonimizado): índice de saúde da equipe, absenteísmo projetado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Campanhas de vacinação corporativa com acompanhamento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medicina do trabalho: PCMSO, ASO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Cobrança: R$15–R$25/funcionário/mês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4. Melhorias Técnicas Recomendadas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Performance e Escalabilidade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Redis para cache de sessões e rate limiting distribuído (ioredis já instalado)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índices compostos no Prisma para consultas frequentes (userId+date)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cursor-based nos endpoints de histórico (substituir offset/limit)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 assíncrona (BullMQ) para geração de PDF e envio de e-mails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para assets estáticos do Next.js (Cloudflare ou AWS CloudFront)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Qualidade e Confiabilidade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Playwright para testes e2e de Web e Doutor (Sprint 23 planejada)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Detox para testes mobile end-to-end no iOS e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Jest unit tests para services críticos: ExportService, PushService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CI: test + lint + build em cada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para monitoramento de erros em produção (web + mobile)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Experiência do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no app mobile (seguir preferência do sistema)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guiado na primeira abertura do app (3-5 telas)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Biometria no login mobile (expo-local-authentication já instalado)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Widgets iOS/Android com próximo medicamento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Acessibilidade: labels ARIA, VoiceOver iOS, TalkBack Android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Segurança Avançada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2FA TOTP via speakeasy (já instalado na API) — adicionar apenas o fluxo de ativação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Rotação automática de JWT_SECRET sem invalidar tokens existentes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Criptografia de campos sensíveis no banco (CPF, phone) com AES-256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 test antes do lançamento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Política de retenção de dados: deletar automaticamente AuditLogs com +2 anos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5. Priorização Sugerida — Próximos 6 Meses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Sequência recomendada considerando impacto no produto e no negócio: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800"/>
        <w:gridCol w:w="1400"/>
        <w:gridCol w:w="1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Melhoria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Telemedicina Mobile (Sprint 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Julho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Prontuário Mobile (Sprint 21)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Julho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2FA TOTP (segurança)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Agosto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Preditiva (Score de Risco)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Agosto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e CI/CD (Sprint 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Setembro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Analytics Médico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Setembro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de Médicos (MVP)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Outubro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Wearables (Apple Health)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Novembro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para Operadoras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Dezembro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Saúde Corporativa (B2B2C)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Janeiro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6. Considerações Finais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IcodLife já possui uma base técnica sólida e um escopo funcional abrangente para o MVP. As oportunidades mapeadas neste documento representam a evolução natural da plataforma em direção a um ecossistema completo de saúde digital.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Os diferenciais mais estratégicos a desenvolver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preditiva de saúde — transforma dados em insights acionáveis para o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de médicos — principal alavanca de receita e crescimento de usuários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B2B — negócio escalável com poucos clientes de alto valor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arquitetura atual (NestJS + Prisma + monorepo) está bem preparada para receber essas evoluções sem refatorações significativas. O foco agora deve ser fechar o loop do MVP (telemedicina + testes) e iniciar a estratégia de go-to-market.</w:t>
      </w:r>
    </w:p>
    <w:p>
      <w:pPr>
        <w:spacing w:after="80"/>
      </w:pPr>
      <w:r>
        <w:t xml:space="preserve"/>
      </w:r>
    </w:p>
    <w:p>
      <w:pPr>
        <w:pBdr>
          <w:top w:val="single" w:color="00A896" w:sz="4"/>
        </w:pBdr>
        <w:spacing w:before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IcodLife · Análise de Features · Confidencial · Junho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Confidencial —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/>
      </w:pBdr>
      <w:tabs>
        <w:tab w:val="right" w:pos="9026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IcodLife — Análise de Novas Features e Oportunidades</w:t>
    </w:r>
    <w:r>
      <w:rPr>
        <w:rFonts w:ascii="Arial" w:cs="Arial" w:eastAsia="Arial" w:hAnsi="Arial"/>
        <w:color w:val="666666"/>
        <w:sz w:val="18"/>
        <w:szCs w:val="18"/>
      </w:rPr>
      <w:t xml:space="preserve">	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2026-06-29T16:15:55.918Z</dcterms:created>
  <dcterms:modified xsi:type="dcterms:W3CDTF">2026-06-29T16:15:55.918Z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