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002B5C"/>
          <w:sz w:val="72"/>
          <w:szCs w:val="72"/>
        </w:rPr>
        <w:t xml:space="preserve">IcodLife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A896"/>
          <w:sz w:val="48"/>
          <w:szCs w:val="48"/>
        </w:rPr>
        <w:t xml:space="preserve">/ Sou Doutor</w:t>
      </w:r>
    </w:p>
    <w:p>
      <w:pPr>
        <w:spacing w:after="36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Plano de Negócio Atualizado</w:t>
      </w:r>
    </w:p>
    <w:p>
      <w:pPr>
        <w:spacing w:after="12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Versão 7  ·  Junho 2026</w:t>
      </w:r>
    </w:p>
    <w:p>
      <w:pPr>
        <w:spacing w:after="7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Plataforma Digital Integrada de Saúde com IA</w:t>
      </w:r>
    </w:p>
    <w:p>
      <w:pPr>
        <w:pBdr>
          <w:bottom w:val="single" w:color="002B5C" w:sz="8"/>
        </w:pBdr>
        <w:spacing w:after="7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A89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002B5C"/>
          <w:sz w:val="32"/>
          <w:szCs w:val="32"/>
        </w:rPr>
        <w:t xml:space="preserve">1. Visão Geral do Produto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IcodLife é uma plataforma digital de saúde completa que conecta pacientes e médicos em um ecossistema integrado. Composta por três produtos interdependentes, a plataforma oferece gestão de saúde personalizada com inteligência artificial, telemedicina, prontuário eletrônico e ferramentas clínicas para médicos.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 Mobile (Paciente)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Web Paciente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Web Médico (Sou Doutor)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Native + Expo
Gestão pessoal de saúde
Dados vitais + histórico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
Dashboard + download prontuário
Push notifications FCM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
Agenda + prontuário clínico
Receitas + financeiro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00A89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002B5C"/>
          <w:sz w:val="32"/>
          <w:szCs w:val="32"/>
        </w:rPr>
        <w:t xml:space="preserve">2. Status Atual — Sprints Concluídas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produto encontra-se em fase de MVP avançado com 19 sprints concluídas. Abaixo o histórico de entregas: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Funcionalidades Entregues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&amp; Auth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Monorepo pnpm, NestJS, Next.js, Prisma/PostgreSQL, JWT, perfil de usuário, Keycloak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Clínico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Consultas, medicamentos, exames de sangue (IA), vacinas, ciclo menstrual, família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9–10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Composição Corporal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Evolução de peso/IMC, % gordura, massa muscular, IMC história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11–12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Médico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apps/doutor: agenda, prontuário paciente, histórico clínico, export PDF inicial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Pressão Arterial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Módulo BP completo: leituras, classificação JNC8, gráficos, fatores de risco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Glicemia / Diabetes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GlucoseReading com 6 contextos, HbA1c, alertas automáticos, zonas glicêmicas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Telemedicina + Doutor Pro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 TelemedicineRoom, agenda médica, receitas, pedidos de exame, financeiro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FCM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Cloud Messaging, DeviceToken model, SW web, hooks mobile, notificações push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Mobile Expo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DashboardScreen, AppointmentsScreen, MedicationsScreen, HistoryScreen, NotificationsScreen, navegação bottom-tabs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Dados Vitais Mobile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BloodPressureScreen + GlucoseScreen com gráficos SVG nativos, MiniLineChart, classificação clínica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Prontuário Digital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com assinatura digital HMAC-SHA256, QR Code de verificação, endpoint público de validação, download mobile + web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A89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002B5C"/>
          <w:sz w:val="32"/>
          <w:szCs w:val="32"/>
        </w:rPr>
        <w:t xml:space="preserve">3. Stack Técnica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NestJS 10 + TypeScript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 3001, módulos por domínio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Banco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16 + Prisma 5.22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porta 5434, schema versionado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Paciente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 App Router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 3000, Tailwind CSS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Médico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 App Router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 3002, interface clínica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Native + Expo SDK 51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 + Android, react-navigation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Estado (Mobile)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Zustand + AsyncStorage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Persistência de sessão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Tempo Real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Socket.io (WebSocket)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 + sala de telemedicina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FCM + expo-notifications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(SW) + iOS/Android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MinIO (S3-compatible)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de exames e fotos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PDFKit + QRCode + HMAC-SHA256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Prontuário digital assinado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HealthBot, análise de exames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+ Keycloak (opcional)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2FA, SSO corporativo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+ pnpm workspaces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Monorepo, CI/CD GitHub Actions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A89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002B5C"/>
          <w:sz w:val="32"/>
          <w:szCs w:val="32"/>
        </w:rPr>
        <w:t xml:space="preserve">4. Funcionalidades Implementadas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Plataforma do Paciente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Autenticação e perfil (nome, CPF, tipo sanguíneo, alergias, contato de emergência)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com score de saúde, próxima consulta, medicamentos do dia e acesso rápido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Consultas: agendamento, cancelamento, telemedicina com botão de videochamada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Medicamentos: timeline por período (Manhã/Tarde/Noite), registro de tomada, alerta de estoque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Histórico agregado: pressão, glicemia, consultas passadas, vacinas e exames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Pressão arterial: gráficos sistólica+diastólica, classificação JNC8, filtro por período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Glicemia: 6 contextos (jejum, pré/pós-refeição, exercício, aleatório), zonas de risco, HbA1c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Prontuário digital: geração de PDF com assinatura HMAC-SHA256, QR Code de verificação LGPD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Exames de sangue: upload de PDF, análise automática por IA, flags de risco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Vacinas: calendário PNI, registro de doses, próxima dose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Cirurgias: histórico para paciente e familiares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Ciclo menstrual: ciclos, log diário de sintomas, humor, temperatura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Família: cadastro de membros, convites via e-mail, histórico compartilhado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Oftalmologia: exame visual, histórico de prescrições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Composição corporal: peso, IMC, % gordura, massa muscular, série histórica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Estilo de vida: tabagismo, álcool, exercício, sono, stress, ocupação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HealthBot: chat com IA de saúde (Claude API) para orientação geral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Notificações push: FCM web + mobile, lembretes de medicamento e consulta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Compartilhamento de prontuário: tokens temporários com nível de acesso e validade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Plataforma Médica (Sou Doutor)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Perfil médico: CRM, especialidades, currículo, planos de saúde atendidos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Agenda: horários de trabalho por dia da semana, bloqueios, slots configuráveis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Consultas: visualização da agenda do dia, agendamento de pacientes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Prontuário online: acesso ao histórico clínico do paciente vinculado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Prescrições digitais: receitas com itens, diagnóstico, validade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Pedidos de exame: solicitações com urgência e orientações clínicas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Funcionários: cadastro da equipe (secretária, enfermeiro),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Financeiro: caixa de entradas e saídas, por método de pagamento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 em tempo real: WebSocket com pacientes vinculados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Telemedicina: sala virtual, controle de status (waiting/active/ended)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A89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002B5C"/>
          <w:sz w:val="32"/>
          <w:szCs w:val="32"/>
        </w:rPr>
        <w:t xml:space="preserve">5. Modelo de Negócio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Segmentos de Clientes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B2C — Pacientes individuais que desejam centralizar seu histórico de saúde, monitorar dados vitais e se comunicar com médicos de forma digital.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B2B — Médicos, clínicas e operadoras de saúde que precisam de uma plataforma de gestão clínica com telemedicina e prontuário eletrônico.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Proposta de Valor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Pacientes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Médicos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Toda a saúde em um único lugar — consultas, medicamentos, exames, vacinas, dados vitais e prontuário acessível em qualquer dispositivo.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Ferramenta clínica completa sem mensalidade por módulo — agenda, prontuário, receitas, exames, financeiro e telemedicina integrados.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Fluxos de Receita Planejados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Freemium paciente: acesso básico gratuito, funcionalidades premium por assinatura (R$19,90/mês)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Plano Pro médico: por médico/mês (R$99–R$199/mês) com volume ilimitado de pacientes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Plano Clínica: multi-usuário com agenda centralizada, financeiro e funcionários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White-label B2B: plataforma licenciada para operadoras e hospitais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Marketplace de saúde: agendamento com médicos cadastrados (comissão por consulta)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Diferenciais Competitivos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Prontuário com assinatura digital (HMAC-SHA256 + QR Code) — verificável offline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IA integrada para análise de exames e chatbot de orientação em saúde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Monorepo: web (paciente), web (médico) e mobile no mesmo código — velocidade de entrega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Conformidade LGPD by design: consentimentos, auditoria, anonimização, DSAR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Código proprietário com arquitetura escalável (NestJS + Prisma + PostgreSQL)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A89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002B5C"/>
          <w:sz w:val="32"/>
          <w:szCs w:val="32"/>
        </w:rPr>
        <w:t xml:space="preserve">6. Roadmap — Próximas Sprints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Escopo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Telemedicina Mobile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TelemedicineWaitingScreen, WebRTC via WebView (Jitsi/Daily.co), notificação FCM 'médico disponível'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 Prontuário Mobile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ShareProntuarioScreen: criar link temporário, listar shares ativos, QR Code na tela para médico escanear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Doutor Web Pro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Timeline de saúde do paciente, gráficos BP + glicemia inline, comparativo de exames ao longo do tempo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Testes &amp; CI/CD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Playwright (web/doutor), Detox (mobile), GitHub Actions pipeline com cobertura de código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Busca de médicos por especialidade + cidade, agendamento online, avaliações, pagamento integrado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00A89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002B5C"/>
          <w:sz w:val="32"/>
          <w:szCs w:val="32"/>
        </w:rPr>
        <w:t xml:space="preserve">7. Indicadores de Progresso Técnico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Indicador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Quantidade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Módulos NestJS (API)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 módulos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auth, users, appointments, medications, blood-pressure, glucose, export, prontuario, push, telemedicine, doctor, doctor-agenda, financeiro, chat e outros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Modelos no banco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35+ tabelas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User, Appointment, Medication, BloodPressureReading, GlucoseReading, ExamResult, Doctor, ChatRoom, TelemedicineRoom, DeviceToken e outros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Telas Mobile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 telas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Login, Register, Dashboard, Appointments, Medications, History, Notifications, BloodPressure, Glucose, Prontuario, Records, HealthChat, Profile, Vaccines, Menstrual, Family, Vida, Vida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Sprints concluídas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 sprints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Cobrindo do setup inicial ao prontuário digital com assinatura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 no monorepo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apps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(NestJS), web (Next.js), doutor (Next.js), mobile (Expo)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A89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002B5C"/>
          <w:sz w:val="32"/>
          <w:szCs w:val="32"/>
        </w:rPr>
        <w:t xml:space="preserve">8. Conformidade e Segurança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IcodLife foi desenvolvido com conformidade LGPD (Lei 13.709/2018) desde o design: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Consentimentos granulares: terms_of_use, data_processing, data_sharing_b2b, marketing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Auditoria: tabela AuditLog com ação, recurso, usuário, IP e timestamp para todo evento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Soft delete: campo deletedAt em modelos sensíveis (não exclui fisicamente dados do usuário)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Dados sensíveis: marcados no schema com comentários LGPD; CPF único e indexado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Assinatura digital de prontuários: HMAC-SHA256 com JWT_SECRET, validade 1 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Sessões: controle de refresh tokens com IP, device info e expiração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HTTPS: produção exige certificado TLS; desenvolvimento via HTTP 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DSAR (Direito de Acesso): endpoints para exportação e exclusão de dados do titular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1"/>
        <w:pBdr>
          <w:bottom w:val="single" w:color="00A896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002B5C"/>
          <w:sz w:val="32"/>
          <w:szCs w:val="32"/>
        </w:rPr>
        <w:t xml:space="preserve">9. Próximos Passos Imediatos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Para finalizar o setup do ambiente de desenvolvimento e viabilizar a primeira demonstração ao vivo: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Preencher credenciais Firebase nos arquivos .env (FCM push notifications)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Configurar variável API_URL para geração correta da URL no QR Code dos PDFs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Executar npx expo install expo-file-system expo-sharing em apps/mobile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Testar fluxo completo: registro → dashboard → agendamento → medicamento → prontuário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Iniciar Sprint 20 (Telemedicina Mobile) para fechar o ciclo consulta-telemedicina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Definir estratégia de monetização e pricing para lançamento beta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top w:val="single" w:color="00A896" w:sz="4"/>
        </w:pBdr>
        <w:spacing w:before="3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IcodLife · Plataforma Digital de Saúde · Confidencial · Junho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80"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Confidencial —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96" w:sz="4"/>
      </w:pBdr>
      <w:tabs>
        <w:tab w:val="right" w:pos="9026"/>
      </w:tabs>
      <w:spacing w:after="100"/>
    </w:pPr>
    <w:r>
      <w:rPr>
        <w:rFonts w:ascii="Arial" w:cs="Arial" w:eastAsia="Arial" w:hAnsi="Arial"/>
        <w:color w:val="666666"/>
        <w:sz w:val="18"/>
        <w:szCs w:val="18"/>
      </w:rPr>
      <w:t xml:space="preserve">IcodLife / Sou Doutor — Plano de Negócio</w:t>
    </w:r>
    <w:r>
      <w:rPr>
        <w:rFonts w:ascii="Arial" w:cs="Arial" w:eastAsia="Arial" w:hAnsi="Arial"/>
        <w:color w:val="666666"/>
        <w:sz w:val="18"/>
        <w:szCs w:val="18"/>
      </w:rPr>
      <w:t xml:space="preserve">		Junho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2026-06-29T16:11:54.111Z</dcterms:created>
  <dcterms:modified xsi:type="dcterms:W3CDTF">2026-06-29T16:11:54.112Z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