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Arial" w:cs="Arial" w:eastAsia="Arial" w:hAnsi="Arial"/>
          <w:b w:val="1"/>
          <w:sz w:val="20"/>
          <w:szCs w:val="20"/>
          <w:rtl w:val="0"/>
        </w:rPr>
        <w:t xml:space="preserve">A Insegurança Alimentar e o combate a fome no setor rural</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Cassio Barrie Silva Sousa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0"/>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4">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Jorge Lucas Guimarães e Silva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1"/>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05">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Lucas Machado</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2"/>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Marcos Vinicius Sobral Lima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3"/>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tl w:val="0"/>
        </w:rPr>
        <w:t xml:space="preserve"> e</w:t>
      </w:r>
      <w:r w:rsidDel="00000000" w:rsidR="00000000" w:rsidRPr="00000000">
        <w:rPr>
          <w:rtl w:val="0"/>
        </w:rPr>
      </w:r>
    </w:p>
    <w:p w:rsidR="00000000" w:rsidDel="00000000" w:rsidP="00000000" w:rsidRDefault="00000000" w:rsidRPr="00000000" w14:paraId="00000007">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Fonts w:ascii="Times New Roman" w:cs="Times New Roman" w:eastAsia="Times New Roman" w:hAnsi="Times New Roman"/>
          <w:sz w:val="20"/>
          <w:szCs w:val="20"/>
          <w:rtl w:val="0"/>
        </w:rPr>
        <w:t xml:space="preserve">Ivo Sócrates Moraes de Oliveira</w:t>
      </w:r>
      <w:r w:rsidDel="00000000" w:rsidR="00000000" w:rsidRPr="00000000">
        <w:rPr>
          <w:rFonts w:ascii="Times New Roman" w:cs="Times New Roman" w:eastAsia="Times New Roman" w:hAnsi="Times New Roman"/>
          <w:sz w:val="20"/>
          <w:szCs w:val="20"/>
          <w:vertAlign w:val="superscript"/>
          <w:rtl w:val="0"/>
        </w:rPr>
        <w:t xml:space="preserve">(</w:t>
      </w:r>
      <w:r w:rsidDel="00000000" w:rsidR="00000000" w:rsidRPr="00000000">
        <w:rPr>
          <w:rFonts w:ascii="Times New Roman" w:cs="Times New Roman" w:eastAsia="Times New Roman" w:hAnsi="Times New Roman"/>
          <w:sz w:val="20"/>
          <w:szCs w:val="20"/>
          <w:vertAlign w:val="superscript"/>
        </w:rPr>
        <w:footnoteReference w:customMarkFollows="0" w:id="4"/>
      </w:r>
      <w:r w:rsidDel="00000000" w:rsidR="00000000" w:rsidRPr="00000000">
        <w:rPr>
          <w:rFonts w:ascii="Times New Roman" w:cs="Times New Roman" w:eastAsia="Times New Roman" w:hAnsi="Times New Roman"/>
          <w:sz w:val="20"/>
          <w:szCs w:val="20"/>
          <w:vertAlign w:val="superscript"/>
          <w:rtl w:val="0"/>
        </w:rPr>
        <w:t xml:space="preserve">)</w:t>
      </w:r>
    </w:p>
    <w:p w:rsidR="00000000" w:rsidDel="00000000" w:rsidP="00000000" w:rsidRDefault="00000000" w:rsidRPr="00000000" w14:paraId="00000008">
      <w:pPr>
        <w:spacing w:after="0" w:line="240" w:lineRule="auto"/>
        <w:jc w:val="right"/>
        <w:rPr>
          <w:rFonts w:ascii="Times New Roman" w:cs="Times New Roman" w:eastAsia="Times New Roman" w:hAnsi="Times New Roman"/>
          <w:sz w:val="20"/>
          <w:szCs w:val="20"/>
          <w:vertAlign w:val="superscript"/>
        </w:rPr>
      </w:pPr>
      <w:r w:rsidDel="00000000" w:rsidR="00000000" w:rsidRPr="00000000">
        <w:rPr>
          <w:rtl w:val="0"/>
        </w:rPr>
      </w:r>
    </w:p>
    <w:p w:rsidR="00000000" w:rsidDel="00000000" w:rsidP="00000000" w:rsidRDefault="00000000" w:rsidRPr="00000000" w14:paraId="00000009">
      <w:pPr>
        <w:spacing w:after="0" w:line="240" w:lineRule="auto"/>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Data de submissão: x/x/20xx. Data de aprovação: x/xx/20xx.</w:t>
      </w:r>
    </w:p>
    <w:p w:rsidR="00000000" w:rsidDel="00000000" w:rsidP="00000000" w:rsidRDefault="00000000" w:rsidRPr="00000000" w14:paraId="0000000A">
      <w:pPr>
        <w:spacing w:after="0" w:line="240" w:lineRule="auto"/>
        <w:jc w:val="righ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Resumo</w:t>
      </w:r>
      <w:r w:rsidDel="00000000" w:rsidR="00000000" w:rsidRPr="00000000">
        <w:rPr>
          <w:rFonts w:ascii="Times New Roman" w:cs="Times New Roman" w:eastAsia="Times New Roman" w:hAnsi="Times New Roman"/>
          <w:sz w:val="24"/>
          <w:szCs w:val="24"/>
          <w:rtl w:val="0"/>
        </w:rPr>
        <w:t xml:space="preserve"> – O estudo</w:t>
      </w:r>
      <w:r w:rsidDel="00000000" w:rsidR="00000000" w:rsidRPr="00000000">
        <w:rPr>
          <w:rFonts w:ascii="Times New Roman" w:cs="Times New Roman" w:eastAsia="Times New Roman" w:hAnsi="Times New Roman"/>
          <w:sz w:val="24"/>
          <w:szCs w:val="24"/>
          <w:rtl w:val="0"/>
        </w:rPr>
        <w:t xml:space="preserve"> a seguir apresenta os fatores que contribuem para a pobreza e insegurança alimentar no âmbito agrário brasileiro. A pesquisa utilizou-se de dados dos anos 2016 a 2018 apresentando resultados não só de insegurança alimentar, mas também a falta de acesso à educação, água e esgoto nos municípios brasileiros. Tendo em vista que a maior parte da população brasileira que vive em zona rural é predominada pela agricultura familiar, são apresentados dados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rtl w:val="0"/>
        </w:rPr>
        <w:t xml:space="preserve">Mapa inSAN) sobre o programa Fomento Rural para auxílio a essas famílias, comparando o índice de beneficiados pela assistência prestada com o nível de vulnerabilidade e famílias que pertencem a área agreste.</w:t>
      </w:r>
      <w:r w:rsidDel="00000000" w:rsidR="00000000" w:rsidRPr="00000000">
        <w:rPr>
          <w:rtl w:val="0"/>
        </w:rPr>
      </w:r>
    </w:p>
    <w:p w:rsidR="00000000" w:rsidDel="00000000" w:rsidP="00000000" w:rsidRDefault="00000000" w:rsidRPr="00000000" w14:paraId="0000000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color w:val="00000a"/>
          <w:sz w:val="24"/>
          <w:szCs w:val="24"/>
          <w:highlight w:val="white"/>
        </w:rPr>
      </w:pPr>
      <w:r w:rsidDel="00000000" w:rsidR="00000000" w:rsidRPr="00000000">
        <w:rPr>
          <w:rFonts w:ascii="Times New Roman" w:cs="Times New Roman" w:eastAsia="Times New Roman" w:hAnsi="Times New Roman"/>
          <w:b w:val="1"/>
          <w:sz w:val="24"/>
          <w:szCs w:val="24"/>
          <w:rtl w:val="0"/>
        </w:rPr>
        <w:t xml:space="preserve">Palavras-chave: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a"/>
          <w:sz w:val="24"/>
          <w:szCs w:val="24"/>
          <w:highlight w:val="white"/>
          <w:rtl w:val="0"/>
        </w:rPr>
        <w:t xml:space="preserve">Alimentar, rural, insegurança, Mapa inSAN, Brasil</w:t>
      </w:r>
    </w:p>
    <w:p w:rsidR="00000000" w:rsidDel="00000000" w:rsidP="00000000" w:rsidRDefault="00000000" w:rsidRPr="00000000" w14:paraId="00000010">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Food waste index and Awareness against waste</w:t>
      </w: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 – </w:t>
      </w:r>
      <w:r w:rsidDel="00000000" w:rsidR="00000000" w:rsidRPr="00000000">
        <w:rPr>
          <w:rFonts w:ascii="Times New Roman" w:cs="Times New Roman" w:eastAsia="Times New Roman" w:hAnsi="Times New Roman"/>
          <w:sz w:val="24"/>
          <w:szCs w:val="24"/>
          <w:rtl w:val="0"/>
        </w:rPr>
        <w:t xml:space="preserve">The following research presents the factors that contribute to poverty and food insecurity in the Brazilian agrarian context. The research used data from the years 2016 to 2018, presenting results not only of food insecurity, but also the lack of access to education, water and sewage in Brazilian municipalities. Bearing in mind that most of the Brazilian population living in rural areas is dominated by family farming, data from the InSAN Map on the Fomento Rural program to help these families are presented, comparing the rate of beneficiaries of the assistance provided with the level of vulnerability and families that belong to the wild area.</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w:t>
      </w:r>
      <w:r w:rsidDel="00000000" w:rsidR="00000000" w:rsidRPr="00000000">
        <w:rPr>
          <w:rFonts w:ascii="Times New Roman" w:cs="Times New Roman" w:eastAsia="Times New Roman" w:hAnsi="Times New Roman"/>
          <w:sz w:val="24"/>
          <w:szCs w:val="24"/>
          <w:rtl w:val="0"/>
        </w:rPr>
        <w:t xml:space="preserve"> food, rural, insecurity,</w:t>
      </w:r>
      <w:r w:rsidDel="00000000" w:rsidR="00000000" w:rsidRPr="00000000">
        <w:rPr>
          <w:rFonts w:ascii="Times New Roman" w:cs="Times New Roman" w:eastAsia="Times New Roman" w:hAnsi="Times New Roman"/>
          <w:color w:val="00000a"/>
          <w:sz w:val="24"/>
          <w:szCs w:val="24"/>
          <w:highlight w:val="white"/>
          <w:rtl w:val="0"/>
        </w:rPr>
        <w:t xml:space="preserve"> Map inSAN</w:t>
      </w:r>
      <w:r w:rsidDel="00000000" w:rsidR="00000000" w:rsidRPr="00000000">
        <w:rPr>
          <w:rFonts w:ascii="Times New Roman" w:cs="Times New Roman" w:eastAsia="Times New Roman" w:hAnsi="Times New Roman"/>
          <w:sz w:val="24"/>
          <w:szCs w:val="24"/>
          <w:rtl w:val="0"/>
        </w:rPr>
        <w:t xml:space="preserve">, Brazil</w:t>
      </w:r>
    </w:p>
    <w:p w:rsidR="00000000" w:rsidDel="00000000" w:rsidP="00000000" w:rsidRDefault="00000000" w:rsidRPr="00000000" w14:paraId="0000001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Introdução</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acordo com </w:t>
      </w:r>
      <w:r w:rsidDel="00000000" w:rsidR="00000000" w:rsidRPr="00000000">
        <w:rPr>
          <w:rFonts w:ascii="Times New Roman" w:cs="Times New Roman" w:eastAsia="Times New Roman" w:hAnsi="Times New Roman"/>
          <w:sz w:val="24"/>
          <w:szCs w:val="24"/>
          <w:rtl w:val="0"/>
        </w:rPr>
        <w:t xml:space="preserve">a Pesquisa Nacional por Amostra de Domicílios (PNAD) realizada em 2015</w:t>
      </w:r>
      <w:r w:rsidDel="00000000" w:rsidR="00000000" w:rsidRPr="00000000">
        <w:rPr>
          <w:rFonts w:ascii="Times New Roman" w:cs="Times New Roman" w:eastAsia="Times New Roman" w:hAnsi="Times New Roman"/>
          <w:sz w:val="24"/>
          <w:szCs w:val="24"/>
          <w:rtl w:val="0"/>
        </w:rPr>
        <w:t xml:space="preserve"> (IBGE Educa, 2015-2019?), foi estimado que a maior parte da população</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vive em zonas urbanas (84,72%) em contraponto 15,28% nas áreas rurais, assim como é apresentado na figura 1 a “Porcentagem da população que vive em área urbana, por Região(2015)”, onde a região que possui o menor índice é o nordeste com 73% da população vivendo em área urbana, e com maior porcentagem ficou o sudeste representando 93% da população morando em área urbana. </w:t>
      </w:r>
      <w:r w:rsidDel="00000000" w:rsidR="00000000" w:rsidRPr="00000000">
        <w:rPr>
          <w:rtl w:val="0"/>
        </w:rPr>
      </w:r>
    </w:p>
    <w:p w:rsidR="00000000" w:rsidDel="00000000" w:rsidP="00000000" w:rsidRDefault="00000000" w:rsidRPr="00000000" w14:paraId="0000001C">
      <w:pPr>
        <w:spacing w:after="0" w:line="240" w:lineRule="auto"/>
        <w:ind w:firstLine="0"/>
        <w:jc w:val="left"/>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20"/>
          <w:szCs w:val="20"/>
          <w:rtl w:val="0"/>
        </w:rPr>
        <w:t xml:space="preserve">Figura 1</w:t>
      </w:r>
      <w:r w:rsidDel="00000000" w:rsidR="00000000" w:rsidRPr="00000000">
        <w:rPr>
          <w:rtl w:val="0"/>
        </w:rPr>
      </w:r>
    </w:p>
    <w:p w:rsidR="00000000" w:rsidDel="00000000" w:rsidP="00000000" w:rsidRDefault="00000000" w:rsidRPr="00000000" w14:paraId="0000001D">
      <w:pPr>
        <w:spacing w:after="0" w:line="240" w:lineRule="auto"/>
        <w:ind w:firstLine="566"/>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706178" cy="3095625"/>
            <wp:effectExtent b="0" l="0" r="0" t="0"/>
            <wp:docPr id="2" name="image7.png"/>
            <a:graphic>
              <a:graphicData uri="http://schemas.openxmlformats.org/drawingml/2006/picture">
                <pic:pic>
                  <pic:nvPicPr>
                    <pic:cNvPr id="0" name="image7.png"/>
                    <pic:cNvPicPr preferRelativeResize="0"/>
                  </pic:nvPicPr>
                  <pic:blipFill>
                    <a:blip r:embed="rId7"/>
                    <a:srcRect b="11338" l="904" r="1010" t="3816"/>
                    <a:stretch>
                      <a:fillRect/>
                    </a:stretch>
                  </pic:blipFill>
                  <pic:spPr>
                    <a:xfrm>
                      <a:off x="0" y="0"/>
                      <a:ext cx="370617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line="240" w:lineRule="auto"/>
        <w:ind w:firstLine="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IBGE (IBGE Educa, 2015-2019?), Pesquisa Nacional por Amostra de Domicílios (PNAD) 2015</w:t>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2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Tendo em vista os números expressivos da pesquisa que a PNAD efetuou em um relatório anual de 2020 da </w:t>
      </w:r>
      <w:r w:rsidDel="00000000" w:rsidR="00000000" w:rsidRPr="00000000">
        <w:rPr>
          <w:rFonts w:ascii="Times New Roman" w:cs="Times New Roman" w:eastAsia="Times New Roman" w:hAnsi="Times New Roman"/>
          <w:sz w:val="24"/>
          <w:szCs w:val="24"/>
          <w:rtl w:val="0"/>
        </w:rPr>
        <w:t xml:space="preserve">Comissão Econômica para a América Latina e o Caribe (</w:t>
      </w:r>
      <w:r w:rsidDel="00000000" w:rsidR="00000000" w:rsidRPr="00000000">
        <w:rPr>
          <w:rFonts w:ascii="Times New Roman" w:cs="Times New Roman" w:eastAsia="Times New Roman" w:hAnsi="Times New Roman"/>
          <w:sz w:val="24"/>
          <w:szCs w:val="24"/>
          <w:highlight w:val="white"/>
          <w:rtl w:val="0"/>
        </w:rPr>
        <w:t xml:space="preserve">CEPAL), foi estimado que houve um aumento de 209 milhões de pessoas pobres no final deste ano, apresentando assim os efeitos da pandemia no país relacionado a economia e desenvolvimento social que se mostram nos últimos 12 a 20 que anos não tinha crescido de tal forma </w:t>
      </w:r>
      <w:r w:rsidDel="00000000" w:rsidR="00000000" w:rsidRPr="00000000">
        <w:rPr>
          <w:rFonts w:ascii="Times New Roman" w:cs="Times New Roman" w:eastAsia="Times New Roman" w:hAnsi="Times New Roman"/>
          <w:sz w:val="24"/>
          <w:szCs w:val="24"/>
          <w:highlight w:val="white"/>
          <w:rtl w:val="0"/>
        </w:rPr>
        <w:t xml:space="preserve">(Cepal, 2021)</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2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Além disso, baseado na </w:t>
      </w:r>
      <w:r w:rsidDel="00000000" w:rsidR="00000000" w:rsidRPr="00000000">
        <w:rPr>
          <w:rFonts w:ascii="Times New Roman" w:cs="Times New Roman" w:eastAsia="Times New Roman" w:hAnsi="Times New Roman"/>
          <w:sz w:val="24"/>
          <w:szCs w:val="24"/>
          <w:highlight w:val="white"/>
          <w:rtl w:val="0"/>
        </w:rPr>
        <w:t xml:space="preserve">fonte de pesquisa Repórter Brasi</w:t>
      </w:r>
      <w:r w:rsidDel="00000000" w:rsidR="00000000" w:rsidRPr="00000000">
        <w:rPr>
          <w:rFonts w:ascii="Times New Roman" w:cs="Times New Roman" w:eastAsia="Times New Roman" w:hAnsi="Times New Roman"/>
          <w:sz w:val="24"/>
          <w:szCs w:val="24"/>
          <w:highlight w:val="white"/>
          <w:rtl w:val="0"/>
        </w:rPr>
        <w:t xml:space="preserve">l de 2020(GRIGORI, 2020), houve uma nuvem de gafanhotos vindo da Argentina contendo cerca de 1 km</w:t>
      </w:r>
      <w:r w:rsidDel="00000000" w:rsidR="00000000" w:rsidRPr="00000000">
        <w:rPr>
          <w:rFonts w:ascii="Times New Roman" w:cs="Times New Roman" w:eastAsia="Times New Roman" w:hAnsi="Times New Roman"/>
          <w:color w:val="333333"/>
          <w:sz w:val="24"/>
          <w:szCs w:val="24"/>
          <w:highlight w:val="white"/>
          <w:rtl w:val="0"/>
        </w:rPr>
        <w:t xml:space="preserve">²</w:t>
      </w:r>
      <w:r w:rsidDel="00000000" w:rsidR="00000000" w:rsidRPr="00000000">
        <w:rPr>
          <w:rFonts w:ascii="Times New Roman" w:cs="Times New Roman" w:eastAsia="Times New Roman" w:hAnsi="Times New Roman"/>
          <w:sz w:val="24"/>
          <w:szCs w:val="24"/>
          <w:highlight w:val="white"/>
          <w:rtl w:val="0"/>
        </w:rPr>
        <w:t xml:space="preserve"> tendo mais de 40 milhões de gafanhotos podendo se alimentar em apenas 1 dia o consumo de 2 mil vacas ou 350 mil pessoas. O ministério da agricultura relatou que esses gafanhotos não oferecem risco aos humanos ou contém veneno, a problemática era o perigo para as atividades agrícolas, desse modo foi discutido pelo pesquisador O</w:t>
      </w:r>
      <w:r w:rsidDel="00000000" w:rsidR="00000000" w:rsidRPr="00000000">
        <w:rPr>
          <w:rFonts w:ascii="Times New Roman" w:cs="Times New Roman" w:eastAsia="Times New Roman" w:hAnsi="Times New Roman"/>
          <w:sz w:val="24"/>
          <w:szCs w:val="24"/>
          <w:rtl w:val="0"/>
        </w:rPr>
        <w:t xml:space="preserve">smar Malaspina da Unesp, falou sobre o uso de agrotóxico não ter sido determinante para criar essa nuvem, no entanto pode sim ter influenciado. </w:t>
      </w:r>
      <w:r w:rsidDel="00000000" w:rsidR="00000000" w:rsidRPr="00000000">
        <w:rPr>
          <w:rtl w:val="0"/>
        </w:rPr>
      </w:r>
    </w:p>
    <w:p w:rsidR="00000000" w:rsidDel="00000000" w:rsidP="00000000" w:rsidRDefault="00000000" w:rsidRPr="00000000" w14:paraId="0000002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Nesse tempo na qual a demanda de produtos e serviços havia diminuído, tendo a taxa de 39,4% devido às medidas preventivas do novo coronavírus, tendo um impacto no encerramento de diversos setores como 40,9% das empresas do comércio, 39,4% dos serviços, 37,0% da construção, 35,1% da indústria (NERY, 2020). Segundo o IBGE 2020 da primeira quinzena de junho(Pesquisa Pulso Empresa, 2020), apresentou cerca de 522,7 mil empresas de um total de 1,3 milhão fecharam suas portas durante o surto da doença, sendo uma ação temporária ou definitivamente.</w:t>
      </w:r>
    </w:p>
    <w:p w:rsidR="00000000" w:rsidDel="00000000" w:rsidP="00000000" w:rsidRDefault="00000000" w:rsidRPr="00000000" w14:paraId="00000023">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as problemáticas apresentadas, o índice de pobreza só tende a se agravar com as crises que ocorreram, como a da própria COVID-19 que afetou todo o mundo. Logo, torna-se relevante realizar pesquisas relacionadas à população mais carente que mora em áreas e setores que registram a ausência de políticas públicas que possam assegurar e contribuir no combate da fome e da pobreza que é o setor pastoril, bem como a renda deste setor.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Dessa forma, é importante apresentar o agravamento desse dilema com a finalidade de analisar e expor a presente situação dessa população na qual vive da agricultura abordando o combate da fome e a insegurança alimentar, como é no caso da cidade de Barra do corda - MA, onde possui 5774 núcleos familiares no qual moram em na zona agreste com, tendo uma alta taxa de vulnerabilidade baseado nas informações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highlight w:val="white"/>
          <w:rtl w:val="0"/>
        </w:rPr>
        <w:t xml:space="preserve">Mapa inSAN)e do Fomento Rural 2018, mas que possui apenas 1 família foi selecionada para ser a contemplada com o benefício </w:t>
      </w:r>
      <w:r w:rsidDel="00000000" w:rsidR="00000000" w:rsidRPr="00000000">
        <w:rPr>
          <w:rFonts w:ascii="Times New Roman" w:cs="Times New Roman" w:eastAsia="Times New Roman" w:hAnsi="Times New Roman"/>
          <w:sz w:val="24"/>
          <w:szCs w:val="24"/>
          <w:highlight w:val="white"/>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no ano de 2018, em vista que 80,41% dessas famílias possuir uma renda mensal de até R$ 170.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ministério da cidadania (Programa Fomento rural, 2021?) o benefício inclui, acompanhamento social, produtivo e transferência direta de recursos financeiros não-reembolsáveis às famílias para investir em projeto produtivo tendo o valor de R$ 2,4 mil ou R$ 3 mil com a preferência de agricultores familiares e de povos e comunidades tradicionais, indígenas, quilombolas e extrativistas, tendo em vista para ter acesso é necessário se enquadrar em estágio de extrema pobreza com uma renda familiar mensal de R$ 105 por pessoa ou pobreza com a renda familiar de R$205 por pessoa.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Logo finalizar a introdução do tema abordado, na seção 2 será explicada a metodologia aproveitada, já na seção 3, ocorrerá os resultados e discussões, seção 4 apontar as considerações finais e os trabalhos futuros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2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highlight w:val="white"/>
          <w:rtl w:val="0"/>
        </w:rPr>
        <w:t xml:space="preserve">Materiais e métodos</w:t>
      </w:r>
      <w:r w:rsidDel="00000000" w:rsidR="00000000" w:rsidRPr="00000000">
        <w:rPr>
          <w:rtl w:val="0"/>
        </w:rPr>
      </w:r>
    </w:p>
    <w:p w:rsidR="00000000" w:rsidDel="00000000" w:rsidP="00000000" w:rsidRDefault="00000000" w:rsidRPr="00000000" w14:paraId="00000029">
      <w:pPr>
        <w:spacing w:after="0" w:line="240" w:lineRule="auto"/>
        <w:ind w:firstLine="567"/>
        <w:jc w:val="both"/>
        <w:rPr>
          <w:rFonts w:ascii="Times New Roman" w:cs="Times New Roman" w:eastAsia="Times New Roman" w:hAnsi="Times New Roman"/>
          <w:color w:val="000000"/>
          <w:sz w:val="24"/>
          <w:szCs w:val="24"/>
          <w:highlight w:val="white"/>
        </w:rPr>
      </w:pPr>
      <w:r w:rsidDel="00000000" w:rsidR="00000000" w:rsidRPr="00000000">
        <w:rPr>
          <w:rtl w:val="0"/>
        </w:rPr>
      </w:r>
    </w:p>
    <w:p w:rsidR="00000000" w:rsidDel="00000000" w:rsidP="00000000" w:rsidRDefault="00000000" w:rsidRPr="00000000" w14:paraId="0000002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Nesta presente pesquisa foi utilizado a metodologia pesquisa-quantitativa, tendo como foco de investigar a problemática proposta com uma solução já criada e avaliando sua efetividade, desta maneira buscou-se explorar referências bibliográficas, páginas de notícias, pesquisas do IBGE e dados de programas de auxílio agrícola. De acordo com o levantamento de informações usando a pesquisa exploratória que trouxe uma visão mais ampla do cenário, além de descobrir baseando-se nos elementos (base de dados e coleta de dados) com mais relevância para o estudo, trazendo painéis, gráficos e menus visuais de fácil uso para validar o processo. Para criação do painel foi realizado utilizando um notebook com processador i5 8º geração, memória ram de 16GB, armazenamento interno Sata 3 de 2TB e SSD M.2 250GB, sistema operacional de 64 bits Windows 11, versão 21H2, e software Microsoft Power BI x64, versão 2.105.923.0 64.</w:t>
      </w:r>
    </w:p>
    <w:p w:rsidR="00000000" w:rsidDel="00000000" w:rsidP="00000000" w:rsidRDefault="00000000" w:rsidRPr="00000000" w14:paraId="0000002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coleta de dados do</w:t>
      </w:r>
      <w:r w:rsidDel="00000000" w:rsidR="00000000" w:rsidRPr="00000000">
        <w:rPr>
          <w:rFonts w:ascii="Arial" w:cs="Arial" w:eastAsia="Arial" w:hAnsi="Arial"/>
          <w:highlight w:val="white"/>
          <w:rtl w:val="0"/>
        </w:rPr>
        <w:t xml:space="preserve"> Mapeamento da Insegurança Alimentar e Nutricional (</w:t>
      </w:r>
      <w:r w:rsidDel="00000000" w:rsidR="00000000" w:rsidRPr="00000000">
        <w:rPr>
          <w:rFonts w:ascii="Times New Roman" w:cs="Times New Roman" w:eastAsia="Times New Roman" w:hAnsi="Times New Roman"/>
          <w:sz w:val="24"/>
          <w:szCs w:val="24"/>
          <w:highlight w:val="white"/>
          <w:rtl w:val="0"/>
        </w:rPr>
        <w:t xml:space="preserve">Mapa inSAN) foi efetuada através do acesso ao site do portal de aplicação relacionada a insegurança alimentar que está alocado no domínio do governo brasileiro (</w:t>
      </w:r>
      <w:r w:rsidDel="00000000" w:rsidR="00000000" w:rsidRPr="00000000">
        <w:rPr>
          <w:rFonts w:ascii="Times New Roman" w:cs="Times New Roman" w:eastAsia="Times New Roman" w:hAnsi="Times New Roman"/>
          <w:sz w:val="24"/>
          <w:szCs w:val="24"/>
          <w:highlight w:val="white"/>
          <w:rtl w:val="0"/>
        </w:rPr>
        <w:t xml:space="preserve">Mapa inSAN, 2017</w:t>
      </w:r>
      <w:r w:rsidDel="00000000" w:rsidR="00000000" w:rsidRPr="00000000">
        <w:rPr>
          <w:rFonts w:ascii="Times New Roman" w:cs="Times New Roman" w:eastAsia="Times New Roman" w:hAnsi="Times New Roman"/>
          <w:sz w:val="24"/>
          <w:szCs w:val="24"/>
          <w:highlight w:val="white"/>
          <w:vertAlign w:val="superscript"/>
        </w:rPr>
        <w:footnoteReference w:customMarkFollows="0" w:id="5"/>
      </w:r>
      <w:r w:rsidDel="00000000" w:rsidR="00000000" w:rsidRPr="00000000">
        <w:rPr>
          <w:rFonts w:ascii="Times New Roman" w:cs="Times New Roman" w:eastAsia="Times New Roman" w:hAnsi="Times New Roman"/>
          <w:sz w:val="24"/>
          <w:szCs w:val="24"/>
          <w:highlight w:val="white"/>
          <w:rtl w:val="0"/>
        </w:rPr>
        <w:t xml:space="preserve">). Assim, para consolidar de fato a pesquisa trouxe mais uma base importante para o presente estudo, programa fomento rural, em que é localizado também dentro da página do portal brasileiro de dados abertos do ministério da cidadania (</w:t>
      </w:r>
      <w:r w:rsidDel="00000000" w:rsidR="00000000" w:rsidRPr="00000000">
        <w:rPr>
          <w:rFonts w:ascii="Times New Roman" w:cs="Times New Roman" w:eastAsia="Times New Roman" w:hAnsi="Times New Roman"/>
          <w:sz w:val="24"/>
          <w:szCs w:val="24"/>
          <w:highlight w:val="white"/>
          <w:rtl w:val="0"/>
        </w:rPr>
        <w:t xml:space="preserve">Fomento Rural, 2022</w:t>
      </w:r>
      <w:r w:rsidDel="00000000" w:rsidR="00000000" w:rsidRPr="00000000">
        <w:rPr>
          <w:rFonts w:ascii="Times New Roman" w:cs="Times New Roman" w:eastAsia="Times New Roman" w:hAnsi="Times New Roman"/>
          <w:sz w:val="24"/>
          <w:szCs w:val="24"/>
          <w:highlight w:val="white"/>
          <w:vertAlign w:val="superscript"/>
        </w:rPr>
        <w:footnoteReference w:customMarkFollows="0" w:id="6"/>
      </w:r>
      <w:r w:rsidDel="00000000" w:rsidR="00000000" w:rsidRPr="00000000">
        <w:rPr>
          <w:rFonts w:ascii="Times New Roman" w:cs="Times New Roman" w:eastAsia="Times New Roman" w:hAnsi="Times New Roman"/>
          <w:sz w:val="24"/>
          <w:szCs w:val="24"/>
          <w:highlight w:val="white"/>
          <w:rtl w:val="0"/>
        </w:rPr>
        <w:t xml:space="preserve">). Tendo, as bases de dados já pré-definidas, são realizadas as etapas envolvendo ETL, modelagem analítica e criação dos painéis visuais de dados.</w:t>
      </w:r>
      <w:r w:rsidDel="00000000" w:rsidR="00000000" w:rsidRPr="00000000">
        <w:rPr>
          <w:rtl w:val="0"/>
        </w:rPr>
      </w:r>
    </w:p>
    <w:p w:rsidR="00000000" w:rsidDel="00000000" w:rsidP="00000000" w:rsidRDefault="00000000" w:rsidRPr="00000000" w14:paraId="0000002C">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after="0" w:line="240" w:lineRule="auto"/>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Resultados e discussões</w:t>
      </w:r>
    </w:p>
    <w:p w:rsidR="00000000" w:rsidDel="00000000" w:rsidP="00000000" w:rsidRDefault="00000000" w:rsidRPr="00000000" w14:paraId="0000002E">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F">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Devido a escassez de informações relacionadas à problemática abordada nesta pesquisa, foram utilizadas apenas duas bases de dados em formato CSV e todo conteúdo do estudo foi alocado dentro de um repositório Github</w:t>
      </w:r>
      <w:r w:rsidDel="00000000" w:rsidR="00000000" w:rsidRPr="00000000">
        <w:rPr>
          <w:rFonts w:ascii="Times New Roman" w:cs="Times New Roman" w:eastAsia="Times New Roman" w:hAnsi="Times New Roman"/>
          <w:sz w:val="24"/>
          <w:szCs w:val="24"/>
          <w:highlight w:val="white"/>
          <w:vertAlign w:val="superscript"/>
        </w:rPr>
        <w:footnoteReference w:customMarkFollows="0" w:id="7"/>
      </w:r>
      <w:r w:rsidDel="00000000" w:rsidR="00000000" w:rsidRPr="00000000">
        <w:rPr>
          <w:rFonts w:ascii="Times New Roman" w:cs="Times New Roman" w:eastAsia="Times New Roman" w:hAnsi="Times New Roman"/>
          <w:sz w:val="24"/>
          <w:szCs w:val="24"/>
          <w:highlight w:val="white"/>
          <w:rtl w:val="0"/>
        </w:rPr>
        <w:t xml:space="preserve">, baseando-se em dados de 2016 a 2018, assim o Mapa inSAN possuir o volume em seu documento 553 kilobytes, sendo bem leve com 3195 linhas contendo mais atributos como índices do </w:t>
      </w:r>
      <w:r w:rsidDel="00000000" w:rsidR="00000000" w:rsidRPr="00000000">
        <w:rPr>
          <w:rFonts w:ascii="Times New Roman" w:cs="Times New Roman" w:eastAsia="Times New Roman" w:hAnsi="Times New Roman"/>
          <w:sz w:val="24"/>
          <w:szCs w:val="24"/>
          <w:rtl w:val="0"/>
        </w:rPr>
        <w:t xml:space="preserve">Instituto Brasileiro de Geografia e Estatística</w:t>
      </w:r>
      <w:r w:rsidDel="00000000" w:rsidR="00000000" w:rsidRPr="00000000">
        <w:rPr>
          <w:rFonts w:ascii="Times New Roman" w:cs="Times New Roman" w:eastAsia="Times New Roman" w:hAnsi="Times New Roman"/>
          <w:sz w:val="24"/>
          <w:szCs w:val="24"/>
          <w:highlight w:val="white"/>
          <w:rtl w:val="0"/>
        </w:rPr>
        <w:t xml:space="preserve"> (IBGE), Público alvo, UF(unidades federativas do brasil), Código Município IBGE, nome do município, Número de Pessoas CAD, Número de Famílias no Urbano, Número de famílias no rural, nível de vulnerabilidade, Número de Crianças menor que 5 anos  PBF Acompanhadas, Déficit de Altura para Idade crianças &lt; 5 anos  PBF, Déficit de Peso para Idade crianças &lt; 5 anos  PBF, Sem acesso à água% famílias, Sem esgoto adequado % famílias, Sem instrução ou fundamental incompleto% RF, Renda até R$ 170,00  % família. Portanto, tendo o Mapa inSAN como a principal base de dados no</w:t>
      </w:r>
      <w:r w:rsidDel="00000000" w:rsidR="00000000" w:rsidRPr="00000000">
        <w:rPr>
          <w:rFonts w:ascii="Times New Roman" w:cs="Times New Roman" w:eastAsia="Times New Roman" w:hAnsi="Times New Roman"/>
          <w:sz w:val="24"/>
          <w:szCs w:val="24"/>
          <w:highlight w:val="white"/>
          <w:rtl w:val="0"/>
        </w:rPr>
        <w:t xml:space="preserve"> processo de análise pelo sentido de ter mais informações e abrangência sobre a situação do país</w:t>
      </w:r>
      <w:r w:rsidDel="00000000" w:rsidR="00000000" w:rsidRPr="00000000">
        <w:rPr>
          <w:rFonts w:ascii="Times New Roman" w:cs="Times New Roman" w:eastAsia="Times New Roman" w:hAnsi="Times New Roman"/>
          <w:sz w:val="24"/>
          <w:szCs w:val="24"/>
          <w:highlight w:val="white"/>
          <w:rtl w:val="0"/>
        </w:rPr>
        <w:t xml:space="preserve">, é preciso analisar a fonte de dados relacionada ao benefício que o governo federal criou no intuito de ajudar as famílias mais carentes que moram na zona agreste, fomento rural, sendo atualizado constantemente na página do ministério da cidadania, possuindo formato CSV com tamanho leve de 15 kilobytes e 745 linhas contendo as colunas de “código do IBGE, ano e nomes, quantidade de famílias beneficiadas pelo benefício, quantidade de famílias acumuladas recebendo o benefício”.        </w:t>
      </w:r>
    </w:p>
    <w:p w:rsidR="00000000" w:rsidDel="00000000" w:rsidP="00000000" w:rsidRDefault="00000000" w:rsidRPr="00000000" w14:paraId="0000003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convergência das bases de dados foi realizada tendo uma filtragem na consulta no índice do IBGE e utilizando as propriedades dos beneficiados e dos beneficiados acumulados, assim fazendo o uso do Power Query do Power BI para realizar tanto essa junção quanto o tratamento dos respectivos dados. As linhas que não condizem com a fusão foram excluídas buscando uma maior precisão do estudo, resultando 744 linhas de dados em comum. Entretanto foi desconsiderado alguns índices como “Número de Pessoas CAD, Número de Famílias no Urbano,e, Número de Crianças menor que 5 anos  PBF Acompanhadas, Déficit de Altura para Idade crianças &lt; 5 anos  PBF, Déficit de Peso para Idade crianças &lt; 5 anos  PBF, ano e nomes ”, para um resultado mais preciso sobre o público alvo da pesquisa(zona rural) e tornando possível criar os painéis que serão apresentados a seguir. Na criação dos painéis utilizou-se API SmartFilter nativa do software para uma estilização maior nas caixas de filtros que são os menus.</w:t>
      </w:r>
    </w:p>
    <w:p w:rsidR="00000000" w:rsidDel="00000000" w:rsidP="00000000" w:rsidRDefault="00000000" w:rsidRPr="00000000" w14:paraId="0000003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Após finalizar as ações de ETL, foi iniciado o processo de </w:t>
      </w:r>
      <w:r w:rsidDel="00000000" w:rsidR="00000000" w:rsidRPr="00000000">
        <w:rPr>
          <w:rFonts w:ascii="Times New Roman" w:cs="Times New Roman" w:eastAsia="Times New Roman" w:hAnsi="Times New Roman"/>
          <w:sz w:val="24"/>
          <w:szCs w:val="24"/>
          <w:highlight w:val="white"/>
          <w:rtl w:val="0"/>
        </w:rPr>
        <w:t xml:space="preserve">modelagem</w:t>
      </w:r>
      <w:r w:rsidDel="00000000" w:rsidR="00000000" w:rsidRPr="00000000">
        <w:rPr>
          <w:rFonts w:ascii="Times New Roman" w:cs="Times New Roman" w:eastAsia="Times New Roman" w:hAnsi="Times New Roman"/>
          <w:sz w:val="24"/>
          <w:szCs w:val="24"/>
          <w:highlight w:val="white"/>
          <w:rtl w:val="0"/>
        </w:rPr>
        <w:t xml:space="preserve">, em que foi realizada a visualização dos dados tratados, tendo a base “fomento rural 2018” se vinculando com “Brasil”(Mapa inSAN), onde é ilustrado na Figura 2.</w:t>
      </w:r>
    </w:p>
    <w:p w:rsidR="00000000" w:rsidDel="00000000" w:rsidP="00000000" w:rsidRDefault="00000000" w:rsidRPr="00000000" w14:paraId="0000003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0"/>
          <w:szCs w:val="20"/>
          <w:highlight w:val="white"/>
          <w:rtl w:val="0"/>
        </w:rPr>
        <w:t xml:space="preserve">Figura 2 - Processo de modelagem de dados</w:t>
      </w:r>
      <w:r w:rsidDel="00000000" w:rsidR="00000000" w:rsidRPr="00000000">
        <w:rPr>
          <w:rtl w:val="0"/>
        </w:rPr>
      </w:r>
    </w:p>
    <w:p w:rsidR="00000000" w:rsidDel="00000000" w:rsidP="00000000" w:rsidRDefault="00000000" w:rsidRPr="00000000" w14:paraId="00000034">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035300"/>
            <wp:effectExtent b="0" l="0" r="0" t="0"/>
            <wp:docPr id="9"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759775"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6">
      <w:pPr>
        <w:spacing w:after="0" w:line="240" w:lineRule="auto"/>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3 </w:t>
      </w:r>
      <w:r w:rsidDel="00000000" w:rsidR="00000000" w:rsidRPr="00000000">
        <w:rPr>
          <w:rFonts w:ascii="Times New Roman" w:cs="Times New Roman" w:eastAsia="Times New Roman" w:hAnsi="Times New Roman"/>
          <w:sz w:val="24"/>
          <w:szCs w:val="24"/>
          <w:highlight w:val="white"/>
          <w:rtl w:val="0"/>
        </w:rPr>
        <w:t xml:space="preserve">intitulada</w:t>
      </w:r>
      <w:r w:rsidDel="00000000" w:rsidR="00000000" w:rsidRPr="00000000">
        <w:rPr>
          <w:rFonts w:ascii="Times New Roman" w:cs="Times New Roman" w:eastAsia="Times New Roman" w:hAnsi="Times New Roman"/>
          <w:sz w:val="24"/>
          <w:szCs w:val="24"/>
          <w:highlight w:val="white"/>
          <w:rtl w:val="0"/>
        </w:rPr>
        <w:t xml:space="preserve">  como “Painel Geral” utilizando a base do Mapa InSAN junto com a base do fomento rural trazendo uma visão abrangente sobre o núcleo de famílias que pertencem ao setor agreste fazendo uso de gráficos para exemplificar de melhor forma. Abaixo dos gráficos no painel da Figura 3 há 3 caixas de filtros, onde usuário poderá selecionar os níveis de vulnerabilidade, a UF (Unidade Federativa) ou o Município que deseja analisar, ao selecionar os resultados são gerados na interface de visualização ou caso preferir é possível procurar item por item e apenas selecionar, ressaltando que essa ferramenta apenas pode inserir 10 dados no campo de filtragem pela limitação da API no modo gratuito. </w:t>
      </w:r>
    </w:p>
    <w:p w:rsidR="00000000" w:rsidDel="00000000" w:rsidP="00000000" w:rsidRDefault="00000000" w:rsidRPr="00000000" w14:paraId="00000038">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 gráfico com a legenda “Número Famílias no Rural por Nível de Vulnerabilidade”, a situação com vulnerabilidade Média foi a com maior quantidade tendo 72,08% (656.226 famílias), a situação com vulnerabilidade Alta contendo 25,5% (232.119 famílias) e a situação com vulnerabilidade Muito Alta possui 2,42% (22.048 famílias). Logo a esquerda possui</w:t>
      </w:r>
      <w:r w:rsidDel="00000000" w:rsidR="00000000" w:rsidRPr="00000000">
        <w:rPr>
          <w:rFonts w:ascii="Times New Roman" w:cs="Times New Roman" w:eastAsia="Times New Roman" w:hAnsi="Times New Roman"/>
          <w:sz w:val="24"/>
          <w:szCs w:val="24"/>
          <w:highlight w:val="white"/>
          <w:rtl w:val="0"/>
        </w:rPr>
        <w:t xml:space="preserve"> o gráfico de rosca sobre “Famílias na Zona Rural que Recebem ou Já Receberam o Benefício”, possuindo 91,64% (910.473 famílias) de famílias no total, 6,95% (69017 famílias) usufruíram do fomento rural e 1,42% (14078 famílias) começaram a receber referente ao ano da pesquisa, 2018. </w:t>
      </w:r>
    </w:p>
    <w:p w:rsidR="00000000" w:rsidDel="00000000" w:rsidP="00000000" w:rsidRDefault="00000000" w:rsidRPr="00000000" w14:paraId="00000039">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foi apontado que o programa de auxílio às famílias que vivem em zona rural, possui uma quantidade considerada de beneficiários anteriores, sendo maior que os núcleos familiares que passaram a receber no presente ano de 2018, entretanto o volume total que não são beneficiadas é a grande maioria..        </w:t>
      </w:r>
      <w:r w:rsidDel="00000000" w:rsidR="00000000" w:rsidRPr="00000000">
        <w:rPr>
          <w:rtl w:val="0"/>
        </w:rPr>
      </w:r>
    </w:p>
    <w:p w:rsidR="00000000" w:rsidDel="00000000" w:rsidP="00000000" w:rsidRDefault="00000000" w:rsidRPr="00000000" w14:paraId="0000003A">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B">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3 - Painel Geral   </w:t>
      </w:r>
    </w:p>
    <w:p w:rsidR="00000000" w:rsidDel="00000000" w:rsidP="00000000" w:rsidRDefault="00000000" w:rsidRPr="00000000" w14:paraId="0000003C">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385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5977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3E">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F">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apresenta o painel sobre a problemática da ausência de água nas zonas rurais, então é utilizado o nível de fragilidade, sem acesso à água, município e estado. Dessa forma realizou 3 gráficos onde tem o índice por geral, município e estado, além do filtro de pesquisa abaixo para uma precisão maior. Assim foi estudado os dados das interface, “Os 5 municípios com maior falta de acesso à água”, Limoeiro do Ajuru - PA com </w:t>
      </w:r>
      <w:r w:rsidDel="00000000" w:rsidR="00000000" w:rsidRPr="00000000">
        <w:rPr>
          <w:rFonts w:ascii="Times New Roman" w:cs="Times New Roman" w:eastAsia="Times New Roman" w:hAnsi="Times New Roman"/>
          <w:sz w:val="24"/>
          <w:szCs w:val="24"/>
          <w:highlight w:val="white"/>
          <w:rtl w:val="0"/>
        </w:rPr>
        <w:t xml:space="preserve">alta</w:t>
      </w:r>
      <w:r w:rsidDel="00000000" w:rsidR="00000000" w:rsidRPr="00000000">
        <w:rPr>
          <w:rFonts w:ascii="Times New Roman" w:cs="Times New Roman" w:eastAsia="Times New Roman" w:hAnsi="Times New Roman"/>
          <w:sz w:val="24"/>
          <w:szCs w:val="24"/>
          <w:highlight w:val="white"/>
          <w:rtl w:val="0"/>
        </w:rPr>
        <w:t xml:space="preserve"> vulnerabilidade, 64,68% sem acesso à água tendo 4366 famílias na zona rural que fazem parte desse dado, além das demais cidades como Mãe d’ Água - PB, Igaci - AL, Barras do Mendes - BH, Igarapé - PA. Segunda análise, “Famílias sem acesso água por nível de vulnerabilidade”, tendo 71,89% nível de vulnerabilidade média, 25,44% alta e 0,19% muito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e terceira, “Os 5 estados com maior falta de acesso à água”, Bahia em 2018 teve o maior índice com 3,1% alta dificuldade econômica e sem acesso à água, contendo 28312 familiares;  71,89% </w:t>
      </w:r>
      <w:r w:rsidDel="00000000" w:rsidR="00000000" w:rsidRPr="00000000">
        <w:rPr>
          <w:rFonts w:ascii="Times New Roman" w:cs="Times New Roman" w:eastAsia="Times New Roman" w:hAnsi="Times New Roman"/>
          <w:sz w:val="24"/>
          <w:szCs w:val="24"/>
          <w:highlight w:val="white"/>
          <w:rtl w:val="0"/>
        </w:rPr>
        <w:t xml:space="preserve">média </w:t>
      </w:r>
      <w:r w:rsidDel="00000000" w:rsidR="00000000" w:rsidRPr="00000000">
        <w:rPr>
          <w:rFonts w:ascii="Times New Roman" w:cs="Times New Roman" w:eastAsia="Times New Roman" w:hAnsi="Times New Roman"/>
          <w:sz w:val="24"/>
          <w:szCs w:val="24"/>
          <w:highlight w:val="white"/>
          <w:rtl w:val="0"/>
        </w:rPr>
        <w:t xml:space="preserve">vulnerabilidade e 656226 grupo familiar; 2,42%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onde todos sofrem o dilema.</w:t>
      </w:r>
    </w:p>
    <w:p w:rsidR="00000000" w:rsidDel="00000000" w:rsidP="00000000" w:rsidRDefault="00000000" w:rsidRPr="00000000" w14:paraId="0000004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1">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2 - Painel Zona Rural - sem acesso à água</w:t>
      </w:r>
    </w:p>
    <w:p w:rsidR="00000000" w:rsidDel="00000000" w:rsidP="00000000" w:rsidRDefault="00000000" w:rsidRPr="00000000" w14:paraId="00000042">
      <w:pPr>
        <w:spacing w:after="0" w:line="240" w:lineRule="auto"/>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59775" cy="32512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59775" cy="3251200"/>
                    </a:xfrm>
                    <a:prstGeom prst="rect"/>
                    <a:ln/>
                  </pic:spPr>
                </pic:pic>
              </a:graphicData>
            </a:graphic>
          </wp:inline>
        </w:drawing>
      </w:r>
      <w:r w:rsidDel="00000000" w:rsidR="00000000" w:rsidRPr="00000000">
        <w:rPr>
          <w:rFonts w:ascii="Times New Roman" w:cs="Times New Roman" w:eastAsia="Times New Roman" w:hAnsi="Times New Roman"/>
          <w:sz w:val="20"/>
          <w:szCs w:val="20"/>
          <w:highlight w:val="white"/>
          <w:rtl w:val="0"/>
        </w:rPr>
        <w:t xml:space="preserve">Fonte: Elaboração própria</w:t>
      </w:r>
      <w:r w:rsidDel="00000000" w:rsidR="00000000" w:rsidRPr="00000000">
        <w:rPr>
          <w:rFonts w:ascii="Times New Roman" w:cs="Times New Roman" w:eastAsia="Times New Roman" w:hAnsi="Times New Roman"/>
          <w:b w:val="1"/>
          <w:sz w:val="20"/>
          <w:szCs w:val="20"/>
          <w:highlight w:val="white"/>
          <w:rtl w:val="0"/>
        </w:rPr>
        <w:tab/>
      </w:r>
    </w:p>
    <w:p w:rsidR="00000000" w:rsidDel="00000000" w:rsidP="00000000" w:rsidRDefault="00000000" w:rsidRPr="00000000" w14:paraId="00000043">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4">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w:t>
      </w:r>
      <w:r w:rsidDel="00000000" w:rsidR="00000000" w:rsidRPr="00000000">
        <w:rPr>
          <w:rFonts w:ascii="Times New Roman" w:cs="Times New Roman" w:eastAsia="Times New Roman" w:hAnsi="Times New Roman"/>
          <w:sz w:val="24"/>
          <w:szCs w:val="24"/>
          <w:highlight w:val="white"/>
          <w:rtl w:val="0"/>
        </w:rPr>
        <w:t xml:space="preserve">5 é composta com gráficos empilhados e rosca, dinâmica da filtragem de dados, tendo a problemática de “sem esgoto adequado”, assim é possível ter uma noção melhor da situação. Desta maneira, entre os 5 municípios e estados com maior taxa de não conter esgoto adequado se destacou Ibiracatu - MG contendo nível médio de vulnerabilidade, 99,43% sem esgoto adequado, 638 famílias afetadas e Bahia com de 84,96% em situação </w:t>
      </w:r>
      <w:r w:rsidDel="00000000" w:rsidR="00000000" w:rsidRPr="00000000">
        <w:rPr>
          <w:rFonts w:ascii="Times New Roman" w:cs="Times New Roman" w:eastAsia="Times New Roman" w:hAnsi="Times New Roman"/>
          <w:sz w:val="24"/>
          <w:szCs w:val="24"/>
          <w:highlight w:val="white"/>
          <w:rtl w:val="0"/>
        </w:rPr>
        <w:t xml:space="preserve">média</w:t>
      </w:r>
      <w:r w:rsidDel="00000000" w:rsidR="00000000" w:rsidRPr="00000000">
        <w:rPr>
          <w:rFonts w:ascii="Times New Roman" w:cs="Times New Roman" w:eastAsia="Times New Roman" w:hAnsi="Times New Roman"/>
          <w:sz w:val="24"/>
          <w:szCs w:val="24"/>
          <w:highlight w:val="white"/>
          <w:rtl w:val="0"/>
        </w:rPr>
        <w:t xml:space="preserve"> vulnerabilidade, apenas 1,6% não tem um esgoto em boas condições, como também em 9,68% </w:t>
      </w:r>
      <w:r w:rsidDel="00000000" w:rsidR="00000000" w:rsidRPr="00000000">
        <w:rPr>
          <w:rFonts w:ascii="Times New Roman" w:cs="Times New Roman" w:eastAsia="Times New Roman" w:hAnsi="Times New Roman"/>
          <w:sz w:val="24"/>
          <w:szCs w:val="24"/>
          <w:highlight w:val="white"/>
          <w:rtl w:val="0"/>
        </w:rPr>
        <w:t xml:space="preserve">alta vulnerabilidade </w:t>
      </w:r>
      <w:r w:rsidDel="00000000" w:rsidR="00000000" w:rsidRPr="00000000">
        <w:rPr>
          <w:rFonts w:ascii="Times New Roman" w:cs="Times New Roman" w:eastAsia="Times New Roman" w:hAnsi="Times New Roman"/>
          <w:sz w:val="24"/>
          <w:szCs w:val="24"/>
          <w:highlight w:val="white"/>
          <w:rtl w:val="0"/>
        </w:rPr>
        <w:t xml:space="preserve">somente 0,19% e 3,53% </w:t>
      </w:r>
      <w:r w:rsidDel="00000000" w:rsidR="00000000" w:rsidRPr="00000000">
        <w:rPr>
          <w:rFonts w:ascii="Times New Roman" w:cs="Times New Roman" w:eastAsia="Times New Roman" w:hAnsi="Times New Roman"/>
          <w:sz w:val="24"/>
          <w:szCs w:val="24"/>
          <w:highlight w:val="white"/>
          <w:rtl w:val="0"/>
        </w:rPr>
        <w:t xml:space="preserve">muito alta</w:t>
      </w:r>
      <w:r w:rsidDel="00000000" w:rsidR="00000000" w:rsidRPr="00000000">
        <w:rPr>
          <w:rFonts w:ascii="Times New Roman" w:cs="Times New Roman" w:eastAsia="Times New Roman" w:hAnsi="Times New Roman"/>
          <w:sz w:val="24"/>
          <w:szCs w:val="24"/>
          <w:highlight w:val="white"/>
          <w:rtl w:val="0"/>
        </w:rPr>
        <w:t xml:space="preserve"> vulnerabilidade 0,4% com sofrendo da problemática presente. </w:t>
      </w:r>
    </w:p>
    <w:p w:rsidR="00000000" w:rsidDel="00000000" w:rsidP="00000000" w:rsidRDefault="00000000" w:rsidRPr="00000000" w14:paraId="0000004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sem esgoto adequado</w:t>
      </w:r>
    </w:p>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512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59775"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49">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4 traz a problemática da ausência a educação, assim baseado nas Figuras 2 e 3, onde nos gráficos empilhados apresenta “Os 5 municípios com maior falta de acesso à educação” e o do lado esquerdo representa a “Os 5 estados com maior falta de acesso à educação”, em rosca “famílias na zona rural e estado vulnerabilidade”, além dos filtros de pesquisa abaixo. Portanto, “os 5 municípios com maior falta de acesso à educação” são: Porto Firme - MG, Erval Grande - RS, Cipotânea - MG, Capela Nova - MG, Boqueirão do Leão - RS, onde todos os municípios mencionados estão em nível médio de vulnerabilidade. “Os 5 estados com maior falta de acesso à educação são”, Minais Gerais, Bahia, Tocantins, Pará e Santa Catarina, de acordo com o estudo 70,11% dos estados estão em nível vulnerabilidade </w:t>
      </w:r>
      <w:r w:rsidDel="00000000" w:rsidR="00000000" w:rsidRPr="00000000">
        <w:rPr>
          <w:rFonts w:ascii="Times New Roman" w:cs="Times New Roman" w:eastAsia="Times New Roman" w:hAnsi="Times New Roman"/>
          <w:sz w:val="24"/>
          <w:szCs w:val="24"/>
          <w:highlight w:val="white"/>
          <w:rtl w:val="0"/>
        </w:rPr>
        <w:t xml:space="preserve">médio </w:t>
      </w:r>
      <w:r w:rsidDel="00000000" w:rsidR="00000000" w:rsidRPr="00000000">
        <w:rPr>
          <w:rFonts w:ascii="Times New Roman" w:cs="Times New Roman" w:eastAsia="Times New Roman" w:hAnsi="Times New Roman"/>
          <w:sz w:val="24"/>
          <w:szCs w:val="24"/>
          <w:highlight w:val="white"/>
          <w:rtl w:val="0"/>
        </w:rPr>
        <w:t xml:space="preserve">tendo 2,16% sem acesso à educação; 24, 81% vulnerabilidade </w:t>
      </w:r>
      <w:r w:rsidDel="00000000" w:rsidR="00000000" w:rsidRPr="00000000">
        <w:rPr>
          <w:rFonts w:ascii="Times New Roman" w:cs="Times New Roman" w:eastAsia="Times New Roman" w:hAnsi="Times New Roman"/>
          <w:sz w:val="24"/>
          <w:szCs w:val="24"/>
          <w:highlight w:val="white"/>
          <w:rtl w:val="0"/>
        </w:rPr>
        <w:t xml:space="preserve">alta </w:t>
      </w:r>
      <w:r w:rsidDel="00000000" w:rsidR="00000000" w:rsidRPr="00000000">
        <w:rPr>
          <w:rFonts w:ascii="Times New Roman" w:cs="Times New Roman" w:eastAsia="Times New Roman" w:hAnsi="Times New Roman"/>
          <w:sz w:val="24"/>
          <w:szCs w:val="24"/>
          <w:highlight w:val="white"/>
          <w:rtl w:val="0"/>
        </w:rPr>
        <w:t xml:space="preserve">concomitante com 0,51%; 2,36% muito alta somente 0,06%.</w:t>
      </w:r>
    </w:p>
    <w:p w:rsidR="00000000" w:rsidDel="00000000" w:rsidP="00000000" w:rsidRDefault="00000000" w:rsidRPr="00000000" w14:paraId="0000004B">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C">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4 - Painel zona rural - sem acesso à educação </w:t>
      </w:r>
    </w:p>
    <w:p w:rsidR="00000000" w:rsidDel="00000000" w:rsidP="00000000" w:rsidRDefault="00000000" w:rsidRPr="00000000" w14:paraId="0000004D">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59775" cy="32004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59775"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4F">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0">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5 é voltado para visão geral da situação dos núcleos familiares que moram na zona agreste, mas sendo baseada por estado, onde possui gráficos empilhados tendo “Os 5 estados que menos receberam o benefício (2018)", “Os 5 estados que mais receberam o benefício (2018)", “Número de Famílias no rural por UF e Nível de Vulnerabilidade”, além dos campos de filtragem estarem em um novo formato. Assim, como pode-se ver nos painéis anteriores os estados que possuía mais dificuldade tanto em educação, esgoto e água, foram aqueles que mais receberam o benefício, mostrando a eficiência do programa, contraponto “os estados que menos receberam o benefício (2018)”, Pernambuco (PE), Espírito Santo (ES), Sergipe (SE), Ceará (CE), Amazonas (AM). Levando em vista uma quantidade considerável em fragilidade alta, não se mostrou tão precária comparada aos outros que possuíam números mais alarmantes, entretanto </w:t>
      </w:r>
      <w:r w:rsidDel="00000000" w:rsidR="00000000" w:rsidRPr="00000000">
        <w:rPr>
          <w:rFonts w:ascii="Times New Roman" w:cs="Times New Roman" w:eastAsia="Times New Roman" w:hAnsi="Times New Roman"/>
          <w:sz w:val="24"/>
          <w:szCs w:val="24"/>
          <w:highlight w:val="white"/>
          <w:rtl w:val="0"/>
        </w:rPr>
        <w:t xml:space="preserve">Pernambuco (PE)</w:t>
      </w:r>
      <w:r w:rsidDel="00000000" w:rsidR="00000000" w:rsidRPr="00000000">
        <w:rPr>
          <w:rFonts w:ascii="Times New Roman" w:cs="Times New Roman" w:eastAsia="Times New Roman" w:hAnsi="Times New Roman"/>
          <w:sz w:val="24"/>
          <w:szCs w:val="24"/>
          <w:highlight w:val="white"/>
          <w:rtl w:val="0"/>
        </w:rPr>
        <w:t xml:space="preserve"> possui 5740 núcleos familiares contudo somente 17 famílias foram contemplados e 284 famílias logo passaram a fazer parte em anos anteriores.</w:t>
      </w:r>
    </w:p>
    <w:p w:rsidR="00000000" w:rsidDel="00000000" w:rsidP="00000000" w:rsidRDefault="00000000" w:rsidRPr="00000000" w14:paraId="00000051">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5 - Painel zona rural - Estados</w:t>
      </w:r>
    </w:p>
    <w:p w:rsidR="00000000" w:rsidDel="00000000" w:rsidP="00000000" w:rsidRDefault="00000000" w:rsidRPr="00000000" w14:paraId="00000053">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762625" cy="3029903"/>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62625" cy="3029903"/>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5">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spacing w:after="0" w:line="240" w:lineRule="auto"/>
        <w:ind w:firstLine="566"/>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Figura 6</w:t>
      </w:r>
      <w:r w:rsidDel="00000000" w:rsidR="00000000" w:rsidRPr="00000000">
        <w:rPr>
          <w:rFonts w:ascii="Times New Roman" w:cs="Times New Roman" w:eastAsia="Times New Roman" w:hAnsi="Times New Roman"/>
          <w:sz w:val="24"/>
          <w:szCs w:val="24"/>
          <w:highlight w:val="white"/>
          <w:rtl w:val="0"/>
        </w:rPr>
        <w:t xml:space="preserve"> explora os municípios tendo em vista que o índice de vulnerabilidade é sempre acompanhado apresentando se é uma região mais necessitada ou nem tanto, mas é possível notar que a cidade de Wagner tem 693 famílias na zona agreste, onde ao todo tem 115 beneficiados e estando em nível de alta vulnerabilidade que é comum casos de extrema pobreza em situações como essa. O gráfico no lado direito denominado “Os 5 municípios que mais receberam o benefício (2018)”, onde a cidade em destaque estando em nível alta foi Abaetetuba - PA com 17,343 núcleos familiares no total, ocorreu de apenas 653 serem selecionados no ano tendo acumulado 1596 usufruidor em anos anteriores em vista que 84,22% possuir uma renda familiar mensal de até R$ 170,00. Todavia, “os municípios que menos receberam o benefício (2018)” tiveram diversos pela problemática que unicamente em uma cidade somente 1 família se tornou contemplada, tal forma em Bom Jesus - SC, possuindo 177 ao todo tornando-se parte do fomento rural em 2018 somente 1 com 10 acumulados, sendo 46,01% possuem uma renda familiar mensal de até R$ 170,00..</w:t>
      </w:r>
    </w:p>
    <w:p w:rsidR="00000000" w:rsidDel="00000000" w:rsidP="00000000" w:rsidRDefault="00000000" w:rsidRPr="00000000" w14:paraId="00000057">
      <w:pPr>
        <w:spacing w:after="0"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8">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Figura 6 - Painel zona rural - Municípios</w:t>
      </w:r>
    </w:p>
    <w:p w:rsidR="00000000" w:rsidDel="00000000" w:rsidP="00000000" w:rsidRDefault="00000000" w:rsidRPr="00000000" w14:paraId="00000059">
      <w:pPr>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Pr>
        <w:drawing>
          <wp:inline distB="19050" distT="19050" distL="19050" distR="19050">
            <wp:extent cx="5759775" cy="3200400"/>
            <wp:effectExtent b="0" l="0" r="0" t="0"/>
            <wp:docPr id="4"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59775" cy="32004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Fonte: Elaboração própria</w:t>
      </w:r>
    </w:p>
    <w:p w:rsidR="00000000" w:rsidDel="00000000" w:rsidP="00000000" w:rsidRDefault="00000000" w:rsidRPr="00000000" w14:paraId="0000005B">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p w:rsidR="00000000" w:rsidDel="00000000" w:rsidP="00000000" w:rsidRDefault="00000000" w:rsidRPr="00000000" w14:paraId="0000005C">
      <w:pPr>
        <w:spacing w:after="0" w:line="240" w:lineRule="auto"/>
        <w:ind w:firstLine="72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4"/>
          <w:szCs w:val="24"/>
          <w:highlight w:val="white"/>
          <w:rtl w:val="0"/>
        </w:rPr>
        <w:t xml:space="preserve">Enfim, os painéis apresentados sintetizaram as observações descritivas dos dados referentes aos benefícios sociais voltados para a zona rural, que apontou os municípios e estados brasileiros melhor e pior assistidos nos fatores elencados. </w:t>
      </w:r>
      <w:r w:rsidDel="00000000" w:rsidR="00000000" w:rsidRPr="00000000">
        <w:rPr>
          <w:rtl w:val="0"/>
        </w:rPr>
      </w:r>
    </w:p>
    <w:p w:rsidR="00000000" w:rsidDel="00000000" w:rsidP="00000000" w:rsidRDefault="00000000" w:rsidRPr="00000000" w14:paraId="0000005D">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spacing w:after="0"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Considerações finais</w:t>
      </w: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05F">
      <w:pPr>
        <w:spacing w:after="0" w:line="240" w:lineRule="auto"/>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0">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 acordo com os argumentos, estudos e pesquisas apresentadas, a expectativa dos resultados foi surpreendente em relação a eficiência do programa de assistência à zona rural em localizar as regiões mais necessitadas com falta de esgoto adequado, acesso à água e educação básica. No entanto, a apuração da problemática sobre a discrepância da quantidade de famílias total comparada à de beneficiados do ano mais acumulados. Isto evidencia que ainda é necessário abranger e dar suporte aos </w:t>
      </w:r>
      <w:r w:rsidDel="00000000" w:rsidR="00000000" w:rsidRPr="00000000">
        <w:rPr>
          <w:rFonts w:ascii="Times New Roman" w:cs="Times New Roman" w:eastAsia="Times New Roman" w:hAnsi="Times New Roman"/>
          <w:sz w:val="24"/>
          <w:szCs w:val="24"/>
          <w:highlight w:val="white"/>
          <w:rtl w:val="0"/>
        </w:rPr>
        <w:t xml:space="preserve">demais</w:t>
      </w:r>
      <w:r w:rsidDel="00000000" w:rsidR="00000000" w:rsidRPr="00000000">
        <w:rPr>
          <w:rFonts w:ascii="Times New Roman" w:cs="Times New Roman" w:eastAsia="Times New Roman" w:hAnsi="Times New Roman"/>
          <w:sz w:val="24"/>
          <w:szCs w:val="24"/>
          <w:highlight w:val="white"/>
          <w:rtl w:val="0"/>
        </w:rPr>
        <w:t xml:space="preserve"> famílias agreste que vivem em situação de alta vulnerabilidade não tendo acesso, água, educação e esgoto adequado</w:t>
      </w:r>
      <w:r w:rsidDel="00000000" w:rsidR="00000000" w:rsidRPr="00000000">
        <w:rPr>
          <w:rFonts w:ascii="Times New Roman" w:cs="Times New Roman" w:eastAsia="Times New Roman" w:hAnsi="Times New Roman"/>
          <w:sz w:val="24"/>
          <w:szCs w:val="24"/>
          <w:highlight w:val="white"/>
          <w:rtl w:val="0"/>
        </w:rPr>
        <w:t xml:space="preserve">, criando novos programas ou aumentar as vagas, onde com o tempo possam preencher a lacuna presente, retirando da área de risco muito alta e alta para média que representa a maior parte da população conforme os dados.  </w:t>
      </w:r>
      <w:r w:rsidDel="00000000" w:rsidR="00000000" w:rsidRPr="00000000">
        <w:rPr>
          <w:rtl w:val="0"/>
        </w:rPr>
      </w:r>
    </w:p>
    <w:p w:rsidR="00000000" w:rsidDel="00000000" w:rsidP="00000000" w:rsidRDefault="00000000" w:rsidRPr="00000000" w14:paraId="00000061">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Portanto, é notório a possibilidade de evolução do fomento rural sobre a facilidade de localizar as regiões mais carentes, onde é possível usar essa informação para outros auxílios e aumentar as vagas para que mais pessoas possam usufruir do programa.</w:t>
      </w:r>
    </w:p>
    <w:p w:rsidR="00000000" w:rsidDel="00000000" w:rsidP="00000000" w:rsidRDefault="00000000" w:rsidRPr="00000000" w14:paraId="00000062">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Como trabalhos futuros espera-se fazer uso de mais bases de dados referente aos auxílios governamentais para realizar comparação dos resultados deste presente estudo, como também abranger mais zonas e públicos, desta maneira é possível ter uma visão mais ampla do país e contraste maior do núcleo rural ao urbano. </w:t>
      </w:r>
    </w:p>
    <w:p w:rsidR="00000000" w:rsidDel="00000000" w:rsidP="00000000" w:rsidRDefault="00000000" w:rsidRPr="00000000" w14:paraId="00000063">
      <w:pPr>
        <w:spacing w:after="0" w:line="240" w:lineRule="auto"/>
        <w:ind w:firstLine="72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after="0" w:line="240" w:lineRule="auto"/>
        <w:jc w:val="both"/>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b w:val="1"/>
          <w:color w:val="000000"/>
          <w:sz w:val="24"/>
          <w:szCs w:val="24"/>
          <w:highlight w:val="white"/>
          <w:rtl w:val="0"/>
        </w:rPr>
        <w:t xml:space="preserve">Referências</w:t>
      </w:r>
      <w:r w:rsidDel="00000000" w:rsidR="00000000" w:rsidRPr="00000000">
        <w:rPr>
          <w:rtl w:val="0"/>
        </w:rPr>
      </w:r>
    </w:p>
    <w:p w:rsidR="00000000" w:rsidDel="00000000" w:rsidP="00000000" w:rsidRDefault="00000000" w:rsidRPr="00000000" w14:paraId="00000065">
      <w:pPr>
        <w:spacing w:after="0" w:before="240" w:line="276" w:lineRule="auto"/>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Portal Brasileiro de Dados Abertos, </w:t>
      </w:r>
      <w:r w:rsidDel="00000000" w:rsidR="00000000" w:rsidRPr="00000000">
        <w:rPr>
          <w:rFonts w:ascii="Times New Roman" w:cs="Times New Roman" w:eastAsia="Times New Roman" w:hAnsi="Times New Roman"/>
          <w:sz w:val="24"/>
          <w:szCs w:val="24"/>
          <w:rtl w:val="0"/>
        </w:rPr>
        <w:t xml:space="preserve">Fomento Rural,</w:t>
      </w:r>
      <w:r w:rsidDel="00000000" w:rsidR="00000000" w:rsidRPr="00000000">
        <w:rPr>
          <w:rFonts w:ascii="Times New Roman" w:cs="Times New Roman" w:eastAsia="Times New Roman" w:hAnsi="Times New Roman"/>
          <w:sz w:val="24"/>
          <w:szCs w:val="24"/>
          <w:highlight w:val="white"/>
          <w:rtl w:val="0"/>
        </w:rPr>
        <w:t xml:space="preserve">  [S.I] 19 de Jar. 2022. Disponível em: &lt;https://aplicacoes.mds.gov.br/sagirmps/portal-san/artigo.php?link=15&gt;. Acesso em: 26 Jun. 2022.</w:t>
      </w:r>
      <w:r w:rsidDel="00000000" w:rsidR="00000000" w:rsidRPr="00000000">
        <w:rPr>
          <w:rtl w:val="0"/>
        </w:rPr>
      </w:r>
    </w:p>
    <w:p w:rsidR="00000000" w:rsidDel="00000000" w:rsidP="00000000" w:rsidRDefault="00000000" w:rsidRPr="00000000" w14:paraId="00000066">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Portal da Segurança Alimentar e Nutricional Ministério da Cidadania, </w:t>
      </w:r>
      <w:r w:rsidDel="00000000" w:rsidR="00000000" w:rsidRPr="00000000">
        <w:rPr>
          <w:rFonts w:ascii="Times New Roman" w:cs="Times New Roman" w:eastAsia="Times New Roman" w:hAnsi="Times New Roman"/>
          <w:sz w:val="24"/>
          <w:szCs w:val="24"/>
          <w:rtl w:val="0"/>
        </w:rPr>
        <w:t xml:space="preserve">Mapa inSAN</w:t>
      </w:r>
      <w:r w:rsidDel="00000000" w:rsidR="00000000" w:rsidRPr="00000000">
        <w:rPr>
          <w:rFonts w:ascii="Times New Roman" w:cs="Times New Roman" w:eastAsia="Times New Roman" w:hAnsi="Times New Roman"/>
          <w:sz w:val="24"/>
          <w:szCs w:val="24"/>
          <w:highlight w:val="white"/>
          <w:rtl w:val="0"/>
        </w:rPr>
        <w:t xml:space="preserve">,  [S.I] 30 de mar. 2017. Disponível em: &lt;https://aplicacoes.mds.gov.br/sagirmps/portal-san/artigo.php?link=15&gt;. Acesso em: 25 abr. 2022.</w:t>
      </w:r>
    </w:p>
    <w:p w:rsidR="00000000" w:rsidDel="00000000" w:rsidP="00000000" w:rsidRDefault="00000000" w:rsidRPr="00000000" w14:paraId="00000067">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Ministério da Cidadania, Programa Fomento Rural, </w:t>
      </w:r>
      <w:r w:rsidDel="00000000" w:rsidR="00000000" w:rsidRPr="00000000">
        <w:rPr>
          <w:rFonts w:ascii="Times New Roman" w:cs="Times New Roman" w:eastAsia="Times New Roman" w:hAnsi="Times New Roman"/>
          <w:sz w:val="24"/>
          <w:szCs w:val="24"/>
          <w:highlight w:val="white"/>
          <w:rtl w:val="0"/>
        </w:rPr>
        <w:t xml:space="preserve">[S.I] [2021?]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Disponível em: &lt;</w:t>
      </w:r>
      <w:r w:rsidDel="00000000" w:rsidR="00000000" w:rsidRPr="00000000">
        <w:rPr>
          <w:rFonts w:ascii="Times New Roman" w:cs="Times New Roman" w:eastAsia="Times New Roman" w:hAnsi="Times New Roman"/>
          <w:sz w:val="24"/>
          <w:szCs w:val="24"/>
          <w:highlight w:val="white"/>
          <w:rtl w:val="0"/>
        </w:rPr>
        <w:t xml:space="preserve">https://www.gov.br/cidadania/pt-br/acoes-e-programas/inclusao-produtiva-rural/programa-fomento-rural#:~:textO%20Programa%20Fomento%20Rural%20combina,mil%20ou%20R%24%203%20mil&gt;</w:t>
      </w:r>
      <w:r w:rsidDel="00000000" w:rsidR="00000000" w:rsidRPr="00000000">
        <w:rPr>
          <w:rFonts w:ascii="Times New Roman" w:cs="Times New Roman" w:eastAsia="Times New Roman" w:hAnsi="Times New Roman"/>
          <w:sz w:val="24"/>
          <w:szCs w:val="24"/>
          <w:highlight w:val="white"/>
          <w:rtl w:val="0"/>
        </w:rPr>
        <w:t xml:space="preserve">. Acesso em: 25 abr. 2022.</w:t>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Cepal, Pandemia provoca aumento nos níveis de pobreza sem precedentes nas últimas décadas e tem um forte impacto na desigualdade e no emprego, [S.I], 4 mar. 2021. </w:t>
      </w:r>
      <w:r w:rsidDel="00000000" w:rsidR="00000000" w:rsidRPr="00000000">
        <w:rPr>
          <w:rFonts w:ascii="Times New Roman" w:cs="Times New Roman" w:eastAsia="Times New Roman" w:hAnsi="Times New Roman"/>
          <w:sz w:val="24"/>
          <w:szCs w:val="24"/>
          <w:highlight w:val="white"/>
          <w:rtl w:val="0"/>
        </w:rPr>
        <w:t xml:space="preserve">Disponível em: &lt;https://www.cepal.org/pt-br/comunicados/pandemia-provoca-aumento-niveis-pobreza-sem-precedentes-ultimas-decadas-tem-forte&gt;. Acesso em: 25 Abril. 2022.</w:t>
      </w:r>
    </w:p>
    <w:p w:rsidR="00000000" w:rsidDel="00000000" w:rsidP="00000000" w:rsidRDefault="00000000" w:rsidRPr="00000000" w14:paraId="0000006A">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IBGE Educa</w:t>
      </w:r>
      <w:r w:rsidDel="00000000" w:rsidR="00000000" w:rsidRPr="00000000">
        <w:rPr>
          <w:rFonts w:ascii="Times New Roman" w:cs="Times New Roman" w:eastAsia="Times New Roman" w:hAnsi="Times New Roman"/>
          <w:sz w:val="24"/>
          <w:szCs w:val="24"/>
          <w:highlight w:val="white"/>
          <w:rtl w:val="0"/>
        </w:rPr>
        <w:t xml:space="preserve">, População rural e urbana, [S.I] [2015-2019?]. Disponível em: &lt;</w:t>
      </w:r>
      <w:r w:rsidDel="00000000" w:rsidR="00000000" w:rsidRPr="00000000">
        <w:rPr>
          <w:rFonts w:ascii="Times New Roman" w:cs="Times New Roman" w:eastAsia="Times New Roman" w:hAnsi="Times New Roman"/>
          <w:sz w:val="24"/>
          <w:szCs w:val="24"/>
          <w:highlight w:val="white"/>
          <w:rtl w:val="0"/>
        </w:rPr>
        <w:t xml:space="preserve">https://educa.ibge.gov.br/jovens/conheca-o-brasil/populacao/18313-</w:t>
      </w:r>
      <w:r w:rsidDel="00000000" w:rsidR="00000000" w:rsidRPr="00000000">
        <w:rPr>
          <w:rFonts w:ascii="Times New Roman" w:cs="Times New Roman" w:eastAsia="Times New Roman" w:hAnsi="Times New Roman"/>
          <w:sz w:val="24"/>
          <w:szCs w:val="24"/>
          <w:highlight w:val="white"/>
          <w:rtl w:val="0"/>
        </w:rPr>
        <w:t xml:space="preserve">&gt;. Acesso em: 15 Maio. 2022. </w:t>
      </w:r>
    </w:p>
    <w:p w:rsidR="00000000" w:rsidDel="00000000" w:rsidP="00000000" w:rsidRDefault="00000000" w:rsidRPr="00000000" w14:paraId="0000006B">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Pesquisa Pulso Empresa, </w:t>
      </w:r>
      <w:r w:rsidDel="00000000" w:rsidR="00000000" w:rsidRPr="00000000">
        <w:rPr>
          <w:rFonts w:ascii="Times New Roman" w:cs="Times New Roman" w:eastAsia="Times New Roman" w:hAnsi="Times New Roman"/>
          <w:sz w:val="24"/>
          <w:szCs w:val="24"/>
          <w:highlight w:val="white"/>
          <w:rtl w:val="0"/>
        </w:rPr>
        <w:t xml:space="preserve">Entre as empresas que estavam fechadas na 1ª quinzena de junho, 39,4% encerraram atividades por causa da pandemia</w:t>
      </w:r>
      <w:r w:rsidDel="00000000" w:rsidR="00000000" w:rsidRPr="00000000">
        <w:rPr>
          <w:rFonts w:ascii="Times New Roman" w:cs="Times New Roman" w:eastAsia="Times New Roman" w:hAnsi="Times New Roman"/>
          <w:sz w:val="24"/>
          <w:szCs w:val="24"/>
          <w:rtl w:val="0"/>
        </w:rPr>
        <w:t xml:space="preserve">, Agência IBGE Notícias, [S.I], 17 jul. 2020. </w:t>
      </w:r>
      <w:r w:rsidDel="00000000" w:rsidR="00000000" w:rsidRPr="00000000">
        <w:rPr>
          <w:rFonts w:ascii="Times New Roman" w:cs="Times New Roman" w:eastAsia="Times New Roman" w:hAnsi="Times New Roman"/>
          <w:sz w:val="24"/>
          <w:szCs w:val="24"/>
          <w:highlight w:val="white"/>
          <w:rtl w:val="0"/>
        </w:rPr>
        <w:t xml:space="preserve">Disponível em: &lt;https://agenciadenoticias.ibge.gov.br/agencia-sala-de-imprensa/2013-agencia-de-noticias/releases/28294-pesquisa-pulso-empresa-entre-as-empresas-que-estavam-fechadas-na-1-quinzena-de-junho-39-4-encerraram-atividades-por-causa-da-pandemia</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highlight w:val="white"/>
          <w:rtl w:val="0"/>
        </w:rPr>
        <w:t xml:space="preserve">. Acesso em: 24 jun. 2022.</w:t>
      </w:r>
    </w:p>
    <w:p w:rsidR="00000000" w:rsidDel="00000000" w:rsidP="00000000" w:rsidRDefault="00000000" w:rsidRPr="00000000" w14:paraId="0000006C">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NERY, Carmen, Pandemia foi responsável pelo fechamento de 4 em cada 10 empresas com atividades encerradas, Agência de Notícias, [S.I] 16 jul. 2020. Disponível em: &lt;https://agenciadenoticias.ibge.gov.br/agencia-noticias/2012-agencia-de-noticias/noticias/28295-pandemia-foi-responsavel-pelo-fechamento-de-4-em-cada-10-empresas-com-atividades-encerradas?utm_source=covid19&amp;utm_medium=hotsite&amp;utm_campaign=covid_19/&gt;. Acesso em: 15 Maio. 2022.</w:t>
      </w:r>
    </w:p>
    <w:p w:rsidR="00000000" w:rsidDel="00000000" w:rsidP="00000000" w:rsidRDefault="00000000" w:rsidRPr="00000000" w14:paraId="0000006D">
      <w:pPr>
        <w:spacing w:after="0" w:before="240"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GRIGORI Pedro</w:t>
      </w:r>
      <w:r w:rsidDel="00000000" w:rsidR="00000000" w:rsidRPr="00000000">
        <w:rPr>
          <w:rFonts w:ascii="Times New Roman" w:cs="Times New Roman" w:eastAsia="Times New Roman" w:hAnsi="Times New Roman"/>
          <w:sz w:val="24"/>
          <w:szCs w:val="24"/>
          <w:highlight w:val="white"/>
          <w:rtl w:val="0"/>
        </w:rPr>
        <w:t xml:space="preserve">, Para combater a nuvem de gafanhotos, o governo libera mais usos para agrotóxicos, Repórter Brasil, [S.I] 29 jun. 2020. Disponível em: &lt;https://reporterbrasil.org.br/2020/06/para-combater-nuvem-de-gafanhotos-governo-libera-mais-usos-para-agrotoxicos/&gt;. Acesso em: 15 Maio. 2022.</w:t>
      </w:r>
    </w:p>
    <w:p w:rsidR="00000000" w:rsidDel="00000000" w:rsidP="00000000" w:rsidRDefault="00000000" w:rsidRPr="00000000" w14:paraId="0000006E">
      <w:pPr>
        <w:spacing w:after="0" w:line="240" w:lineRule="auto"/>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sectPr>
      <w:headerReference r:id="rId15" w:type="default"/>
      <w:headerReference r:id="rId16" w:type="first"/>
      <w:footerReference r:id="rId17" w:type="default"/>
      <w:footerReference r:id="rId18" w:type="first"/>
      <w:pgSz w:h="16838" w:w="11906" w:orient="portrait"/>
      <w:pgMar w:bottom="1134" w:top="1701" w:left="1701" w:right="1134" w:header="0" w:footer="498.897637795275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after="0" w:line="276" w:lineRule="auto"/>
      <w:rPr>
        <w:rFonts w:ascii="Times New Roman" w:cs="Times New Roman" w:eastAsia="Times New Roman" w:hAnsi="Times New Roman"/>
        <w:color w:val="000000"/>
        <w:sz w:val="20"/>
        <w:szCs w:val="20"/>
      </w:rPr>
    </w:pPr>
    <w:r w:rsidDel="00000000" w:rsidR="00000000" w:rsidRPr="00000000">
      <w:rPr>
        <w:rtl w:val="0"/>
      </w:rPr>
    </w:r>
  </w:p>
  <w:tbl>
    <w:tblPr>
      <w:tblStyle w:val="Table1"/>
      <w:tblW w:w="907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1"/>
      <w:gridCol w:w="238"/>
      <w:gridCol w:w="846"/>
      <w:gridCol w:w="646"/>
      <w:gridCol w:w="571"/>
      <w:gridCol w:w="1393"/>
      <w:gridCol w:w="2126"/>
      <w:gridCol w:w="1702"/>
      <w:tblGridChange w:id="0">
        <w:tblGrid>
          <w:gridCol w:w="1551"/>
          <w:gridCol w:w="238"/>
          <w:gridCol w:w="846"/>
          <w:gridCol w:w="646"/>
          <w:gridCol w:w="571"/>
          <w:gridCol w:w="1393"/>
          <w:gridCol w:w="2126"/>
          <w:gridCol w:w="1702"/>
        </w:tblGrid>
      </w:tblGridChange>
    </w:tblGrid>
    <w:tr>
      <w:trPr>
        <w:cantSplit w:val="0"/>
        <w:tblHeader w:val="0"/>
      </w:trPr>
      <w:tc>
        <w:tcPr/>
        <w:p w:rsidR="00000000" w:rsidDel="00000000" w:rsidP="00000000" w:rsidRDefault="00000000" w:rsidRPr="00000000" w14:paraId="00000076">
          <w:pPr>
            <w:spacing w:line="256" w:lineRule="auto"/>
            <w:ind w:hanging="113"/>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Rev. Sítio Novo</w:t>
          </w:r>
        </w:p>
      </w:tc>
      <w:tc>
        <w:tcPr/>
        <w:p w:rsidR="00000000" w:rsidDel="00000000" w:rsidP="00000000" w:rsidRDefault="00000000" w:rsidRPr="00000000" w14:paraId="00000077">
          <w:pPr>
            <w:spacing w:line="25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078">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Palmas</w:t>
          </w:r>
        </w:p>
      </w:tc>
      <w:tc>
        <w:tcPr/>
        <w:p w:rsidR="00000000" w:rsidDel="00000000" w:rsidP="00000000" w:rsidRDefault="00000000" w:rsidRPr="00000000" w14:paraId="00000079">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x</w:t>
          </w:r>
        </w:p>
      </w:tc>
      <w:tc>
        <w:tcPr/>
        <w:p w:rsidR="00000000" w:rsidDel="00000000" w:rsidP="00000000" w:rsidRDefault="00000000" w:rsidRPr="00000000" w14:paraId="0000007A">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x</w:t>
          </w:r>
        </w:p>
      </w:tc>
      <w:tc>
        <w:tcPr/>
        <w:p w:rsidR="00000000" w:rsidDel="00000000" w:rsidP="00000000" w:rsidRDefault="00000000" w:rsidRPr="00000000" w14:paraId="0000007B">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w:t>
          </w:r>
          <w:r w:rsidDel="00000000" w:rsidR="00000000" w:rsidRPr="00000000">
            <w:rPr>
              <w:rFonts w:ascii="Times New Roman" w:cs="Times New Roman" w:eastAsia="Times New Roman" w:hAnsi="Times New Roman"/>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0"/>
              <w:szCs w:val="20"/>
              <w:rtl w:val="0"/>
            </w:rPr>
            <w:t xml:space="preserve">-x</w:t>
          </w:r>
        </w:p>
      </w:tc>
      <w:tc>
        <w:tcPr/>
        <w:p w:rsidR="00000000" w:rsidDel="00000000" w:rsidP="00000000" w:rsidRDefault="00000000" w:rsidRPr="00000000" w14:paraId="0000007C">
          <w:pPr>
            <w:spacing w:line="25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mês./mês. 20xx.</w:t>
          </w:r>
        </w:p>
      </w:tc>
      <w:tc>
        <w:tcPr/>
        <w:p w:rsidR="00000000" w:rsidDel="00000000" w:rsidP="00000000" w:rsidRDefault="00000000" w:rsidRPr="00000000" w14:paraId="0000007D">
          <w:pPr>
            <w:spacing w:line="256" w:lineRule="auto"/>
            <w:ind w:right="-56" w:hanging="159"/>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e-ISSN: 2594-7036</w:t>
          </w:r>
          <w:r w:rsidDel="00000000" w:rsidR="00000000" w:rsidRPr="00000000">
            <w:rPr>
              <w:rtl w:val="0"/>
            </w:rPr>
          </w:r>
        </w:p>
      </w:tc>
    </w:tr>
  </w:tbl>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center" w:pos="4252"/>
        <w:tab w:val="right" w:pos="8504"/>
      </w:tabs>
      <w:spacing w:after="0" w:line="257" w:lineRule="auto"/>
      <w:jc w:val="both"/>
      <w:rPr>
        <w:rFonts w:ascii="Times New Roman" w:cs="Times New Roman" w:eastAsia="Times New Roman" w:hAnsi="Times New Roman"/>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1">
        <w:r w:rsidDel="00000000" w:rsidR="00000000" w:rsidRPr="00000000">
          <w:rPr>
            <w:rFonts w:ascii="Times New Roman" w:cs="Times New Roman" w:eastAsia="Times New Roman" w:hAnsi="Times New Roman"/>
            <w:color w:val="1155cc"/>
            <w:sz w:val="20"/>
            <w:szCs w:val="20"/>
            <w:u w:val="single"/>
            <w:rtl w:val="0"/>
          </w:rPr>
          <w:t xml:space="preserve">cassio.sousa@estudante.ifto.edu.br</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footnote>
  <w:footnote w:id="1">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hyperlink r:id="rId2">
        <w:r w:rsidDel="00000000" w:rsidR="00000000" w:rsidRPr="00000000">
          <w:rPr>
            <w:rFonts w:ascii="Times New Roman" w:cs="Times New Roman" w:eastAsia="Times New Roman" w:hAnsi="Times New Roman"/>
            <w:color w:val="1155cc"/>
            <w:sz w:val="20"/>
            <w:szCs w:val="20"/>
            <w:u w:val="single"/>
            <w:rtl w:val="0"/>
          </w:rPr>
          <w:t xml:space="preserve">jorgelucas.gs1998@gmail.com </w:t>
        </w:r>
      </w:hyperlink>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color w:val="0563c1"/>
          <w:sz w:val="20"/>
          <w:szCs w:val="20"/>
          <w:highlight w:val="white"/>
          <w:u w:val="single"/>
          <w:rtl w:val="0"/>
        </w:rPr>
        <w:t xml:space="preserve"> </w:t>
      </w:r>
      <w:r w:rsidDel="00000000" w:rsidR="00000000" w:rsidRPr="00000000">
        <w:rPr>
          <w:rtl w:val="0"/>
        </w:rPr>
      </w:r>
    </w:p>
  </w:footnote>
  <w:footnote w:id="2">
    <w:p w:rsidR="00000000" w:rsidDel="00000000" w:rsidP="00000000" w:rsidRDefault="00000000" w:rsidRPr="00000000" w14:paraId="00000072">
      <w:pPr>
        <w:spacing w:after="0" w:line="240" w:lineRule="auto"/>
        <w:jc w:val="both"/>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color w:val="0563c1"/>
          <w:sz w:val="20"/>
          <w:szCs w:val="20"/>
          <w:rtl w:val="0"/>
        </w:rPr>
        <w:t xml:space="preserve">lukasm109@gmail.com</w:t>
      </w:r>
      <w:r w:rsidDel="00000000" w:rsidR="00000000" w:rsidRPr="00000000">
        <w:rPr>
          <w:rtl w:val="0"/>
        </w:rPr>
      </w:r>
    </w:p>
  </w:footnote>
  <w:footnote w:id="3">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Discente</w:t>
      </w:r>
      <w:r w:rsidDel="00000000" w:rsidR="00000000" w:rsidRPr="00000000">
        <w:rPr>
          <w:rFonts w:ascii="Times New Roman" w:cs="Times New Roman" w:eastAsia="Times New Roman" w:hAnsi="Times New Roman"/>
          <w:color w:val="000000"/>
          <w:sz w:val="20"/>
          <w:szCs w:val="20"/>
          <w:highlight w:val="white"/>
          <w:rtl w:val="0"/>
        </w:rPr>
        <w:t xml:space="preserve"> de </w:t>
      </w:r>
      <w:r w:rsidDel="00000000" w:rsidR="00000000" w:rsidRPr="00000000">
        <w:rPr>
          <w:rFonts w:ascii="Times New Roman" w:cs="Times New Roman" w:eastAsia="Times New Roman" w:hAnsi="Times New Roman"/>
          <w:sz w:val="20"/>
          <w:szCs w:val="20"/>
          <w:highlight w:val="white"/>
          <w:rtl w:val="0"/>
        </w:rPr>
        <w:t xml:space="preserve">Sistemas de informações </w:t>
      </w:r>
      <w:r w:rsidDel="00000000" w:rsidR="00000000" w:rsidRPr="00000000">
        <w:rPr>
          <w:rFonts w:ascii="Times New Roman" w:cs="Times New Roman" w:eastAsia="Times New Roman" w:hAnsi="Times New Roman"/>
          <w:color w:val="000000"/>
          <w:sz w:val="20"/>
          <w:szCs w:val="20"/>
          <w:highlight w:val="white"/>
          <w:rtl w:val="0"/>
        </w:rPr>
        <w:t xml:space="preserve">do </w:t>
      </w:r>
      <w:r w:rsidDel="00000000" w:rsidR="00000000" w:rsidRPr="00000000">
        <w:rPr>
          <w:rFonts w:ascii="Times New Roman" w:cs="Times New Roman" w:eastAsia="Times New Roman" w:hAnsi="Times New Roman"/>
          <w:i w:val="1"/>
          <w:color w:val="000000"/>
          <w:sz w:val="20"/>
          <w:szCs w:val="20"/>
          <w:highlight w:val="white"/>
          <w:rtl w:val="0"/>
        </w:rPr>
        <w:t xml:space="preserve">Campus</w:t>
      </w:r>
      <w:r w:rsidDel="00000000" w:rsidR="00000000" w:rsidRPr="00000000">
        <w:rPr>
          <w:rFonts w:ascii="Times New Roman" w:cs="Times New Roman" w:eastAsia="Times New Roman" w:hAnsi="Times New Roman"/>
          <w:color w:val="000000"/>
          <w:sz w:val="20"/>
          <w:szCs w:val="20"/>
          <w:highlight w:val="white"/>
          <w:rtl w:val="0"/>
        </w:rPr>
        <w:t xml:space="preserve"> Pa</w:t>
      </w:r>
      <w:r w:rsidDel="00000000" w:rsidR="00000000" w:rsidRPr="00000000">
        <w:rPr>
          <w:rFonts w:ascii="Times New Roman" w:cs="Times New Roman" w:eastAsia="Times New Roman" w:hAnsi="Times New Roman"/>
          <w:sz w:val="20"/>
          <w:szCs w:val="20"/>
          <w:highlight w:val="white"/>
          <w:rtl w:val="0"/>
        </w:rPr>
        <w:t xml:space="preserve">raíso do Tocantins</w:t>
      </w:r>
      <w:r w:rsidDel="00000000" w:rsidR="00000000" w:rsidRPr="00000000">
        <w:rPr>
          <w:rFonts w:ascii="Times New Roman" w:cs="Times New Roman" w:eastAsia="Times New Roman" w:hAnsi="Times New Roman"/>
          <w:color w:val="000000"/>
          <w:sz w:val="20"/>
          <w:szCs w:val="20"/>
          <w:highlight w:val="white"/>
          <w:rtl w:val="0"/>
        </w:rPr>
        <w:t xml:space="preserve">, do Instituto Federal do Tocantins - IFTO. </w:t>
      </w:r>
      <w:hyperlink r:id="rId3">
        <w:r w:rsidDel="00000000" w:rsidR="00000000" w:rsidRPr="00000000">
          <w:rPr>
            <w:rFonts w:ascii="Times New Roman" w:cs="Times New Roman" w:eastAsia="Times New Roman" w:hAnsi="Times New Roman"/>
            <w:color w:val="1155cc"/>
            <w:sz w:val="20"/>
            <w:szCs w:val="20"/>
            <w:u w:val="single"/>
            <w:rtl w:val="0"/>
          </w:rPr>
          <w:t xml:space="preserve">marcos.lima2@estudante.ifto.edu.br</w:t>
        </w:r>
      </w:hyperlink>
      <w:r w:rsidDel="00000000" w:rsidR="00000000" w:rsidRPr="00000000">
        <w:rPr>
          <w:rFonts w:ascii="Times New Roman" w:cs="Times New Roman" w:eastAsia="Times New Roman" w:hAnsi="Times New Roman"/>
          <w:color w:val="000000"/>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ORCID</w:t>
      </w:r>
      <w:r w:rsidDel="00000000" w:rsidR="00000000" w:rsidRPr="00000000">
        <w:rPr>
          <w:rFonts w:ascii="Times New Roman" w:cs="Times New Roman" w:eastAsia="Times New Roman" w:hAnsi="Times New Roman"/>
          <w:color w:val="000000"/>
          <w:sz w:val="20"/>
          <w:szCs w:val="20"/>
          <w:highlight w:val="white"/>
          <w:rtl w:val="0"/>
        </w:rPr>
        <w:t xml:space="preserve">: </w:t>
      </w:r>
      <w:hyperlink r:id="rId4">
        <w:r w:rsidDel="00000000" w:rsidR="00000000" w:rsidRPr="00000000">
          <w:rPr>
            <w:rFonts w:ascii="Times New Roman" w:cs="Times New Roman" w:eastAsia="Times New Roman" w:hAnsi="Times New Roman"/>
            <w:color w:val="1155cc"/>
            <w:sz w:val="20"/>
            <w:szCs w:val="20"/>
            <w:highlight w:val="white"/>
            <w:u w:val="single"/>
            <w:rtl w:val="0"/>
          </w:rPr>
          <w:t xml:space="preserve">https://orcid.org/ 0000-0002-7698-6115</w:t>
        </w:r>
      </w:hyperlink>
      <w:r w:rsidDel="00000000" w:rsidR="00000000" w:rsidRPr="00000000">
        <w:rPr>
          <w:rFonts w:ascii="Times New Roman" w:cs="Times New Roman" w:eastAsia="Times New Roman" w:hAnsi="Times New Roman"/>
          <w:color w:val="0563c1"/>
          <w:sz w:val="20"/>
          <w:szCs w:val="20"/>
          <w:highlight w:val="white"/>
          <w:u w:val="single"/>
          <w:rtl w:val="0"/>
        </w:rPr>
        <w:t xml:space="preserve">. </w:t>
      </w:r>
    </w:p>
  </w:footnote>
  <w:footnote w:id="4">
    <w:p w:rsidR="00000000" w:rsidDel="00000000" w:rsidP="00000000" w:rsidRDefault="00000000" w:rsidRPr="00000000" w14:paraId="0000007F">
      <w:pPr>
        <w:spacing w:after="0" w:line="240" w:lineRule="auto"/>
        <w:jc w:val="both"/>
        <w:rPr>
          <w:rFonts w:ascii="Times New Roman" w:cs="Times New Roman" w:eastAsia="Times New Roman" w:hAnsi="Times New Roman"/>
          <w:color w:val="0563c1"/>
          <w:sz w:val="20"/>
          <w:szCs w:val="20"/>
          <w:highlight w:val="white"/>
          <w:u w:val="singl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Professor de Sistemas de informações do </w:t>
      </w:r>
      <w:r w:rsidDel="00000000" w:rsidR="00000000" w:rsidRPr="00000000">
        <w:rPr>
          <w:rFonts w:ascii="Times New Roman" w:cs="Times New Roman" w:eastAsia="Times New Roman" w:hAnsi="Times New Roman"/>
          <w:i w:val="1"/>
          <w:sz w:val="20"/>
          <w:szCs w:val="20"/>
          <w:highlight w:val="white"/>
          <w:rtl w:val="0"/>
        </w:rPr>
        <w:t xml:space="preserve">Campus</w:t>
      </w:r>
      <w:r w:rsidDel="00000000" w:rsidR="00000000" w:rsidRPr="00000000">
        <w:rPr>
          <w:rFonts w:ascii="Times New Roman" w:cs="Times New Roman" w:eastAsia="Times New Roman" w:hAnsi="Times New Roman"/>
          <w:sz w:val="20"/>
          <w:szCs w:val="20"/>
          <w:highlight w:val="white"/>
          <w:rtl w:val="0"/>
        </w:rPr>
        <w:t xml:space="preserve"> Paraíso do Tocantins, do Instituto Federal do Tocantins - IFTO. </w:t>
      </w:r>
      <w:r w:rsidDel="00000000" w:rsidR="00000000" w:rsidRPr="00000000">
        <w:rPr>
          <w:rFonts w:ascii="Times New Roman" w:cs="Times New Roman" w:eastAsia="Times New Roman" w:hAnsi="Times New Roman"/>
          <w:sz w:val="20"/>
          <w:szCs w:val="20"/>
          <w:rtl w:val="0"/>
        </w:rPr>
        <w:t xml:space="preserve">ivo@ifto.edu.br</w:t>
      </w:r>
      <w:r w:rsidDel="00000000" w:rsidR="00000000" w:rsidRPr="00000000">
        <w:rPr>
          <w:rtl w:val="0"/>
        </w:rPr>
      </w:r>
    </w:p>
    <w:p w:rsidR="00000000" w:rsidDel="00000000" w:rsidP="00000000" w:rsidRDefault="00000000" w:rsidRPr="00000000" w14:paraId="00000080">
      <w:pPr>
        <w:spacing w:after="0" w:line="240" w:lineRule="auto"/>
        <w:jc w:val="both"/>
        <w:rPr>
          <w:rFonts w:ascii="Times New Roman" w:cs="Times New Roman" w:eastAsia="Times New Roman" w:hAnsi="Times New Roman"/>
          <w:sz w:val="20"/>
          <w:szCs w:val="20"/>
          <w:highlight w:val="white"/>
        </w:rPr>
      </w:pPr>
      <w:r w:rsidDel="00000000" w:rsidR="00000000" w:rsidRPr="00000000">
        <w:rPr>
          <w:rtl w:val="0"/>
        </w:rPr>
      </w:r>
    </w:p>
  </w:footnote>
  <w:footnote w:id="5">
    <w:p w:rsidR="00000000" w:rsidDel="00000000" w:rsidP="00000000" w:rsidRDefault="00000000" w:rsidRPr="00000000" w14:paraId="00000083">
      <w:pPr>
        <w:spacing w:after="0"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rFonts w:ascii="Times New Roman" w:cs="Times New Roman" w:eastAsia="Times New Roman" w:hAnsi="Times New Roman"/>
            <w:color w:val="1155cc"/>
            <w:sz w:val="20"/>
            <w:szCs w:val="20"/>
            <w:u w:val="single"/>
            <w:rtl w:val="0"/>
          </w:rPr>
          <w:t xml:space="preserve">https://aplicacoes.mds.gov.br/sagirmps/portal-san/artigo.php?link=15&gt;. Acesso em: 25 abr. 2022</w:t>
        </w:r>
      </w:hyperlink>
      <w:r w:rsidDel="00000000" w:rsidR="00000000" w:rsidRPr="00000000">
        <w:rPr>
          <w:rtl w:val="0"/>
        </w:rPr>
      </w:r>
    </w:p>
  </w:footnote>
  <w:footnote w:id="6">
    <w:p w:rsidR="00000000" w:rsidDel="00000000" w:rsidP="00000000" w:rsidRDefault="00000000" w:rsidRPr="00000000" w14:paraId="00000084">
      <w:pPr>
        <w:spacing w:after="0"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6">
        <w:r w:rsidDel="00000000" w:rsidR="00000000" w:rsidRPr="00000000">
          <w:rPr>
            <w:rFonts w:ascii="Times New Roman" w:cs="Times New Roman" w:eastAsia="Times New Roman" w:hAnsi="Times New Roman"/>
            <w:color w:val="1155cc"/>
            <w:sz w:val="20"/>
            <w:szCs w:val="20"/>
            <w:highlight w:val="white"/>
            <w:u w:val="single"/>
            <w:rtl w:val="0"/>
          </w:rPr>
          <w:t xml:space="preserve">https://aplicacoes.mds.gov.br/sagirmps/portal-san/artigo.php?link=15&gt;. Acesso em: 26 Jun. 2022</w:t>
        </w:r>
      </w:hyperlink>
      <w:r w:rsidDel="00000000" w:rsidR="00000000" w:rsidRPr="00000000">
        <w:rPr>
          <w:rtl w:val="0"/>
        </w:rPr>
      </w:r>
    </w:p>
  </w:footnote>
  <w:footnote w:id="7">
    <w:p w:rsidR="00000000" w:rsidDel="00000000" w:rsidP="00000000" w:rsidRDefault="00000000" w:rsidRPr="00000000" w14:paraId="00000085">
      <w:pPr>
        <w:spacing w:after="0" w:line="240" w:lineRule="auto"/>
        <w:rPr>
          <w:sz w:val="20"/>
          <w:szCs w:val="20"/>
        </w:rPr>
      </w:pPr>
      <w:r w:rsidDel="00000000" w:rsidR="00000000" w:rsidRPr="00000000">
        <w:rPr>
          <w:rStyle w:val="FootnoteReference"/>
          <w:vertAlign w:val="superscript"/>
        </w:rPr>
        <w:footnoteRef/>
      </w:r>
      <w:r w:rsidDel="00000000" w:rsidR="00000000" w:rsidRPr="00000000">
        <w:rPr>
          <w:rtl w:val="0"/>
        </w:rPr>
        <w:t xml:space="preserve"> </w:t>
      </w:r>
      <w:hyperlink r:id="rId7">
        <w:r w:rsidDel="00000000" w:rsidR="00000000" w:rsidRPr="00000000">
          <w:rPr>
            <w:color w:val="1155cc"/>
            <w:sz w:val="20"/>
            <w:szCs w:val="20"/>
            <w:u w:val="single"/>
            <w:rtl w:val="0"/>
          </w:rPr>
          <w:t xml:space="preserve">https://github.com/Marcos-Sobral/A-Inseguran-a-Alimentar-e-o-combate-a-fome-no-setor-rural.git</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tabs>
        <w:tab w:val="left" w:pos="7707"/>
      </w:tabs>
      <w:spacing w:after="0" w:line="14.399999999999999"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
              <a:graphic>
                <a:graphicData uri="http://schemas.microsoft.com/office/word/2010/wordprocessingShape">
                  <wps:wsp>
                    <wps:cNvSpPr/>
                    <wps:cNvPr id="2" name="Shape 2"/>
                    <wps:spPr>
                      <a:xfrm>
                        <a:off x="4134280" y="3634145"/>
                        <a:ext cx="2423440" cy="291710"/>
                      </a:xfrm>
                      <a:prstGeom prst="rect">
                        <a:avLst/>
                      </a:prstGeom>
                      <a:solidFill>
                        <a:schemeClr val="lt1"/>
                      </a:solidFill>
                      <a:ln>
                        <a:noFill/>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469900</wp:posOffset>
              </wp:positionV>
              <wp:extent cx="2452015" cy="32028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2452015" cy="320285"/>
                      </a:xfrm>
                      <a:prstGeom prst="rect"/>
                      <a:ln/>
                    </pic:spPr>
                  </pic:pic>
                </a:graphicData>
              </a:graphic>
            </wp:anchor>
          </w:drawing>
        </mc:Fallback>
      </mc:AlternateContent>
    </w:r>
    <w:r w:rsidDel="00000000" w:rsidR="00000000" w:rsidRPr="00000000">
      <w:drawing>
        <wp:anchor allowOverlap="1" behindDoc="0" distB="0" distT="0" distL="114300" distR="0" hidden="0" layoutInCell="1" locked="0" relativeHeight="0" simplePos="0">
          <wp:simplePos x="0" y="0"/>
          <wp:positionH relativeFrom="column">
            <wp:posOffset>3609975</wp:posOffset>
          </wp:positionH>
          <wp:positionV relativeFrom="paragraph">
            <wp:posOffset>400050</wp:posOffset>
          </wp:positionV>
          <wp:extent cx="2156400" cy="669600"/>
          <wp:effectExtent b="0" l="0" r="0" t="0"/>
          <wp:wrapSquare wrapText="bothSides" distB="0" distT="0" distL="114300" distR="0"/>
          <wp:docPr id="10"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2156400" cy="6696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image" Target="media/image6.png"/><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2.xml"/><Relationship Id="rId7" Type="http://schemas.openxmlformats.org/officeDocument/2006/relationships/image" Target="media/image7.png"/><Relationship Id="rId8" Type="http://schemas.openxmlformats.org/officeDocument/2006/relationships/image" Target="media/image8.png"/></Relationships>
</file>

<file path=word/_rels/footnotes.xml.rels><?xml version="1.0" encoding="UTF-8" standalone="yes"?><Relationships xmlns="http://schemas.openxmlformats.org/package/2006/relationships"><Relationship Id="rId1" Type="http://schemas.openxmlformats.org/officeDocument/2006/relationships/hyperlink" Target="mailto:cassio.sousa@estudante.ifto.edu.br" TargetMode="External"/><Relationship Id="rId2" Type="http://schemas.openxmlformats.org/officeDocument/2006/relationships/hyperlink" Target="http://jorgelucas.gs1998@gmail.com" TargetMode="External"/><Relationship Id="rId3" Type="http://schemas.openxmlformats.org/officeDocument/2006/relationships/hyperlink" Target="mailto:marcos.lima2@estudante.ifto.edu.br" TargetMode="External"/><Relationship Id="rId4" Type="http://schemas.openxmlformats.org/officeDocument/2006/relationships/hyperlink" Target="https://orcid.org/%200000-0002-7698-6115" TargetMode="External"/><Relationship Id="rId5" Type="http://schemas.openxmlformats.org/officeDocument/2006/relationships/hyperlink" Target="https://aplicacoes.mds.gov.br/sagirmps/portal-san/artigo.php?link=15%3E.%20Acesso%20em:%2025%20abr.%202022" TargetMode="External"/><Relationship Id="rId6" Type="http://schemas.openxmlformats.org/officeDocument/2006/relationships/hyperlink" Target="https://aplicacoes.mds.gov.br/sagirmps/portal-san/artigo.php?link=15%3E.%20Acesso%20em:%2026%20Jun.%202022" TargetMode="External"/><Relationship Id="rId7" Type="http://schemas.openxmlformats.org/officeDocument/2006/relationships/hyperlink" Target="https://github.com/Marcos-Sobral/A-Inseguran-a-Alimentar-e-o-combate-a-fome-no-setor-rural.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 Id="rId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