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Bucaramanga, 7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12:30 PM</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Johon Fredy Sanabria Muñoz</w:t>
            </w:r>
            <w:r>
              <w:br/>
            </w:r>
            <w:r>
              <w:rPr>
                <w:rFonts w:ascii="Calibri" w:eastAsia="Calibri" w:hAnsi="Calibri" w:cs="Calibri"/>
                <w:bCs/>
                <w:color w:val="323130"/>
              </w:rPr>
              <w:t xml:space="preserve">BIENESTAR DEL APRENDIZ: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(No se presentó)</w:t>
            </w:r>
            <w:r>
              <w:br/>
            </w:r>
            <w:r>
              <w:rPr>
                <w:rFonts w:ascii="Calibri" w:eastAsia="Calibri" w:hAnsi="Calibri" w:cs="Calibri"/>
                <w:bCs/>
                <w:color w:val="323130"/>
              </w:rPr>
              <w:t xml:space="preserve">REPRESENTANTE DE CENTRO: Karen Andrea García (Líder de Etapas Productivas), Diana Alicia Alfonso (Líder de Contratos)</w:t>
            </w:r>
            <w:r>
              <w:br/>
            </w:r>
            <w:r>
              <w:rPr>
                <w:rFonts w:ascii="Calibri" w:eastAsia="Calibri" w:hAnsi="Calibri" w:cs="Calibri"/>
                <w:bCs/>
                <w:color w:val="323130"/>
              </w:rPr>
              <w:t xml:space="preserve">VOCERO: No especificado en transcripción</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