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 No especificado en transcripción, 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11:45 AM (Estimado)</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Dra. Elizabeth (No apellido especificado en transcripción)</w:t>
            </w:r>
            <w:r>
              <w:br/>
            </w:r>
            <w:r>
              <w:rPr>
                <w:rFonts w:ascii="Calibri" w:eastAsia="Calibri" w:hAnsi="Calibri" w:cs="Calibri"/>
                <w:bCs/>
                <w:color w:val="323130"/>
              </w:rPr>
              <w:t xml:space="preserve">INSTRUCTORES: Viviana Barrera (Profe de ICB)</w:t>
            </w:r>
            <w:r>
              <w:br/>
            </w:r>
            <w:r>
              <w:rPr>
                <w:rFonts w:ascii="Calibri" w:eastAsia="Calibri" w:hAnsi="Calibri" w:cs="Calibri"/>
                <w:bCs/>
                <w:color w:val="323130"/>
              </w:rPr>
              <w:t xml:space="preserve">APRENDIZ CITADO: Jorge Luis Ramírez Belandia (Ausente)</w:t>
            </w:r>
            <w:r>
              <w:br/>
            </w:r>
            <w:r>
              <w:rPr>
                <w:rFonts w:ascii="Calibri" w:eastAsia="Calibri" w:hAnsi="Calibri" w:cs="Calibri"/>
                <w:bCs/>
                <w:color w:val="323130"/>
              </w:rPr>
              <w:t xml:space="preserve">REPRESENTANTE DE CENTRO: Karen Andrea García (Líder de etapas productivas), Diana Alicia Alfonso (Líder de contratos)</w:t>
            </w:r>
            <w:r>
              <w:br/>
            </w:r>
            <w:r>
              <w:rPr>
                <w:rFonts w:ascii="Calibri" w:eastAsia="Calibri" w:hAnsi="Calibri" w:cs="Calibri"/>
                <w:bCs/>
                <w:color w:val="323130"/>
              </w:rPr>
              <w:t xml:space="preserve">VOCERO: Alejandra Sely (Jefe de Talento Humano - Hotel Sonesta)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