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Bogotá D.C., 12 de agosto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08:00</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10:30</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Joan Sebastián Ballesteros Carreño DEL PROGRAMA Promoción de Contenidos en Medios Digitales FICHA: 3066041</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Muñoz</w:t>
            </w:r>
            <w:r>
              <w:br/>
            </w:r>
            <w:r>
              <w:rPr>
                <w:rFonts w:ascii="Calibri" w:eastAsia="Calibri" w:hAnsi="Calibri" w:cs="Calibri"/>
                <w:bCs/>
                <w:color w:val="323130"/>
              </w:rPr>
              <w:t xml:space="preserve">BIENESTAR DEL APRENDIZ: Elizabeth Silva Bautista</w:t>
            </w:r>
            <w:r>
              <w:br/>
            </w:r>
            <w:r>
              <w:rPr>
                <w:rFonts w:ascii="Calibri" w:eastAsia="Calibri" w:hAnsi="Calibri" w:cs="Calibri"/>
                <w:bCs/>
                <w:color w:val="323130"/>
              </w:rPr>
              <w:t xml:space="preserve">INSTRUCTORES: José Fernando Carreño y León</w:t>
            </w:r>
            <w:r>
              <w:br/>
            </w:r>
            <w:r>
              <w:rPr>
                <w:rFonts w:ascii="Calibri" w:eastAsia="Calibri" w:hAnsi="Calibri" w:cs="Calibri"/>
                <w:bCs/>
                <w:color w:val="323130"/>
              </w:rPr>
              <w:t xml:space="preserve">APRENDIZ CITADO: Joan Sebastián Ballesteros Carreño</w:t>
            </w:r>
            <w:r>
              <w:br/>
            </w:r>
            <w:r>
              <w:rPr>
                <w:rFonts w:ascii="Calibri" w:eastAsia="Calibri" w:hAnsi="Calibri" w:cs="Calibri"/>
                <w:bCs/>
                <w:color w:val="323130"/>
              </w:rPr>
              <w:t xml:space="preserve">REPRESENTANTE DE CENTRO: Alexandra Camargo</w:t>
            </w:r>
            <w:r>
              <w:br/>
            </w:r>
            <w:r>
              <w:rPr>
                <w:rFonts w:ascii="Calibri" w:eastAsia="Calibri" w:hAnsi="Calibri" w:cs="Calibri"/>
                <w:bCs/>
                <w:color w:val="323130"/>
              </w:rPr>
              <w:t xml:space="preserve">VOCERO: Siomara Heide Arciniegas</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El aprendiz Joan Sebastián Ballesteros Carreño se reporta a Comité de tipo académico por inasistencia a formación en los días programados por el Centro Pro Turístico (11, 12, 13 y 14 de febrero de 2025). El día 17 de febrero de 2025, el aprendiz presentó una excusa médica elaborada a mano.</w:t>
            </w:r>
            <w:r>
              <w:br/>
            </w:r>
            <w:r>
              <w:rPr>
                <w:rFonts w:ascii="Calibri" w:eastAsia="Calibri" w:hAnsi="Calibri" w:cs="Calibri"/>
                <w:color w:val="323130"/>
              </w:rPr>
              <w:t xml:space="preserve">2) Se le dio la oportunidad en cuatro ocasiones distintas para presentar evidencias pendientes, manifestando que ya estaban diligenciadas, aunque se encontraban sin diligenciar. En una cuarta oportunidad, envió una evidencia incompleta por WhatsApp, y se generó duda sobre la autoría de las mismas.</w:t>
            </w:r>
            <w:r>
              <w:br/>
            </w:r>
            <w:r>
              <w:rPr>
                <w:rFonts w:ascii="Calibri" w:eastAsia="Calibri" w:hAnsi="Calibri" w:cs="Calibri"/>
                <w:color w:val="323130"/>
              </w:rPr>
              <w:t xml:space="preserve">3) La competencia pendiente por evaluar es "utilizar herramientas informáticas de acuerdo con las necesidades de manejo de información", con los siguientes Resultados de Aprendizaje (RAPs) pendientes: RAP 1 (Seleccionar herramientas TIC), RAP 2 (Usar herramientas TIC), RAP 3 (Verificar resultados), y RAP 4 (Implementar buenas prácticas).</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cita: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r>
              <w:br/>
            </w:r>
            <w:r>
              <w:rPr>
                <w:rFonts w:ascii="Calibri" w:eastAsia="Calibri" w:hAnsi="Calibri" w:cs="Calibri"/>
                <w:color w:val="323130"/>
              </w:rPr>
              <w:t/>
            </w:r>
            <w:r>
              <w:br/>
            </w:r>
            <w:r>
              <w:rPr>
                <w:rFonts w:ascii="Calibri" w:eastAsia="Calibri" w:hAnsi="Calibri" w:cs="Calibri"/>
                <w:color w:val="323130"/>
              </w:rPr>
              <w:t xml:space="preserve">Hechos Instructor(a) José Fernando Carreño y León:</w:t>
            </w:r>
            <w:r>
              <w:br/>
            </w:r>
            <w:r>
              <w:rPr>
                <w:rFonts w:ascii="Calibri" w:eastAsia="Calibri" w:hAnsi="Calibri" w:cs="Calibri"/>
                <w:color w:val="323130"/>
              </w:rPr>
              <w:t/>
            </w:r>
            <w:r>
              <w:br/>
            </w:r>
            <w:r>
              <w:rPr>
                <w:rFonts w:ascii="Calibri" w:eastAsia="Calibri" w:hAnsi="Calibri" w:cs="Calibri"/>
                <w:color w:val="323130"/>
              </w:rPr>
              <w:t xml:space="preserve">El aprendiz Joan Sebastián Ballesteros Carreño se reporta a comité de tipo académico. El aprendiz no se presentó a formación en los días programados por el Centro Pro Turístico 11, 12, 13 y 14 de febrero de 2025, y el día 17 se presentó con una excusa médica elaborada a mano. Se le dio la oportunidad de presentar las evidencias, pero se evidenció, como lo registra la siguiente imagen, que no es él quien envía o elabora dichas evidencias, quedando en duda si fueron realizadas por él. Adicionalmente, quedan pendientes dos evidencias, a pesar de que se le dio la oportunidad en cuatro ocasiones distintas para entregarlas, manifestando siempre que ya estaban, pero sin diligenciar. En la cuarta oportunidad, envió una por WhatsApp, pero incompleta. La competencia pendiente por evaluar es utilizar herramientas informáticas de acuerdo con las necesidades de manejo de información, y los resultados a evaluar son RAP 1, RAP 2, RAP 3 y RAP 4.</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V - Articulo 51 - Numeral 3 del reglamento.</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Joan Sebastián Ballesteros Carreño del programa PROMOCIÓN DE CONTENIDOS EN MEDIOS DIGITALES FICHA 3066041.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Coordinación Académica (John Freddy Sanabria Muñoz): Subraya el rol del comité en la formación integral de aprendices y la necesidad de altos estándares de calidad. Recalcó el compromiso de los aprendices al ingresar a la institución y la importancia de seguir el reglamento. Expresó preocupación por la situación del aprendiz, quien previamente había tenido oportunidades y un plan de mejora que no se cumplió a cabalidad. Mencionó la explicación del aprendiz sobre su trabajo actual como factor de inasistencia, señalando un posible conflicto de prioridades. Hizo énfasis en que las normas deben seguirse, a pesar de las circunstancias personales, y que el SENA ha sido flexible. Cuestionó la actitud y el respeto por el tiempo institucional, subrayando la importancia de la competencia pendiente. Recalcó que la formación SENA es gratuita y debe valorarse, y que la situación constituye una falta académica grave que podría derivar en cancelación. Propuso un "condicionamiento" como vía, pero advirtió que el incumplimiento del plan de mejora asociado llevaría a la cancelación definitiva. Finalmente, propuso un plan de asistencia presencial estricto para las próximas semanas de agosto.</w:t>
            </w:r>
            <w:r>
              <w:br/>
            </w:r>
            <w:r>
              <w:rPr>
                <w:rFonts w:ascii="Calibri" w:eastAsia="Calibri" w:hAnsi="Calibri" w:cs="Calibri"/>
                <w:color w:val="323130"/>
              </w:rPr>
              <w:t/>
            </w:r>
            <w:r>
              <w:br/>
            </w:r>
            <w:r>
              <w:rPr>
                <w:rFonts w:ascii="Calibri" w:eastAsia="Calibri" w:hAnsi="Calibri" w:cs="Calibri"/>
                <w:color w:val="323130"/>
              </w:rPr>
              <w:t xml:space="preserve">Interviene Aprendiz Citado (Joan Sebastián Ballesteros Carreño): Manifestó no tener intención de fallar y explicó sus ausencias en comités anteriores y en la formación, atribuyéndolas a compromisos laborales (Hotel Ternan Barichar) y a estar cursando una maestría, lo que priorizó en su momento. Señaló que percibía la competencia de herramientas informáticas como menos relevante en comparación con su experiencia laboral práctica. Afirmó haber cumplido un plan de mejora previo, aunque este no impidió su citación actual. Expresó su dificultad para conciliar sus responsabilidades laborales con los horarios y exigencias del SENA, sintiendo que no podía cumplir plenamente. Reconoció sus faltas pero reiteró las limitaciones impuestas por sus circunstancias externas, pidiendo comprensión y expresando que está muy preocupado por su situación. Mencionó tener un único resultado pendiente para la etapa funcional.</w:t>
            </w:r>
            <w:r>
              <w:br/>
            </w:r>
            <w:r>
              <w:rPr>
                <w:rFonts w:ascii="Calibri" w:eastAsia="Calibri" w:hAnsi="Calibri" w:cs="Calibri"/>
                <w:color w:val="323130"/>
              </w:rPr>
              <w:t/>
            </w:r>
            <w:r>
              <w:br/>
            </w:r>
            <w:r>
              <w:rPr>
                <w:rFonts w:ascii="Calibri" w:eastAsia="Calibri" w:hAnsi="Calibri" w:cs="Calibri"/>
                <w:color w:val="323130"/>
              </w:rPr>
              <w:t xml:space="preserve">Interviene Instructor (José Fernando Carreño y León): Aclaró que el aprendiz había faltado a tres citaciones de comité previas. Indicó que el aprendiz no cumplió con los plazos para las actividades a pesar de las flexibilidades ofrecidas. Reafirmó la importancia crítica de la competencia de uso de herramientas informáticas para el perfil de un profesional en medios digitales, señalando que el aprendiz no parece reconocer su relevancia.</w:t>
            </w:r>
            <w:r>
              <w:br/>
            </w:r>
            <w:r>
              <w:rPr>
                <w:rFonts w:ascii="Calibri" w:eastAsia="Calibri" w:hAnsi="Calibri" w:cs="Calibri"/>
                <w:color w:val="323130"/>
              </w:rPr>
              <w:t/>
            </w:r>
            <w:r>
              <w:br/>
            </w:r>
            <w:r>
              <w:rPr>
                <w:rFonts w:ascii="Calibri" w:eastAsia="Calibri" w:hAnsi="Calibri" w:cs="Calibri"/>
                <w:color w:val="323130"/>
              </w:rPr>
              <w:t xml:space="preserve">Interviene Vocero (Siomara Heide Arciniegas): Destacó el valor de la formación gratuita que ofrece el SENA y la calidad de sus instalaciones y oportunidades de recuperación. Subrayó la necesidad de sacrificio y compromiso, compartiendo un ejemplo personal de dedicación para cumplir con las responsabilidades académicas y laborales simultáneamente.</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concluye que el aprendiz Joan Sebastián Ballesteros Carreño ha incurrido en una falta académica grave, manifestada por inasistencias reiteradas, falta de cumplimiento en la entrega de evidencias y dificultades para conciliar sus compromisos personales con las exigencias del programa de formación. A pesar de las múltiples oportunidades de mejora y el establecimiento de un plan de seguimiento previo, el aprendiz no ha logrado regularizar su situación académica. Reconociendo las circunstancias personales, pero priorizando el cumplimiento del Reglamento del Aprendiz y los objetivos institucionales de formación de calidad, el Comité decide ofrecer una última oportunidad al aprendiz a través de un "condicionamiento" estricto. Esta medida busca garantizar el cumplimiento de los resultados de aprendizaje pendientes y la asistencia a las sesiones de formación requeridas. El incumplimiento de este condicionamiento resultará en la cancelación definitiva de la matrícula del aprendiz.</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Asistir de forma obligatoria a las clases presenciales.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Cumplir con la entrega de todas las evidencias pendientes.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Realizar seguimiento al cumplimiento del plan de condicionamiento.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Notificar formalmente la decisión de condicionamiento al aprendiz.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