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Dokumentenregister SSD Manager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Übersicht, Übernahmebewertung und Freigabestatus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Paketübersicht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3300"/>
        <w:gridCol w:w="2460"/>
      </w:tblGrid>
      <w:tr>
        <w:trPr>
          <w:tblHeader w:val="true"/>
        </w:trPr>
        <w:tc>
          <w:tcPr>
            <w:tcW w:type="dxa" w:w="3600"/>
            <w:shd w:fill="F2F4F7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3300"/>
            <w:shd w:fill="F2F4F7"/>
          </w:tcPr>
          <w:p>
            <w:r>
              <w:rPr>
                <w:b/>
              </w:rPr>
              <w:t>Zweck</w:t>
            </w:r>
          </w:p>
        </w:tc>
        <w:tc>
          <w:tcPr>
            <w:tcW w:type="dxa" w:w="2460"/>
            <w:shd w:fill="F2F4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600"/>
            <w:vAlign w:val="center"/>
          </w:tcPr>
          <w:p>
            <w:r>
              <w:t>01_SSD_Manager_Impressum.docx</w:t>
            </w:r>
          </w:p>
        </w:tc>
        <w:tc>
          <w:tcPr>
            <w:tcW w:type="dxa" w:w="3300"/>
            <w:vAlign w:val="center"/>
          </w:tcPr>
          <w:p>
            <w:r>
              <w:t>Öffentliche Anbieterkennzeichnung</w:t>
            </w:r>
          </w:p>
        </w:tc>
        <w:tc>
          <w:tcPr>
            <w:tcW w:type="dxa" w:w="2460"/>
            <w:vAlign w:val="center"/>
          </w:tcPr>
          <w:p>
            <w:r>
              <w:t>URL ergänzen und anwaltlich prüfen</w:t>
            </w:r>
          </w:p>
        </w:tc>
      </w:tr>
      <w:tr>
        <w:tc>
          <w:tcPr>
            <w:tcW w:type="dxa" w:w="3600"/>
            <w:vAlign w:val="center"/>
          </w:tcPr>
          <w:p>
            <w:r>
              <w:t>02_SSD_Manager_Datenschutzerklaerung.docx</w:t>
            </w:r>
          </w:p>
        </w:tc>
        <w:tc>
          <w:tcPr>
            <w:tcW w:type="dxa" w:w="3300"/>
            <w:vAlign w:val="center"/>
          </w:tcPr>
          <w:p>
            <w:r>
              <w:t>Öffentliche App-Datenschutzinformation</w:t>
            </w:r>
          </w:p>
        </w:tc>
        <w:tc>
          <w:tcPr>
            <w:tcW w:type="dxa" w:w="2460"/>
            <w:vAlign w:val="center"/>
          </w:tcPr>
          <w:p>
            <w:r>
              <w:t>Schulrechtsgrundlage/URLs prüfen</w:t>
            </w:r>
          </w:p>
        </w:tc>
      </w:tr>
      <w:tr>
        <w:tc>
          <w:tcPr>
            <w:tcW w:type="dxa" w:w="3600"/>
            <w:vAlign w:val="center"/>
          </w:tcPr>
          <w:p>
            <w:r>
              <w:t>03_SSD_Manager_Nutzungsbedingungen.docx</w:t>
            </w:r>
          </w:p>
        </w:tc>
        <w:tc>
          <w:tcPr>
            <w:tcW w:type="dxa" w:w="3300"/>
            <w:vAlign w:val="center"/>
          </w:tcPr>
          <w:p>
            <w:r>
              <w:t>Regeln innerhalb der App</w:t>
            </w:r>
          </w:p>
        </w:tc>
        <w:tc>
          <w:tcPr>
            <w:tcW w:type="dxa" w:w="2460"/>
            <w:vAlign w:val="center"/>
          </w:tcPr>
          <w:p>
            <w:r>
              <w:t>Haftung anwaltlich prüfen</w:t>
            </w:r>
          </w:p>
        </w:tc>
      </w:tr>
      <w:tr>
        <w:tc>
          <w:tcPr>
            <w:tcW w:type="dxa" w:w="3600"/>
            <w:vAlign w:val="center"/>
          </w:tcPr>
          <w:p>
            <w:r>
              <w:t>04_SSD_Manager_SaaS_Vertrag_Schule.docx</w:t>
            </w:r>
          </w:p>
        </w:tc>
        <w:tc>
          <w:tcPr>
            <w:tcW w:type="dxa" w:w="3300"/>
            <w:vAlign w:val="center"/>
          </w:tcPr>
          <w:p>
            <w:r>
              <w:t>Hauptvertrag mit Schule/Schulträger</w:t>
            </w:r>
          </w:p>
        </w:tc>
        <w:tc>
          <w:tcPr>
            <w:tcW w:type="dxa" w:w="2460"/>
            <w:vAlign w:val="center"/>
          </w:tcPr>
          <w:p>
            <w:r>
              <w:t>Preis/Laufzeit und Recht prüfen</w:t>
            </w:r>
          </w:p>
        </w:tc>
      </w:tr>
      <w:tr>
        <w:tc>
          <w:tcPr>
            <w:tcW w:type="dxa" w:w="3600"/>
            <w:vAlign w:val="center"/>
          </w:tcPr>
          <w:p>
            <w:r>
              <w:t>05_SSD_Manager_AVV_Schule.docx</w:t>
            </w:r>
          </w:p>
        </w:tc>
        <w:tc>
          <w:tcPr>
            <w:tcW w:type="dxa" w:w="3300"/>
            <w:vAlign w:val="center"/>
          </w:tcPr>
          <w:p>
            <w:r>
              <w:t>Pflichtvertrag bei Auftragsverarbeitung</w:t>
            </w:r>
          </w:p>
        </w:tc>
        <w:tc>
          <w:tcPr>
            <w:tcW w:type="dxa" w:w="2460"/>
            <w:vAlign w:val="center"/>
          </w:tcPr>
          <w:p>
            <w:r>
              <w:t>Art.-28-Prüfung und Unterschrift</w:t>
            </w:r>
          </w:p>
        </w:tc>
      </w:tr>
      <w:tr>
        <w:tc>
          <w:tcPr>
            <w:tcW w:type="dxa" w:w="3600"/>
            <w:vAlign w:val="center"/>
          </w:tcPr>
          <w:p>
            <w:r>
              <w:t>06_SSD_Manager_TOMs.docx</w:t>
            </w:r>
          </w:p>
        </w:tc>
        <w:tc>
          <w:tcPr>
            <w:tcW w:type="dxa" w:w="3300"/>
            <w:vAlign w:val="center"/>
          </w:tcPr>
          <w:p>
            <w:r>
              <w:t>Sicherheitsanlage zum AVV</w:t>
            </w:r>
          </w:p>
        </w:tc>
        <w:tc>
          <w:tcPr>
            <w:tcW w:type="dxa" w:w="2460"/>
            <w:vAlign w:val="center"/>
          </w:tcPr>
          <w:p>
            <w:r>
              <w:t>Anbieter-TOMs beilegen/regelmäßig prüfen</w:t>
            </w:r>
          </w:p>
        </w:tc>
      </w:tr>
      <w:tr>
        <w:tc>
          <w:tcPr>
            <w:tcW w:type="dxa" w:w="3600"/>
            <w:vAlign w:val="center"/>
          </w:tcPr>
          <w:p>
            <w:r>
              <w:t>07_SSD_Manager_Unterauftragnehmerliste.docx</w:t>
            </w:r>
          </w:p>
        </w:tc>
        <w:tc>
          <w:tcPr>
            <w:tcW w:type="dxa" w:w="3300"/>
            <w:vAlign w:val="center"/>
          </w:tcPr>
          <w:p>
            <w:r>
              <w:t>AVV-Anlage und Transparenz</w:t>
            </w:r>
          </w:p>
        </w:tc>
        <w:tc>
          <w:tcPr>
            <w:tcW w:type="dxa" w:w="2460"/>
            <w:vAlign w:val="center"/>
          </w:tcPr>
          <w:p>
            <w:r>
              <w:t>DPA-Zuordnungen final belegen</w:t>
            </w:r>
          </w:p>
        </w:tc>
      </w:tr>
      <w:tr>
        <w:tc>
          <w:tcPr>
            <w:tcW w:type="dxa" w:w="3600"/>
            <w:vAlign w:val="center"/>
          </w:tcPr>
          <w:p>
            <w:r>
              <w:t>08_SSD_Manager_Loesch_und_Aufbewahrungskonzept.docx</w:t>
            </w:r>
          </w:p>
        </w:tc>
        <w:tc>
          <w:tcPr>
            <w:tcW w:type="dxa" w:w="3300"/>
            <w:vAlign w:val="center"/>
          </w:tcPr>
          <w:p>
            <w:r>
              <w:t>Interner Nachweis und AVV-Anlage</w:t>
            </w:r>
          </w:p>
        </w:tc>
        <w:tc>
          <w:tcPr>
            <w:tcW w:type="dxa" w:w="2460"/>
            <w:vAlign w:val="center"/>
          </w:tcPr>
          <w:p>
            <w:r>
              <w:t>Schulfreigabe erforderlich</w:t>
            </w:r>
          </w:p>
        </w:tc>
      </w:tr>
      <w:tr>
        <w:tc>
          <w:tcPr>
            <w:tcW w:type="dxa" w:w="3600"/>
            <w:vAlign w:val="center"/>
          </w:tcPr>
          <w:p>
            <w:r>
              <w:t>09_SSD_Manager_DSFA_Vorpruefung_und_Muster.docx</w:t>
            </w:r>
          </w:p>
        </w:tc>
        <w:tc>
          <w:tcPr>
            <w:tcW w:type="dxa" w:w="3300"/>
            <w:vAlign w:val="center"/>
          </w:tcPr>
          <w:p>
            <w:r>
              <w:t>Risikoprüfung der Schule unterstützen</w:t>
            </w:r>
          </w:p>
        </w:tc>
        <w:tc>
          <w:tcPr>
            <w:tcW w:type="dxa" w:w="2460"/>
            <w:vAlign w:val="center"/>
          </w:tcPr>
          <w:p>
            <w:r>
              <w:t>Je Schule vervollständigen</w:t>
            </w:r>
          </w:p>
        </w:tc>
      </w:tr>
      <w:tr>
        <w:tc>
          <w:tcPr>
            <w:tcW w:type="dxa" w:w="3600"/>
            <w:vAlign w:val="center"/>
          </w:tcPr>
          <w:p>
            <w:r>
              <w:t>10_SSD_Manager_Verzeichnis_Verarbeitungstaetigkeiten.docx</w:t>
            </w:r>
          </w:p>
        </w:tc>
        <w:tc>
          <w:tcPr>
            <w:tcW w:type="dxa" w:w="3300"/>
            <w:vAlign w:val="center"/>
          </w:tcPr>
          <w:p>
            <w:r>
              <w:t>Interne Rechenschaftspflicht</w:t>
            </w:r>
          </w:p>
        </w:tc>
        <w:tc>
          <w:tcPr>
            <w:tcW w:type="dxa" w:w="2460"/>
            <w:vAlign w:val="center"/>
          </w:tcPr>
          <w:p>
            <w:r>
              <w:t>MinutMate und Schule getrennt finalisieren</w:t>
            </w:r>
          </w:p>
        </w:tc>
      </w:tr>
      <w:tr>
        <w:tc>
          <w:tcPr>
            <w:tcW w:type="dxa" w:w="3600"/>
            <w:vAlign w:val="center"/>
          </w:tcPr>
          <w:p>
            <w:r>
              <w:t>11_SSD_Manager_Betroffenenanfragen_Prozess.docx</w:t>
            </w:r>
          </w:p>
        </w:tc>
        <w:tc>
          <w:tcPr>
            <w:tcW w:type="dxa" w:w="3300"/>
            <w:vAlign w:val="center"/>
          </w:tcPr>
          <w:p>
            <w:r>
              <w:t>Operativer Rechteprozess</w:t>
            </w:r>
          </w:p>
        </w:tc>
        <w:tc>
          <w:tcPr>
            <w:tcW w:type="dxa" w:w="2460"/>
            <w:vAlign w:val="center"/>
          </w:tcPr>
          <w:p>
            <w:r>
              <w:t>Schulkontakte ergänzen</w:t>
            </w:r>
          </w:p>
        </w:tc>
      </w:tr>
      <w:tr>
        <w:tc>
          <w:tcPr>
            <w:tcW w:type="dxa" w:w="3600"/>
            <w:vAlign w:val="center"/>
          </w:tcPr>
          <w:p>
            <w:r>
              <w:t>12_SSD_Manager_Datenschutzverletzung_Prozess.docx</w:t>
            </w:r>
          </w:p>
        </w:tc>
        <w:tc>
          <w:tcPr>
            <w:tcW w:type="dxa" w:w="3300"/>
            <w:vAlign w:val="center"/>
          </w:tcPr>
          <w:p>
            <w:r>
              <w:t>72-Stunden- und Auftragsmeldeprozess</w:t>
            </w:r>
          </w:p>
        </w:tc>
        <w:tc>
          <w:tcPr>
            <w:tcW w:type="dxa" w:w="2460"/>
            <w:vAlign w:val="center"/>
          </w:tcPr>
          <w:p>
            <w:r>
              <w:t>Notfallkontakte ergänzen</w:t>
            </w:r>
          </w:p>
        </w:tc>
      </w:tr>
      <w:tr>
        <w:tc>
          <w:tcPr>
            <w:tcW w:type="dxa" w:w="3600"/>
            <w:vAlign w:val="center"/>
          </w:tcPr>
          <w:p>
            <w:r>
              <w:t>13_SSD_Manager_Vertraulichkeitsverpflichtung.docx</w:t>
            </w:r>
          </w:p>
        </w:tc>
        <w:tc>
          <w:tcPr>
            <w:tcW w:type="dxa" w:w="3300"/>
            <w:vAlign w:val="center"/>
          </w:tcPr>
          <w:p>
            <w:r>
              <w:t>Personal-/Supportnachweis</w:t>
            </w:r>
          </w:p>
        </w:tc>
        <w:tc>
          <w:tcPr>
            <w:tcW w:type="dxa" w:w="2460"/>
            <w:vAlign w:val="center"/>
          </w:tcPr>
          <w:p>
            <w:r>
              <w:t>Bei Zugriff unterschreiben</w:t>
            </w:r>
          </w:p>
        </w:tc>
      </w:tr>
      <w:tr>
        <w:tc>
          <w:tcPr>
            <w:tcW w:type="dxa" w:w="3600"/>
            <w:vAlign w:val="center"/>
          </w:tcPr>
          <w:p>
            <w:r>
              <w:t>14_SSD_Manager_Schul_Onboarding_Freigabe.docx</w:t>
            </w:r>
          </w:p>
        </w:tc>
        <w:tc>
          <w:tcPr>
            <w:tcW w:type="dxa" w:w="3300"/>
            <w:vAlign w:val="center"/>
          </w:tcPr>
          <w:p>
            <w:r>
              <w:t>Keine offene Registrierung; Schulprüfung dokumentieren</w:t>
            </w:r>
          </w:p>
        </w:tc>
        <w:tc>
          <w:tcPr>
            <w:tcW w:type="dxa" w:w="2460"/>
            <w:vAlign w:val="center"/>
          </w:tcPr>
          <w:p>
            <w:r>
              <w:t>Je Schule ausfüllen</w:t>
            </w:r>
          </w:p>
        </w:tc>
      </w:tr>
      <w:tr>
        <w:tc>
          <w:tcPr>
            <w:tcW w:type="dxa" w:w="3600"/>
            <w:vAlign w:val="center"/>
          </w:tcPr>
          <w:p>
            <w:r>
              <w:t>15_SSD_Manager_App_Store_Datenschutzangaben.docx</w:t>
            </w:r>
          </w:p>
        </w:tc>
        <w:tc>
          <w:tcPr>
            <w:tcW w:type="dxa" w:w="3300"/>
            <w:vAlign w:val="center"/>
          </w:tcPr>
          <w:p>
            <w:r>
              <w:t>Apple/Google-Fragebögen vorbereiten</w:t>
            </w:r>
          </w:p>
        </w:tc>
        <w:tc>
          <w:tcPr>
            <w:tcW w:type="dxa" w:w="2460"/>
            <w:vAlign w:val="center"/>
          </w:tcPr>
          <w:p>
            <w:r>
              <w:t>Bei Upload gegen Binärdatei prüfen</w:t>
            </w:r>
          </w:p>
        </w:tc>
      </w:tr>
    </w:tbl>
    <w:p/>
    <w:p>
      <w:pPr>
        <w:pStyle w:val="Heading1"/>
      </w:pPr>
      <w:r>
        <w:t>Übernahme aus StudyConnect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F2F4F7"/>
          </w:tcPr>
          <w:p>
            <w:r>
              <w:rPr>
                <w:b/>
              </w:rPr>
              <w:t>Übernehmbar</w:t>
            </w:r>
          </w:p>
        </w:tc>
        <w:tc>
          <w:tcPr>
            <w:tcW w:type="dxa" w:w="5060"/>
            <w:shd w:fill="F2F4F7"/>
          </w:tcPr>
          <w:p>
            <w:r>
              <w:rPr>
                <w:b/>
              </w:rPr>
              <w:t>Neu/angepasst für SSD Manager</w:t>
            </w:r>
          </w:p>
        </w:tc>
      </w:tr>
      <w:tr>
        <w:tc>
          <w:tcPr>
            <w:tcW w:type="dxa" w:w="4300"/>
            <w:vAlign w:val="center"/>
          </w:tcPr>
          <w:p>
            <w:r>
              <w:t>MinutMate-Anbieterangaben, Anschrift, Telefon, USt-IdNr. und allgemeine Kontaktstruktur</w:t>
            </w:r>
          </w:p>
        </w:tc>
        <w:tc>
          <w:tcPr>
            <w:tcW w:type="dxa" w:w="5060"/>
            <w:vAlign w:val="center"/>
          </w:tcPr>
          <w:p>
            <w:r>
              <w:t>Produktkontakte info@ssd-manager.minutmate.com und support@ssd-manager.minutmate.com</w:t>
            </w:r>
          </w:p>
        </w:tc>
      </w:tr>
      <w:tr>
        <w:tc>
          <w:tcPr>
            <w:tcW w:type="dxa" w:w="4300"/>
            <w:vAlign w:val="center"/>
          </w:tcPr>
          <w:p>
            <w:r>
              <w:t>Grundaufbau von Impressum, SaaS-Vertrag, AVV, TOMs, Unterauftragnehmerliste und Vertraulichkeitsverpflichtung</w:t>
            </w:r>
          </w:p>
        </w:tc>
        <w:tc>
          <w:tcPr>
            <w:tcW w:type="dxa" w:w="5060"/>
            <w:vAlign w:val="center"/>
          </w:tcPr>
          <w:p>
            <w:r>
              <w:t>Leistungsbild Schulsanitätsdienst, Rollen, Datenkategorien und ausdrücklicher Ausschluss medizinischer Falldaten</w:t>
            </w:r>
          </w:p>
        </w:tc>
      </w:tr>
      <w:tr>
        <w:tc>
          <w:tcPr>
            <w:tcW w:type="dxa" w:w="4300"/>
            <w:vAlign w:val="center"/>
          </w:tcPr>
          <w:p>
            <w:r>
              <w:t>Verantwortlichkeitsmodell Schule = Verantwortlicher / MinutMate = Auftragsverarbeiter</w:t>
            </w:r>
          </w:p>
        </w:tc>
        <w:tc>
          <w:tcPr>
            <w:tcW w:type="dxa" w:w="5060"/>
            <w:vAlign w:val="center"/>
          </w:tcPr>
          <w:p>
            <w:r>
              <w:t>SSD-spezifische Diensthistorie, Ankündigungen, Anhänge, Accountlöschung und Anonymisierung</w:t>
            </w:r>
          </w:p>
        </w:tc>
      </w:tr>
      <w:tr>
        <w:tc>
          <w:tcPr>
            <w:tcW w:type="dxa" w:w="4300"/>
            <w:vAlign w:val="center"/>
          </w:tcPr>
          <w:p>
            <w:r>
              <w:t>Vorhandene DPA-Nachweise für Railway, Google/Firebase und All-Inkl als Ausgangsnachweise</w:t>
            </w:r>
          </w:p>
        </w:tc>
        <w:tc>
          <w:tcPr>
            <w:tcW w:type="dxa" w:w="5060"/>
            <w:vAlign w:val="center"/>
          </w:tcPr>
          <w:p>
            <w:r>
              <w:t>Tatsächliche SSD-Konto-/Projektzuordnung, Regionen, Unterauftragnehmer und aktuelle Fassungen belegen</w:t>
            </w:r>
          </w:p>
        </w:tc>
      </w:tr>
      <w:tr>
        <w:tc>
          <w:tcPr>
            <w:tcW w:type="dxa" w:w="4300"/>
            <w:vAlign w:val="center"/>
          </w:tcPr>
          <w:p>
            <w:r>
              <w:t>Unterschriften- und Prüfstatuskonzept</w:t>
            </w:r>
          </w:p>
        </w:tc>
        <w:tc>
          <w:tcPr>
            <w:tcW w:type="dxa" w:w="5060"/>
            <w:vAlign w:val="center"/>
          </w:tcPr>
          <w:p>
            <w:r>
              <w:t>30-Tage-Backuprotation, XChaCha20-Poly1305, eigener FTP-Bereich und erfolgreicher Restore-Test</w:t>
            </w:r>
          </w:p>
        </w:tc>
      </w:tr>
    </w:tbl>
    <w:p/>
    <w:p>
      <w:pPr>
        <w:pStyle w:val="Heading1"/>
      </w:pPr>
      <w:r>
        <w:t>Nicht übernommen</w:t>
      </w:r>
    </w:p>
    <w:p>
      <w:pPr>
        <w:pStyle w:val="ListBullet"/>
        <w:spacing w:after="160" w:line="280" w:lineRule="auto"/>
        <w:ind w:left="720" w:hanging="360"/>
      </w:pPr>
      <w:r>
        <w:t>StudyConnect-Lernhilfe, Lerngruppen, private Chats, Moderation und öffentliche Webfunktionen.</w:t>
      </w:r>
    </w:p>
    <w:p>
      <w:pPr>
        <w:pStyle w:val="ListBullet"/>
        <w:spacing w:after="160" w:line="280" w:lineRule="auto"/>
        <w:ind w:left="720" w:hanging="360"/>
      </w:pPr>
      <w:r>
        <w:t>StudyConnect-Anbieter Vercel, Resend und Firebase Storage, da sie im SSD-Manager-Produktivbetrieb nicht aktiv sind.</w:t>
      </w:r>
    </w:p>
    <w:p>
      <w:pPr>
        <w:pStyle w:val="ListBullet"/>
        <w:spacing w:after="160" w:line="280" w:lineRule="auto"/>
        <w:ind w:left="720" w:hanging="360"/>
      </w:pPr>
      <w:r>
        <w:t>StudyConnect-URLs, Supportadressen, Verschlüsselungsbehauptungen und alte Backup-/Restore-Abweichungen.</w:t>
      </w:r>
    </w:p>
    <w:p>
      <w:pPr>
        <w:pStyle w:val="ListBullet"/>
        <w:spacing w:after="160" w:line="280" w:lineRule="auto"/>
        <w:ind w:left="720" w:hanging="360"/>
      </w:pPr>
      <w:r>
        <w:t>Pilot- und Rechnungsvorlagen, bis Vertriebsmodell und Preis ausdrücklich festgelegt sind.</w:t>
      </w:r>
    </w:p>
    <w:p>
      <w:pPr>
        <w:pStyle w:val="Heading1"/>
      </w:pPr>
      <w:r>
        <w:t>Rechts- und Freigabequellen</w:t>
      </w:r>
    </w:p>
    <w:p>
      <w:pPr>
        <w:pStyle w:val="ListBullet"/>
        <w:spacing w:after="160" w:line="280" w:lineRule="auto"/>
        <w:ind w:left="720" w:hanging="360"/>
      </w:pPr>
      <w:r>
        <w:t>Art. 5, 12–14, 28, 30, 32–36 und 44 ff. DSGVO.</w:t>
      </w:r>
    </w:p>
    <w:p>
      <w:pPr>
        <w:pStyle w:val="ListBullet"/>
        <w:spacing w:after="160" w:line="280" w:lineRule="auto"/>
        <w:ind w:left="720" w:hanging="360"/>
      </w:pPr>
      <w:r>
        <w:t>§ 5 Digitale-Dienste-Gesetz für Anbieterinformationen.</w:t>
      </w:r>
    </w:p>
    <w:p>
      <w:pPr>
        <w:pStyle w:val="ListBullet"/>
        <w:spacing w:after="160" w:line="280" w:lineRule="auto"/>
        <w:ind w:left="720" w:hanging="360"/>
      </w:pPr>
      <w:r>
        <w:t>EDPB Guidelines 07/2020 zu Verantwortlichen und Auftragsverarbeitern.</w:t>
      </w:r>
    </w:p>
    <w:p>
      <w:pPr>
        <w:pStyle w:val="ListBullet"/>
        <w:spacing w:after="160" w:line="280" w:lineRule="auto"/>
        <w:ind w:left="720" w:hanging="360"/>
      </w:pPr>
      <w:r>
        <w:t>DSK/BfDI-Orientierungshilfe zu Online-Lernplattformen und Art.-35-Prüfung bei minderjährigen Betroffenen.</w:t>
      </w:r>
    </w:p>
    <w:p>
      <w:pPr>
        <w:pStyle w:val="ListBullet"/>
        <w:spacing w:after="160" w:line="280" w:lineRule="auto"/>
        <w:ind w:left="720" w:hanging="360"/>
      </w:pPr>
      <w:r>
        <w:t>Jeweiliges Landes-Schul- und Landesdatenschutzrecht der Vertragsschule.</w:t>
      </w:r>
    </w:p>
    <w:p>
      <w:pPr>
        <w:pStyle w:val="Heading1"/>
      </w:pPr>
      <w:r>
        <w:t>Freigabereihenfolge</w:t>
      </w:r>
    </w:p>
    <w:p>
      <w:pPr>
        <w:pStyle w:val="ListNumber"/>
        <w:spacing w:after="160" w:line="280" w:lineRule="auto"/>
        <w:ind w:left="720" w:hanging="360"/>
      </w:pPr>
      <w:r>
        <w:t>MinutMate-Anbieterangaben, Steuerstatus, Leistungs-/Preismodell und URLs bestätigen.</w:t>
      </w:r>
    </w:p>
    <w:p>
      <w:pPr>
        <w:pStyle w:val="ListNumber"/>
        <w:spacing w:after="160" w:line="280" w:lineRule="auto"/>
        <w:ind w:left="720" w:hanging="360"/>
      </w:pPr>
      <w:r>
        <w:t>DPA-Nachweise und Unterauftragnehmerlisten projektbezogen aktualisieren.</w:t>
      </w:r>
    </w:p>
    <w:p>
      <w:pPr>
        <w:pStyle w:val="ListNumber"/>
        <w:spacing w:after="160" w:line="280" w:lineRule="auto"/>
        <w:ind w:left="720" w:hanging="360"/>
      </w:pPr>
      <w:r>
        <w:t>Anwaltliche Prüfung von Impressum, Datenschutz, Nutzungsbedingungen, SaaS-Vertrag und AVV.</w:t>
      </w:r>
    </w:p>
    <w:p>
      <w:pPr>
        <w:pStyle w:val="ListNumber"/>
        <w:spacing w:after="160" w:line="280" w:lineRule="auto"/>
        <w:ind w:left="720" w:hanging="360"/>
      </w:pPr>
      <w:r>
        <w:t>TOMs/Incident/Restore durch technische Prüfung bestätigen.</w:t>
      </w:r>
    </w:p>
    <w:p>
      <w:pPr>
        <w:pStyle w:val="ListNumber"/>
        <w:spacing w:after="160" w:line="280" w:lineRule="auto"/>
        <w:ind w:left="720" w:hanging="360"/>
      </w:pPr>
      <w:r>
        <w:t>Schule/Schulträger und Datenschutzbeauftragten einbinden; DSFA-Entscheidung dokumentieren.</w:t>
      </w:r>
    </w:p>
    <w:p>
      <w:pPr>
        <w:pStyle w:val="ListNumber"/>
        <w:spacing w:after="160" w:line="280" w:lineRule="auto"/>
        <w:ind w:left="720" w:hanging="360"/>
      </w:pPr>
      <w:r>
        <w:t>Finale Versionen datieren, unterschreiben, öffentlich bereitstellen und jährlich prüfen.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Dokumentenregister SSD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Dokumentenregister SSD Manager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