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Technische und organisatorische Maßnahmen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SSD Manager – Art. 28 Abs. 3 und Art. 32 DSGVO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1. Governance und Risikoorientierung</w:t>
      </w:r>
    </w:p>
    <w:p>
      <w:pPr>
        <w:pStyle w:val="ListBullet"/>
        <w:spacing w:after="160" w:line="280" w:lineRule="auto"/>
        <w:ind w:left="720" w:hanging="360"/>
      </w:pPr>
      <w:r>
        <w:t>Mindestens halbjährliche sowie anlassbezogene Überprüfung.</w:t>
      </w:r>
    </w:p>
    <w:p>
      <w:pPr>
        <w:pStyle w:val="ListBullet"/>
        <w:spacing w:after="160" w:line="280" w:lineRule="auto"/>
        <w:ind w:left="720" w:hanging="360"/>
      </w:pPr>
      <w:r>
        <w:t>Berechtigungs- und Restore-Prüfungen mindestens halbjährlich; erster Restore-Test erfolgreich durchgeführt.</w:t>
      </w:r>
    </w:p>
    <w:p>
      <w:pPr>
        <w:pStyle w:val="ListBullet"/>
        <w:spacing w:after="160" w:line="280" w:lineRule="auto"/>
        <w:ind w:left="720" w:hanging="360"/>
      </w:pPr>
      <w:r>
        <w:t>Geheimnisse ausschließlich in geschützten Produktionsvariablen und lokalen, Git-ausgeschlossenen Recovery-Ablagen.</w:t>
      </w:r>
    </w:p>
    <w:p>
      <w:pPr>
        <w:pStyle w:val="ListBullet"/>
        <w:spacing w:after="160" w:line="280" w:lineRule="auto"/>
        <w:ind w:left="720" w:hanging="360"/>
      </w:pPr>
      <w:r>
        <w:t>Vertraulichkeitsverpflichtung für Personen mit administrativem Zugriff.</w:t>
      </w:r>
    </w:p>
    <w:p>
      <w:pPr>
        <w:pStyle w:val="Heading1"/>
      </w:pPr>
      <w:r>
        <w:t>2. Physische und lokale Sicherheit</w:t>
      </w:r>
    </w:p>
    <w:p>
      <w:pPr>
        <w:pStyle w:val="ListBullet"/>
        <w:spacing w:after="160" w:line="280" w:lineRule="auto"/>
        <w:ind w:left="720" w:hanging="360"/>
      </w:pPr>
      <w:r>
        <w:t>Produktive Systeme in vertraglich gebundenen Rechenzentren der Dienstleister.</w:t>
      </w:r>
    </w:p>
    <w:p>
      <w:pPr>
        <w:pStyle w:val="ListBullet"/>
        <w:spacing w:after="160" w:line="280" w:lineRule="auto"/>
        <w:ind w:left="720" w:hanging="360"/>
      </w:pPr>
      <w:r>
        <w:t>Lokale Administrationsgeräte mit Betriebssystemanmeldung, Gerätesperre, Festplattenverschlüsselung, Updates und Malware-Schutz.</w:t>
      </w:r>
    </w:p>
    <w:p>
      <w:pPr>
        <w:pStyle w:val="ListBullet"/>
        <w:spacing w:after="160" w:line="280" w:lineRule="auto"/>
        <w:ind w:left="720" w:hanging="360"/>
      </w:pPr>
      <w:r>
        <w:t>Keine produktiven Daten auf privaten Wechselmedien; temporäre Restore-Dateien werden nach Prüfung gelöscht.</w:t>
      </w:r>
    </w:p>
    <w:p>
      <w:pPr>
        <w:pStyle w:val="Heading1"/>
      </w:pPr>
      <w:r>
        <w:t>3. Authentifizierung und Zugang</w:t>
      </w:r>
    </w:p>
    <w:p>
      <w:pPr>
        <w:pStyle w:val="ListBullet"/>
        <w:spacing w:after="160" w:line="280" w:lineRule="auto"/>
        <w:ind w:left="720" w:hanging="360"/>
      </w:pPr>
      <w:r>
        <w:t>Passwort-Hashing; keine Klartextpasswörter in der Datenbank.</w:t>
      </w:r>
    </w:p>
    <w:p>
      <w:pPr>
        <w:pStyle w:val="ListBullet"/>
        <w:spacing w:after="160" w:line="280" w:lineRule="auto"/>
        <w:ind w:left="720" w:hanging="360"/>
      </w:pPr>
      <w:r>
        <w:t>Kurzlebige Zugriffstoken und widerrufbare, serverseitig gehashte Refresh-Sitzungen.</w:t>
      </w:r>
    </w:p>
    <w:p>
      <w:pPr>
        <w:pStyle w:val="ListBullet"/>
        <w:spacing w:after="160" w:line="280" w:lineRule="auto"/>
        <w:ind w:left="720" w:hanging="360"/>
      </w:pPr>
      <w:r>
        <w:t>Persistente zufällige Installationskennung ersetzt veraltete Sitzungen derselben Installation.</w:t>
      </w:r>
    </w:p>
    <w:p>
      <w:pPr>
        <w:pStyle w:val="ListBullet"/>
        <w:spacing w:after="160" w:line="280" w:lineRule="auto"/>
        <w:ind w:left="720" w:hanging="360"/>
      </w:pPr>
      <w:r>
        <w:t>Login-Rate-Limits und sichere, generische Fehlermeldungen.</w:t>
      </w:r>
    </w:p>
    <w:p>
      <w:pPr>
        <w:pStyle w:val="ListBullet"/>
        <w:spacing w:after="160" w:line="280" w:lineRule="auto"/>
        <w:ind w:left="720" w:hanging="360"/>
      </w:pPr>
      <w:r>
        <w:t>Deaktivierung und Löschvormerkung widerrufen alle Sitzungen.</w:t>
      </w:r>
    </w:p>
    <w:p>
      <w:pPr>
        <w:pStyle w:val="Heading1"/>
      </w:pPr>
      <w:r>
        <w:t>4. Rollen, Zugriff und Mandantentrennung</w:t>
      </w:r>
    </w:p>
    <w:p>
      <w:pPr>
        <w:pStyle w:val="ListBullet"/>
        <w:spacing w:after="160" w:line="280" w:lineRule="auto"/>
        <w:ind w:left="720" w:hanging="360"/>
      </w:pPr>
      <w:r>
        <w:t>Serverseitige Schulgrenzen über school_id und rollenbezogene Autorisierung.</w:t>
      </w:r>
    </w:p>
    <w:p>
      <w:pPr>
        <w:pStyle w:val="ListBullet"/>
        <w:spacing w:after="160" w:line="280" w:lineRule="auto"/>
        <w:ind w:left="720" w:hanging="360"/>
      </w:pPr>
      <w:r>
        <w:t>Rollen Schulsanitäter, Sani-Leitung, Lehreraufsicht und Sekretariat mit minimalen Rechten.</w:t>
      </w:r>
    </w:p>
    <w:p>
      <w:pPr>
        <w:pStyle w:val="ListBullet"/>
        <w:spacing w:after="160" w:line="280" w:lineRule="auto"/>
        <w:ind w:left="720" w:hanging="360"/>
      </w:pPr>
      <w:r>
        <w:t>Kontolöschung nur durch Lehreraufsicht oder Sani-Leitung.</w:t>
      </w:r>
    </w:p>
    <w:p>
      <w:pPr>
        <w:pStyle w:val="ListBullet"/>
        <w:spacing w:after="160" w:line="280" w:lineRule="auto"/>
        <w:ind w:left="720" w:hanging="360"/>
      </w:pPr>
      <w:r>
        <w:t>Dateizugriffe authentifiziert, uploader- und schulbezogen; 100-MB-Nutzerquote und maximal vier Anhänge à 8 MB je Nachricht.</w:t>
      </w:r>
    </w:p>
    <w:p>
      <w:pPr>
        <w:pStyle w:val="ListBullet"/>
        <w:spacing w:after="160" w:line="280" w:lineRule="auto"/>
        <w:ind w:left="720" w:hanging="360"/>
      </w:pPr>
      <w:r>
        <w:t>Berechtigungen werden bei Rollenwechsel, Ausscheiden und Vertragsende entzogen.</w:t>
      </w:r>
    </w:p>
    <w:p>
      <w:pPr>
        <w:pStyle w:val="Heading1"/>
      </w:pPr>
      <w:r>
        <w:t>5. Verschlüsselung und Übertragung</w:t>
      </w:r>
    </w:p>
    <w:p>
      <w:pPr>
        <w:pStyle w:val="ListBullet"/>
        <w:spacing w:after="160" w:line="280" w:lineRule="auto"/>
        <w:ind w:left="720" w:hanging="360"/>
      </w:pPr>
      <w:r>
        <w:t>Produktive API ausschließlich über HTTPS/TLS.</w:t>
      </w:r>
    </w:p>
    <w:p>
      <w:pPr>
        <w:pStyle w:val="ListBullet"/>
        <w:spacing w:after="160" w:line="280" w:lineRule="auto"/>
        <w:ind w:left="720" w:hanging="360"/>
      </w:pPr>
      <w:r>
        <w:t>Datenbank nicht öffentlich exponiert; API und MySQL im selben privaten Railway-Projekt und in derselben EU-Region.</w:t>
      </w:r>
    </w:p>
    <w:p>
      <w:pPr>
        <w:pStyle w:val="ListBullet"/>
        <w:spacing w:after="160" w:line="280" w:lineRule="auto"/>
        <w:ind w:left="720" w:hanging="360"/>
      </w:pPr>
      <w:r>
        <w:t>Tägliche SQL-Sicherungen werden komprimiert und mit XChaCha20-Poly1305 authentifiziert verschlüsselt; All-Inkl erhält keinen Schlüssel.</w:t>
      </w:r>
    </w:p>
    <w:p>
      <w:pPr>
        <w:pStyle w:val="ListBullet"/>
        <w:spacing w:after="160" w:line="280" w:lineRule="auto"/>
        <w:ind w:left="720" w:hanging="360"/>
      </w:pPr>
      <w:r>
        <w:t>FTPS-Übertragung mit Zertifikatsprüfung; dedizierter, auf /ssd-manager-backups/ beschränkter FTP-Nutzer.</w:t>
      </w:r>
    </w:p>
    <w:p>
      <w:pPr>
        <w:pStyle w:val="Heading1"/>
      </w:pPr>
      <w:r>
        <w:t>6. Protokollierung und Datenminimierung</w:t>
      </w:r>
    </w:p>
    <w:p>
      <w:pPr>
        <w:pStyle w:val="ListBullet"/>
        <w:spacing w:after="160" w:line="280" w:lineRule="auto"/>
        <w:ind w:left="720" w:hanging="360"/>
      </w:pPr>
      <w:r>
        <w:t>Auditierung administrativer und sicherheitsrelevanter Vorgänge.</w:t>
      </w:r>
    </w:p>
    <w:p>
      <w:pPr>
        <w:pStyle w:val="ListBullet"/>
        <w:spacing w:after="160" w:line="280" w:lineRule="auto"/>
        <w:ind w:left="720" w:hanging="360"/>
      </w:pPr>
      <w:r>
        <w:t>Keine Roh-Exceptions, SQL-, Token-, Passwort- oder Antwortinhalte in Nutzerfehlermeldungen.</w:t>
      </w:r>
    </w:p>
    <w:p>
      <w:pPr>
        <w:pStyle w:val="ListBullet"/>
        <w:spacing w:after="160" w:line="280" w:lineRule="auto"/>
        <w:ind w:left="720" w:hanging="360"/>
      </w:pPr>
      <w:r>
        <w:t>FCM-Payloads enthalten nur erforderliche technische Routinginformationen.</w:t>
      </w:r>
    </w:p>
    <w:p>
      <w:pPr>
        <w:pStyle w:val="ListBullet"/>
        <w:spacing w:after="160" w:line="280" w:lineRule="auto"/>
        <w:ind w:left="720" w:hanging="360"/>
      </w:pPr>
      <w:r>
        <w:t>Keine Werbung, Marketinganalyse oder offene Registrierung.</w:t>
      </w:r>
    </w:p>
    <w:p>
      <w:pPr>
        <w:pStyle w:val="ListBullet"/>
        <w:spacing w:after="160" w:line="280" w:lineRule="auto"/>
        <w:ind w:left="720" w:hanging="360"/>
      </w:pPr>
      <w:r>
        <w:t>Medizinische Falldokumentation ist organisatorisch und vertraglich ausgeschlossen.</w:t>
      </w:r>
    </w:p>
    <w:p>
      <w:pPr>
        <w:pStyle w:val="Heading1"/>
      </w:pPr>
      <w:r>
        <w:t>7. Verfügbarkeit, Backup und Wiederherstellung</w:t>
      </w:r>
    </w:p>
    <w:p>
      <w:pPr>
        <w:pStyle w:val="ListBullet"/>
        <w:spacing w:after="160" w:line="280" w:lineRule="auto"/>
        <w:ind w:left="720" w:hanging="360"/>
      </w:pPr>
      <w:r>
        <w:t>Railway API und MySQL in EU West (Amsterdam).</w:t>
      </w:r>
    </w:p>
    <w:p>
      <w:pPr>
        <w:pStyle w:val="ListBullet"/>
        <w:spacing w:after="160" w:line="280" w:lineRule="auto"/>
        <w:ind w:left="720" w:hanging="360"/>
      </w:pPr>
      <w:r>
        <w:t>Separater 15-Minuten-Wartungsjob für Statusübergänge, Erinnerungen, verwaiste Uploads, Löschungen und Logrotation.</w:t>
      </w:r>
    </w:p>
    <w:p>
      <w:pPr>
        <w:pStyle w:val="ListBullet"/>
        <w:spacing w:after="160" w:line="280" w:lineRule="auto"/>
        <w:ind w:left="720" w:hanging="360"/>
      </w:pPr>
      <w:r>
        <w:t>Tägliches Offsite-Backup um 03:35 Uhr Europe/Berlin; 30-Tage-Rotation.</w:t>
      </w:r>
    </w:p>
    <w:p>
      <w:pPr>
        <w:pStyle w:val="ListBullet"/>
        <w:spacing w:after="160" w:line="280" w:lineRule="auto"/>
        <w:ind w:left="720" w:hanging="360"/>
      </w:pPr>
      <w:r>
        <w:t>Erster realer Backup-, Download-, Authentifizierungs-, Entschlüsselungs- und gzip-Test erfolgreich.</w:t>
      </w:r>
    </w:p>
    <w:p>
      <w:pPr>
        <w:pStyle w:val="ListBullet"/>
        <w:spacing w:after="160" w:line="280" w:lineRule="auto"/>
        <w:ind w:left="720" w:hanging="360"/>
      </w:pPr>
      <w:r>
        <w:t>Zielwerte RPO/RTO jeweils 24 Stunden; Abweichungen und Wiederanlauf werden dokumentiert.</w:t>
      </w:r>
    </w:p>
    <w:p>
      <w:pPr>
        <w:pStyle w:val="Heading1"/>
      </w:pPr>
      <w:r>
        <w:t>8. Incident Response und Überprüfung</w:t>
      </w:r>
    </w:p>
    <w:p>
      <w:pPr>
        <w:pStyle w:val="ListNumber"/>
        <w:spacing w:after="160" w:line="280" w:lineRule="auto"/>
        <w:ind w:left="720" w:hanging="360"/>
      </w:pPr>
      <w:r>
        <w:t>Vorfall erkennen, eindämmen und Beweismittel zugriffsgeschützt sichern.</w:t>
      </w:r>
    </w:p>
    <w:p>
      <w:pPr>
        <w:pStyle w:val="ListNumber"/>
        <w:spacing w:after="160" w:line="280" w:lineRule="auto"/>
        <w:ind w:left="720" w:hanging="360"/>
      </w:pPr>
      <w:r>
        <w:t>Betroffene Systeme, Daten, Schulen, Personen und Zeiträume bestimmen.</w:t>
      </w:r>
    </w:p>
    <w:p>
      <w:pPr>
        <w:pStyle w:val="ListNumber"/>
        <w:spacing w:after="160" w:line="280" w:lineRule="auto"/>
        <w:ind w:left="720" w:hanging="360"/>
      </w:pPr>
      <w:r>
        <w:t>Schlüssel/Tokens rotieren und unberechtigte Sitzungen widerrufen.</w:t>
      </w:r>
    </w:p>
    <w:p>
      <w:pPr>
        <w:pStyle w:val="ListNumber"/>
        <w:spacing w:after="160" w:line="280" w:lineRule="auto"/>
        <w:ind w:left="720" w:hanging="360"/>
      </w:pPr>
      <w:r>
        <w:t>Betroffene verantwortliche Schule unverzüglich mit verfügbaren Informationen informieren.</w:t>
      </w:r>
    </w:p>
    <w:p>
      <w:pPr>
        <w:pStyle w:val="ListNumber"/>
        <w:spacing w:after="160" w:line="280" w:lineRule="auto"/>
        <w:ind w:left="720" w:hanging="360"/>
      </w:pPr>
      <w:r>
        <w:t>Ursache beheben, kontrolliert wiederherstellen und Wirksamkeit prüfen.</w:t>
      </w:r>
    </w:p>
    <w:p>
      <w:pPr>
        <w:pStyle w:val="ListNumber"/>
        <w:spacing w:after="160" w:line="280" w:lineRule="auto"/>
        <w:ind w:left="720" w:hanging="360"/>
      </w:pPr>
      <w:r>
        <w:t>Entscheidungen, Meldungen und Verbesserungen dokumentieren.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Technische und organisatorische Maßnahmen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und organisatorische Maßnahmen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