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Unterauftragnehmerliste SSD Manager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Aktive Dienstleister der Auftragsverarbeitung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Geltungsbereich</w:t>
      </w:r>
    </w:p>
    <w:p>
      <w:r>
        <w:t>Diese Liste ist Anlage des SSD-Manager-AVV. Sie enthält nur im SSD-Manager-Produktivbetrieb aktive oder für dessen Sicherung eingesetzte Dienstleister. StudyConnect-spezifische Anbieter werden nicht übernommen.</w:t>
      </w:r>
    </w:p>
    <w:p>
      <w:pPr>
        <w:pStyle w:val="Heading1"/>
      </w:pPr>
      <w:r>
        <w:t>Aktive Unterauftragnehmer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2400"/>
        <w:gridCol w:w="2060"/>
      </w:tblGrid>
      <w:tr>
        <w:trPr>
          <w:tblHeader w:val="true"/>
        </w:trPr>
        <w:tc>
          <w:tcPr>
            <w:tcW w:type="dxa" w:w="1800"/>
            <w:shd w:fill="F2F4F7"/>
          </w:tcPr>
          <w:p>
            <w:r>
              <w:rPr>
                <w:b/>
              </w:rPr>
              <w:t>Anbieter</w:t>
            </w:r>
          </w:p>
        </w:tc>
        <w:tc>
          <w:tcPr>
            <w:tcW w:type="dxa" w:w="3100"/>
            <w:shd w:fill="F2F4F7"/>
          </w:tcPr>
          <w:p>
            <w:r>
              <w:rPr>
                <w:b/>
              </w:rPr>
              <w:t>Zweck / Daten</w:t>
            </w:r>
          </w:p>
        </w:tc>
        <w:tc>
          <w:tcPr>
            <w:tcW w:type="dxa" w:w="2400"/>
            <w:shd w:fill="F2F4F7"/>
          </w:tcPr>
          <w:p>
            <w:r>
              <w:rPr>
                <w:b/>
              </w:rPr>
              <w:t>Region / Transfer</w:t>
            </w:r>
          </w:p>
        </w:tc>
        <w:tc>
          <w:tcPr>
            <w:tcW w:type="dxa" w:w="2060"/>
            <w:shd w:fill="F2F4F7"/>
          </w:tcPr>
          <w:p>
            <w:r>
              <w:rPr>
                <w:b/>
              </w:rPr>
              <w:t>Nachweisstatus</w:t>
            </w:r>
          </w:p>
        </w:tc>
      </w:tr>
      <w:tr>
        <w:tc>
          <w:tcPr>
            <w:tcW w:type="dxa" w:w="1800"/>
            <w:vAlign w:val="center"/>
          </w:tcPr>
          <w:p>
            <w:r>
              <w:t>Railway Corporation</w:t>
            </w:r>
          </w:p>
        </w:tc>
        <w:tc>
          <w:tcPr>
            <w:tcW w:type="dxa" w:w="3100"/>
            <w:vAlign w:val="center"/>
          </w:tcPr>
          <w:p>
            <w:r>
              <w:t>API, MySQL, Logs; Konto-, Organisations-, Kommunikations-, Datei- und Sicherheitsdaten</w:t>
            </w:r>
          </w:p>
        </w:tc>
        <w:tc>
          <w:tcPr>
            <w:tcW w:type="dxa" w:w="2400"/>
            <w:vAlign w:val="center"/>
          </w:tcPr>
          <w:p>
            <w:r>
              <w:t>EU West, Amsterdam; Anbieterzugriffe/Unterauftragnehmer nach DPA prüfen</w:t>
            </w:r>
          </w:p>
        </w:tc>
        <w:tc>
          <w:tcPr>
            <w:tcW w:type="dxa" w:w="2060"/>
            <w:vAlign w:val="center"/>
          </w:tcPr>
          <w:p>
            <w:r>
              <w:t>Railway DPA und signierte Kopie vorhanden; Kontozuordnung jährlich belegen</w:t>
            </w:r>
          </w:p>
        </w:tc>
      </w:tr>
      <w:tr>
        <w:tc>
          <w:tcPr>
            <w:tcW w:type="dxa" w:w="1800"/>
            <w:vAlign w:val="center"/>
          </w:tcPr>
          <w:p>
            <w:r>
              <w:t>Google Cloud / Firebase</w:t>
            </w:r>
          </w:p>
        </w:tc>
        <w:tc>
          <w:tcPr>
            <w:tcW w:type="dxa" w:w="3100"/>
            <w:vAlign w:val="center"/>
          </w:tcPr>
          <w:p>
            <w:r>
              <w:t>FCM/APNs-Push; Geräte-/Push-Token und technische Nachrichtenmetadaten</w:t>
            </w:r>
          </w:p>
        </w:tc>
        <w:tc>
          <w:tcPr>
            <w:tcW w:type="dxa" w:w="2400"/>
            <w:vAlign w:val="center"/>
          </w:tcPr>
          <w:p>
            <w:r>
              <w:t>Internationale Infrastruktur möglich; DPA/Transfermechanismus prüfen</w:t>
            </w:r>
          </w:p>
        </w:tc>
        <w:tc>
          <w:tcPr>
            <w:tcW w:type="dxa" w:w="2060"/>
            <w:vAlign w:val="center"/>
          </w:tcPr>
          <w:p>
            <w:r>
              <w:t>Google/Firebase-Vertragsnachweis vorhanden; SSD-Projektzuordnung belegen</w:t>
            </w:r>
          </w:p>
        </w:tc>
      </w:tr>
      <w:tr>
        <w:tc>
          <w:tcPr>
            <w:tcW w:type="dxa" w:w="1800"/>
            <w:vAlign w:val="center"/>
          </w:tcPr>
          <w:p>
            <w:r>
              <w:t>ALL-INKL.COM – Neue Medien Münnich</w:t>
            </w:r>
          </w:p>
        </w:tc>
        <w:tc>
          <w:tcPr>
            <w:tcW w:type="dxa" w:w="3100"/>
            <w:vAlign w:val="center"/>
          </w:tcPr>
          <w:p>
            <w:r>
              <w:t>Ausschließlich verschlüsselte Offsite-Datenbanksicherungen</w:t>
            </w:r>
          </w:p>
        </w:tc>
        <w:tc>
          <w:tcPr>
            <w:tcW w:type="dxa" w:w="2400"/>
            <w:vAlign w:val="center"/>
          </w:tcPr>
          <w:p>
            <w:r>
              <w:t>Deutschland; Inhalte ohne separaten Schlüssel nicht lesbar</w:t>
            </w:r>
          </w:p>
        </w:tc>
        <w:tc>
          <w:tcPr>
            <w:tcW w:type="dxa" w:w="2060"/>
            <w:vAlign w:val="center"/>
          </w:tcPr>
          <w:p>
            <w:r>
              <w:t>AVV aus MinutMate-Vertragsakte vorhanden; Leistungsbezug SSD Manager dokumentieren</w:t>
            </w:r>
          </w:p>
        </w:tc>
      </w:tr>
    </w:tbl>
    <w:p/>
    <w:p>
      <w:pPr>
        <w:pStyle w:val="Heading1"/>
      </w:pPr>
      <w:r>
        <w:t>Nicht als SSD-Unterauftragnehmer übernommen</w:t>
      </w:r>
    </w:p>
    <w:p>
      <w:pPr>
        <w:pStyle w:val="ListBullet"/>
        <w:spacing w:after="160" w:line="280" w:lineRule="auto"/>
        <w:ind w:left="720" w:hanging="360"/>
      </w:pPr>
      <w:r>
        <w:t>Vercel: kein aktiver SSD-Manager-Produktionsdienst.</w:t>
      </w:r>
    </w:p>
    <w:p>
      <w:pPr>
        <w:pStyle w:val="ListBullet"/>
        <w:spacing w:after="160" w:line="280" w:lineRule="auto"/>
        <w:ind w:left="720" w:hanging="360"/>
      </w:pPr>
      <w:r>
        <w:t>Resend: kein aktiver SSD-Manager-Mailversanddienst.</w:t>
      </w:r>
    </w:p>
    <w:p>
      <w:pPr>
        <w:pStyle w:val="ListBullet"/>
        <w:spacing w:after="160" w:line="280" w:lineRule="auto"/>
        <w:ind w:left="720" w:hanging="360"/>
      </w:pPr>
      <w:r>
        <w:t>Firebase Storage/Google Cloud Storage: keine SSD-Dateiablage.</w:t>
      </w:r>
    </w:p>
    <w:p>
      <w:pPr>
        <w:pStyle w:val="ListBullet"/>
        <w:spacing w:after="160" w:line="280" w:lineRule="auto"/>
        <w:ind w:left="720" w:hanging="360"/>
      </w:pPr>
      <w:r>
        <w:t>GitHub: Entwicklungs- und Deploymentquelle, nicht regulärer Speicher produktiver Schuldaten.</w:t>
      </w:r>
    </w:p>
    <w:p>
      <w:pPr>
        <w:pStyle w:val="ListBullet"/>
        <w:spacing w:after="160" w:line="280" w:lineRule="auto"/>
        <w:ind w:left="720" w:hanging="360"/>
      </w:pPr>
      <w:r>
        <w:t>Apple/Google App Stores: gesondert nach konkreter Rolle und eigener Verantwortlichkeit dokumentieren.</w:t>
      </w:r>
    </w:p>
    <w:p>
      <w:pPr>
        <w:pStyle w:val="Heading1"/>
      </w:pPr>
      <w:r>
        <w:t>Änderungsverfahren</w:t>
      </w:r>
    </w:p>
    <w:p>
      <w:r>
        <w:t>MinutMate informiert Vertragsschulen vor einer wesentlichen Änderung entsprechend dem AVV. Ein Widerspruch ist aus wichtigem datenschutzrechtlichem Grund möglich. DPA, Region, Transfergrundlage, Unterauftragnehmer und Kontozuordnung werden mindestens jährlich und anlassbezogen geprüft.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Unterauftragnehmerliste SSD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Unterauftragnehmerliste SSD Manager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