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4D78"/>
          <w:sz w:val="48"/>
        </w:rPr>
        <w:t>DSFA-Vorprüfung und Muster</w:t>
      </w:r>
    </w:p>
    <w:p>
      <w:pPr>
        <w:spacing w:after="280"/>
      </w:pPr>
      <w:r>
        <w:rPr>
          <w:rFonts w:ascii="Calibri" w:hAnsi="Calibri"/>
          <w:color w:val="5A626C"/>
          <w:sz w:val="26"/>
        </w:rPr>
        <w:t>Unterstützung der verantwortlichen Schule nach Art. 35 DSGVO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Produkt</w:t>
            </w:r>
          </w:p>
        </w:tc>
        <w:tc>
          <w:tcPr>
            <w:tcW w:type="dxa" w:w="7560"/>
            <w:vAlign w:val="center"/>
          </w:tcPr>
          <w:p>
            <w:r>
              <w:t>SSD Manager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Stand</w:t>
            </w:r>
          </w:p>
        </w:tc>
        <w:tc>
          <w:tcPr>
            <w:tcW w:type="dxa" w:w="7560"/>
            <w:vAlign w:val="center"/>
          </w:tcPr>
          <w:p>
            <w:r>
              <w:t>26.07.2026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>
              <w:t>Prüffassung – vor Einsatz rechtlich und schulrechtlich freigeben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r>
              <w:rPr>
                <w:b/>
              </w:rPr>
              <w:t xml:space="preserve">Prüfhinweis: </w:t>
            </w:r>
            <w:r>
              <w:t>Dieses Dokument ist eine belastbare Arbeits- und Prüffassung, ersetzt aber keine individuelle Rechtsberatung. Schule/Schulträger, zuständiger Datenschutzbeauftragter und eine qualifizierte Rechtsberatung müssen die endgültige Fassung vor Verarbeitung echter Schuldaten prüfen.</w:t>
            </w:r>
          </w:p>
        </w:tc>
      </w:tr>
    </w:tbl>
    <w:p/>
    <w:p>
      <w:pPr>
        <w:pStyle w:val="Heading1"/>
      </w:pPr>
      <w:r>
        <w:t>Verantwortung und Ergebnis der Vorprüfung</w:t>
      </w:r>
    </w:p>
    <w:p>
      <w:r>
        <w:t>Die endgültige DSFA-Entscheidung und Durchführung liegen bei Schule/Schulträger. Wegen systematischer schulischer Organisation, minderjähriger Betroffener, Rollen-/Diensthistorie und Kommunikationsinhalten ist mindestens eine dokumentierte Schwellwertanalyse erforderlich. Eine vollständige DSFA ist je nach Landesrecht, Umfang und konkreter Nutzung ernsthaft in Betracht zu ziehen.</w:t>
      </w:r>
    </w:p>
    <w:p>
      <w:pPr>
        <w:pStyle w:val="Heading1"/>
      </w:pPr>
      <w:r>
        <w:t>Beschreibung der Verarbeitung</w:t>
      </w:r>
    </w:p>
    <w:p>
      <w:r>
        <w:t>Zweck: Organisation des Schulsanitätsdienstes. Vorgänge: Anlage schulischer Konten, Rollen, Dienstplanung, Krankmeldungen, Ankündigungen/Anhänge, Geräte/Sitzungen, Push, Support, Sicherung und Löschung. Keine offene Registrierung, keine Werbung, keine Leistungsbewertung, keine medizinische Falldokumentation.</w:t>
      </w:r>
    </w:p>
    <w:p>
      <w:pPr>
        <w:pStyle w:val="Heading1"/>
      </w:pPr>
      <w:r>
        <w:t>Notwendigkeit und Verhältnismäßigkeit</w:t>
      </w:r>
    </w:p>
    <w:p>
      <w:pPr>
        <w:pStyle w:val="ListBullet"/>
        <w:spacing w:after="160" w:line="280" w:lineRule="auto"/>
        <w:ind w:left="720" w:hanging="360"/>
      </w:pPr>
      <w:r>
        <w:t>Nur erforderliche Rollen und Datenfelder; Schule steuert Nutzerkreis.</w:t>
      </w:r>
    </w:p>
    <w:p>
      <w:pPr>
        <w:pStyle w:val="ListBullet"/>
        <w:spacing w:after="160" w:line="280" w:lineRule="auto"/>
        <w:ind w:left="720" w:hanging="360"/>
      </w:pPr>
      <w:r>
        <w:t>Schul- und Rollenprüfung serverseitig.</w:t>
      </w:r>
    </w:p>
    <w:p>
      <w:pPr>
        <w:pStyle w:val="ListBullet"/>
        <w:spacing w:after="160" w:line="280" w:lineRule="auto"/>
        <w:ind w:left="720" w:hanging="360"/>
      </w:pPr>
      <w:r>
        <w:t>Ankündigungskanal statt privater Chats.</w:t>
      </w:r>
    </w:p>
    <w:p>
      <w:pPr>
        <w:pStyle w:val="ListBullet"/>
        <w:spacing w:after="160" w:line="280" w:lineRule="auto"/>
        <w:ind w:left="720" w:hanging="360"/>
      </w:pPr>
      <w:r>
        <w:t>Keine planmäßige Verarbeitung besonderer Kategorien; verbindliches Inhaltsverbot für Falldaten.</w:t>
      </w:r>
    </w:p>
    <w:p>
      <w:pPr>
        <w:pStyle w:val="ListBullet"/>
        <w:spacing w:after="160" w:line="280" w:lineRule="auto"/>
        <w:ind w:left="720" w:hanging="360"/>
      </w:pPr>
      <w:r>
        <w:t>30-Tage-Karenz, Anonymisierung historischer Einträge und vollständige Dateilöschung.</w:t>
      </w:r>
    </w:p>
    <w:p>
      <w:pPr>
        <w:pStyle w:val="ListBullet"/>
        <w:spacing w:after="160" w:line="280" w:lineRule="auto"/>
        <w:ind w:left="720" w:hanging="360"/>
      </w:pPr>
      <w:r>
        <w:t>Betroffenenprozesse laufen über die verantwortliche Schule.</w:t>
      </w:r>
    </w:p>
    <w:p>
      <w:pPr>
        <w:pStyle w:val="Heading1"/>
      </w:pPr>
      <w:r>
        <w:t>Risikobewertung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3400"/>
        <w:gridCol w:w="1660"/>
      </w:tblGrid>
      <w:tr>
        <w:trPr>
          <w:tblHeader w:val="true"/>
        </w:trPr>
        <w:tc>
          <w:tcPr>
            <w:tcW w:type="dxa" w:w="2100"/>
            <w:shd w:fill="F2F4F7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2200"/>
            <w:shd w:fill="F2F4F7"/>
          </w:tcPr>
          <w:p>
            <w:r>
              <w:rPr>
                <w:b/>
              </w:rPr>
              <w:t>Auswirkung</w:t>
            </w:r>
          </w:p>
        </w:tc>
        <w:tc>
          <w:tcPr>
            <w:tcW w:type="dxa" w:w="3400"/>
            <w:shd w:fill="F2F4F7"/>
          </w:tcPr>
          <w:p>
            <w:r>
              <w:rPr>
                <w:b/>
              </w:rPr>
              <w:t>Maßnahmen</w:t>
            </w:r>
          </w:p>
        </w:tc>
        <w:tc>
          <w:tcPr>
            <w:tcW w:type="dxa" w:w="1660"/>
            <w:shd w:fill="F2F4F7"/>
          </w:tcPr>
          <w:p>
            <w:r>
              <w:rPr>
                <w:b/>
              </w:rPr>
              <w:t>Restrisiko</w:t>
            </w:r>
          </w:p>
        </w:tc>
      </w:tr>
      <w:tr>
        <w:tc>
          <w:tcPr>
            <w:tcW w:type="dxa" w:w="2100"/>
            <w:vAlign w:val="center"/>
          </w:tcPr>
          <w:p>
            <w:r>
              <w:t>Unberechtigter schulübergreifender Zugriff</w:t>
            </w:r>
          </w:p>
        </w:tc>
        <w:tc>
          <w:tcPr>
            <w:tcW w:type="dxa" w:w="2200"/>
            <w:vAlign w:val="center"/>
          </w:tcPr>
          <w:p>
            <w:r>
              <w:t>Offenlegung Minderjährigendaten</w:t>
            </w:r>
          </w:p>
        </w:tc>
        <w:tc>
          <w:tcPr>
            <w:tcW w:type="dxa" w:w="3400"/>
            <w:vAlign w:val="center"/>
          </w:tcPr>
          <w:p>
            <w:r>
              <w:t>school_id-Prüfung, Rollen, API-Autorisierung, Tests</w:t>
            </w:r>
          </w:p>
        </w:tc>
        <w:tc>
          <w:tcPr>
            <w:tcW w:type="dxa" w:w="1660"/>
            <w:vAlign w:val="center"/>
          </w:tcPr>
          <w:p>
            <w:r>
              <w:t>niedrig/mittel</w:t>
            </w:r>
          </w:p>
        </w:tc>
      </w:tr>
      <w:tr>
        <w:tc>
          <w:tcPr>
            <w:tcW w:type="dxa" w:w="2100"/>
            <w:vAlign w:val="center"/>
          </w:tcPr>
          <w:p>
            <w:r>
              <w:t>Kontenmissbrauch</w:t>
            </w:r>
          </w:p>
        </w:tc>
        <w:tc>
          <w:tcPr>
            <w:tcW w:type="dxa" w:w="2200"/>
            <w:vAlign w:val="center"/>
          </w:tcPr>
          <w:p>
            <w:r>
              <w:t>Änderung von Diensten/Kommunikation</w:t>
            </w:r>
          </w:p>
        </w:tc>
        <w:tc>
          <w:tcPr>
            <w:tcW w:type="dxa" w:w="3400"/>
            <w:vAlign w:val="center"/>
          </w:tcPr>
          <w:p>
            <w:r>
              <w:t>Passwort-Hashing, Sitzungswiderruf, Rate-Limit, Geräteübersicht</w:t>
            </w:r>
          </w:p>
        </w:tc>
        <w:tc>
          <w:tcPr>
            <w:tcW w:type="dxa" w:w="1660"/>
            <w:vAlign w:val="center"/>
          </w:tcPr>
          <w:p>
            <w:r>
              <w:t>mittel</w:t>
            </w:r>
          </w:p>
        </w:tc>
      </w:tr>
      <w:tr>
        <w:tc>
          <w:tcPr>
            <w:tcW w:type="dxa" w:w="2100"/>
            <w:vAlign w:val="center"/>
          </w:tcPr>
          <w:p>
            <w:r>
              <w:t>Unzulässige medizinische Inhalte</w:t>
            </w:r>
          </w:p>
        </w:tc>
        <w:tc>
          <w:tcPr>
            <w:tcW w:type="dxa" w:w="2200"/>
            <w:vAlign w:val="center"/>
          </w:tcPr>
          <w:p>
            <w:r>
              <w:t>Art.-9-Daten im Chat/Dateien</w:t>
            </w:r>
          </w:p>
        </w:tc>
        <w:tc>
          <w:tcPr>
            <w:tcW w:type="dxa" w:w="3400"/>
            <w:vAlign w:val="center"/>
          </w:tcPr>
          <w:p>
            <w:r>
              <w:t>Inhaltsverbot, Schulregeln, Rollen, Löschung und Schulung</w:t>
            </w:r>
          </w:p>
        </w:tc>
        <w:tc>
          <w:tcPr>
            <w:tcW w:type="dxa" w:w="1660"/>
            <w:vAlign w:val="center"/>
          </w:tcPr>
          <w:p>
            <w:r>
              <w:t>mittel</w:t>
            </w:r>
          </w:p>
        </w:tc>
      </w:tr>
      <w:tr>
        <w:tc>
          <w:tcPr>
            <w:tcW w:type="dxa" w:w="2100"/>
            <w:vAlign w:val="center"/>
          </w:tcPr>
          <w:p>
            <w:r>
              <w:t>Verlust/Offenlegung von Anhängen</w:t>
            </w:r>
          </w:p>
        </w:tc>
        <w:tc>
          <w:tcPr>
            <w:tcW w:type="dxa" w:w="2200"/>
            <w:vAlign w:val="center"/>
          </w:tcPr>
          <w:p>
            <w:r>
              <w:t>Privatsphäre- und Reputationsschaden</w:t>
            </w:r>
          </w:p>
        </w:tc>
        <w:tc>
          <w:tcPr>
            <w:tcW w:type="dxa" w:w="3400"/>
            <w:vAlign w:val="center"/>
          </w:tcPr>
          <w:p>
            <w:r>
              <w:t>Authentifizierter Abruf, Quote, Größenlimit, Löschung</w:t>
            </w:r>
          </w:p>
        </w:tc>
        <w:tc>
          <w:tcPr>
            <w:tcW w:type="dxa" w:w="1660"/>
            <w:vAlign w:val="center"/>
          </w:tcPr>
          <w:p>
            <w:r>
              <w:t>mittel</w:t>
            </w:r>
          </w:p>
        </w:tc>
      </w:tr>
      <w:tr>
        <w:tc>
          <w:tcPr>
            <w:tcW w:type="dxa" w:w="2100"/>
            <w:vAlign w:val="center"/>
          </w:tcPr>
          <w:p>
            <w:r>
              <w:t>Push-Metadaten/Drittlandzugriff</w:t>
            </w:r>
          </w:p>
        </w:tc>
        <w:tc>
          <w:tcPr>
            <w:tcW w:type="dxa" w:w="2200"/>
            <w:vAlign w:val="center"/>
          </w:tcPr>
          <w:p>
            <w:r>
              <w:t>Technische Zuordnung</w:t>
            </w:r>
          </w:p>
        </w:tc>
        <w:tc>
          <w:tcPr>
            <w:tcW w:type="dxa" w:w="3400"/>
            <w:vAlign w:val="center"/>
          </w:tcPr>
          <w:p>
            <w:r>
              <w:t>Minimierte Payloads, DPA/Transferprüfung, keine Falldaten</w:t>
            </w:r>
          </w:p>
        </w:tc>
        <w:tc>
          <w:tcPr>
            <w:tcW w:type="dxa" w:w="1660"/>
            <w:vAlign w:val="center"/>
          </w:tcPr>
          <w:p>
            <w:r>
              <w:t>niedrig/mittel</w:t>
            </w:r>
          </w:p>
        </w:tc>
      </w:tr>
      <w:tr>
        <w:tc>
          <w:tcPr>
            <w:tcW w:type="dxa" w:w="2100"/>
            <w:vAlign w:val="center"/>
          </w:tcPr>
          <w:p>
            <w:r>
              <w:t>Datenverlust</w:t>
            </w:r>
          </w:p>
        </w:tc>
        <w:tc>
          <w:tcPr>
            <w:tcW w:type="dxa" w:w="2200"/>
            <w:vAlign w:val="center"/>
          </w:tcPr>
          <w:p>
            <w:r>
              <w:t>Ausfall der Dienstplanung/Historie</w:t>
            </w:r>
          </w:p>
        </w:tc>
        <w:tc>
          <w:tcPr>
            <w:tcW w:type="dxa" w:w="3400"/>
            <w:vAlign w:val="center"/>
          </w:tcPr>
          <w:p>
            <w:r>
              <w:t>EU-Hosting, verschlüsselte tägliche Backups, Restore-Test</w:t>
            </w:r>
          </w:p>
        </w:tc>
        <w:tc>
          <w:tcPr>
            <w:tcW w:type="dxa" w:w="1660"/>
            <w:vAlign w:val="center"/>
          </w:tcPr>
          <w:p>
            <w:r>
              <w:t>niedrig/mittel</w:t>
            </w:r>
          </w:p>
        </w:tc>
      </w:tr>
      <w:tr>
        <w:tc>
          <w:tcPr>
            <w:tcW w:type="dxa" w:w="2100"/>
            <w:vAlign w:val="center"/>
          </w:tcPr>
          <w:p>
            <w:r>
              <w:t>Überlange Speicherung</w:t>
            </w:r>
          </w:p>
        </w:tc>
        <w:tc>
          <w:tcPr>
            <w:tcW w:type="dxa" w:w="2200"/>
            <w:vAlign w:val="center"/>
          </w:tcPr>
          <w:p>
            <w:r>
              <w:t>Unverhältnismäßige Historie</w:t>
            </w:r>
          </w:p>
        </w:tc>
        <w:tc>
          <w:tcPr>
            <w:tcW w:type="dxa" w:w="3400"/>
            <w:vAlign w:val="center"/>
          </w:tcPr>
          <w:p>
            <w:r>
              <w:t>Fristen, 15-Minuten-Job, 30-Tage-Backuprotation, Jahresreview</w:t>
            </w:r>
          </w:p>
        </w:tc>
        <w:tc>
          <w:tcPr>
            <w:tcW w:type="dxa" w:w="1660"/>
            <w:vAlign w:val="center"/>
          </w:tcPr>
          <w:p>
            <w:r>
              <w:t>niedrig/mittel</w:t>
            </w:r>
          </w:p>
        </w:tc>
      </w:tr>
    </w:tbl>
    <w:p/>
    <w:p>
      <w:pPr>
        <w:pStyle w:val="Heading1"/>
      </w:pPr>
      <w:r>
        <w:t>Von der Schule auszufüllen</w:t>
      </w:r>
    </w:p>
    <w:p>
      <w:pPr>
        <w:pStyle w:val="ListBullet"/>
        <w:spacing w:after="160" w:line="280" w:lineRule="auto"/>
        <w:ind w:left="720" w:hanging="360"/>
      </w:pPr>
      <w:r>
        <w:t>Konkrete Rechtsgrundlage und einschlägiges Landes-Schulrecht.</w:t>
      </w:r>
    </w:p>
    <w:p>
      <w:pPr>
        <w:pStyle w:val="ListBullet"/>
        <w:spacing w:after="160" w:line="280" w:lineRule="auto"/>
        <w:ind w:left="720" w:hanging="360"/>
      </w:pPr>
      <w:r>
        <w:t>Zwecke, Nutzerzahlen, Altersgruppen, Standorte und Laufzeit.</w:t>
      </w:r>
    </w:p>
    <w:p>
      <w:pPr>
        <w:pStyle w:val="ListBullet"/>
        <w:spacing w:after="160" w:line="280" w:lineRule="auto"/>
        <w:ind w:left="720" w:hanging="360"/>
      </w:pPr>
      <w:r>
        <w:t>Stellungnahme des schulischen/behördlichen Datenschutzbeauftragten.</w:t>
      </w:r>
    </w:p>
    <w:p>
      <w:pPr>
        <w:pStyle w:val="ListBullet"/>
        <w:spacing w:after="160" w:line="280" w:lineRule="auto"/>
        <w:ind w:left="720" w:hanging="360"/>
      </w:pPr>
      <w:r>
        <w:t>Bewertung landesspezifischer Positiv-/Negativlisten.</w:t>
      </w:r>
    </w:p>
    <w:p>
      <w:pPr>
        <w:pStyle w:val="ListBullet"/>
        <w:spacing w:after="160" w:line="280" w:lineRule="auto"/>
        <w:ind w:left="720" w:hanging="360"/>
      </w:pPr>
      <w:r>
        <w:t>Verbleibende Risiken, Freigabeentscheidung und Überprüfungsdatum.</w:t>
      </w:r>
    </w:p>
    <w:p>
      <w:pPr>
        <w:pStyle w:val="ListBullet"/>
        <w:spacing w:after="160" w:line="280" w:lineRule="auto"/>
        <w:ind w:left="720" w:hanging="360"/>
      </w:pPr>
      <w:r>
        <w:t>Gegebenenfalls vorherige Konsultation der Aufsichtsbehörde nach Art. 36 DSGVO.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MinutMate · Arbeits- und Prüffassung · vertraulich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A626C"/>
        <w:sz w:val="18"/>
      </w:rPr>
      <w:t>SSD Manager | DSFA-Vorprüfung und Muster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DSFA-Vorprüfung und Muster</dc:title>
  <dc:subject>SSD Manager Datenschutz- und Vertragsunterlagen</dc:subject>
  <dc:creator>MinutMate</dc:creator>
  <cp:keywords>SSD Manager, DSGVO, Schule, Prüffassung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