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F4D78"/>
          <w:sz w:val="48"/>
        </w:rPr>
        <w:t>Verzeichnis von Verarbeitungstätigkeiten</w:t>
      </w:r>
    </w:p>
    <w:p>
      <w:pPr>
        <w:spacing w:after="280"/>
      </w:pPr>
      <w:r>
        <w:rPr>
          <w:rFonts w:ascii="Calibri" w:hAnsi="Calibri"/>
          <w:color w:val="5A626C"/>
          <w:sz w:val="26"/>
        </w:rPr>
        <w:t>Muster nach Art. 30 DSGVO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Produkt</w:t>
            </w:r>
          </w:p>
        </w:tc>
        <w:tc>
          <w:tcPr>
            <w:tcW w:type="dxa" w:w="7560"/>
            <w:vAlign w:val="center"/>
          </w:tcPr>
          <w:p>
            <w:r>
              <w:t>SSD Manager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Stand</w:t>
            </w:r>
          </w:p>
        </w:tc>
        <w:tc>
          <w:tcPr>
            <w:tcW w:type="dxa" w:w="7560"/>
            <w:vAlign w:val="center"/>
          </w:tcPr>
          <w:p>
            <w:r>
              <w:t>26.07.2026</w:t>
            </w:r>
          </w:p>
        </w:tc>
      </w:tr>
      <w:tr>
        <w:tc>
          <w:tcPr>
            <w:tcW w:type="dxa" w:w="1800"/>
            <w:shd w:fill="F2F4F7"/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7560"/>
            <w:vAlign w:val="center"/>
          </w:tcPr>
          <w:p>
            <w:r>
              <w:t>Prüffassung – vor Einsatz rechtlich und schulrechtlich freigeben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4CE"/>
          </w:tcPr>
          <w:p>
            <w:r>
              <w:rPr>
                <w:b/>
              </w:rPr>
              <w:t xml:space="preserve">Prüfhinweis: </w:t>
            </w:r>
            <w:r>
              <w:t>Dieses Dokument ist eine belastbare Arbeits- und Prüffassung, ersetzt aber keine individuelle Rechtsberatung. Schule/Schulträger, zuständiger Datenschutzbeauftragter und eine qualifizierte Rechtsberatung müssen die endgültige Fassung vor Verarbeitung echter Schuldaten prüfen.</w:t>
            </w:r>
          </w:p>
        </w:tc>
      </w:tr>
    </w:tbl>
    <w:p/>
    <w:p>
      <w:pPr>
        <w:pStyle w:val="Heading1"/>
      </w:pPr>
      <w:r>
        <w:t>Hinweise</w:t>
      </w:r>
    </w:p>
    <w:p>
      <w:r>
        <w:t>Dieses Muster trennt eigene MinutMate-Verarbeitungen von der Verarbeitung im Auftrag. Schule/Schulträger führt ein eigenes Verzeichnis für die schulische Nutzung. Die Einträge sind auf tatsächliche Rechtsgrundlagen, Empfänger und Fristen anzupassen.</w:t>
      </w:r>
    </w:p>
    <w:p>
      <w:pPr>
        <w:pStyle w:val="Heading1"/>
      </w:pPr>
      <w:r>
        <w:t>Verarbeitungstätigkeiten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400"/>
        <w:gridCol w:w="2800"/>
        <w:gridCol w:w="2360"/>
      </w:tblGrid>
      <w:tr>
        <w:trPr>
          <w:tblHeader w:val="true"/>
        </w:trPr>
        <w:tc>
          <w:tcPr>
            <w:tcW w:type="dxa" w:w="1800"/>
            <w:shd w:fill="F2F4F7"/>
          </w:tcPr>
          <w:p>
            <w:r>
              <w:rPr>
                <w:b/>
              </w:rPr>
              <w:t>Tätigkeit</w:t>
            </w:r>
          </w:p>
        </w:tc>
        <w:tc>
          <w:tcPr>
            <w:tcW w:type="dxa" w:w="2400"/>
            <w:shd w:fill="F2F4F7"/>
          </w:tcPr>
          <w:p>
            <w:r>
              <w:rPr>
                <w:b/>
              </w:rPr>
              <w:t>Rolle/Zweck</w:t>
            </w:r>
          </w:p>
        </w:tc>
        <w:tc>
          <w:tcPr>
            <w:tcW w:type="dxa" w:w="2800"/>
            <w:shd w:fill="F2F4F7"/>
          </w:tcPr>
          <w:p>
            <w:r>
              <w:rPr>
                <w:b/>
              </w:rPr>
              <w:t>Daten/Betroffene</w:t>
            </w:r>
          </w:p>
        </w:tc>
        <w:tc>
          <w:tcPr>
            <w:tcW w:type="dxa" w:w="2360"/>
            <w:shd w:fill="F2F4F7"/>
          </w:tcPr>
          <w:p>
            <w:r>
              <w:rPr>
                <w:b/>
              </w:rPr>
              <w:t>Empfänger/Frist</w:t>
            </w:r>
          </w:p>
        </w:tc>
      </w:tr>
      <w:tr>
        <w:tc>
          <w:tcPr>
            <w:tcW w:type="dxa" w:w="1800"/>
            <w:vAlign w:val="center"/>
          </w:tcPr>
          <w:p>
            <w:r>
              <w:t>Schul-Workspace</w:t>
            </w:r>
          </w:p>
        </w:tc>
        <w:tc>
          <w:tcPr>
            <w:tcW w:type="dxa" w:w="2400"/>
            <w:vAlign w:val="center"/>
          </w:tcPr>
          <w:p>
            <w:r>
              <w:t>Auftragsverarbeitung; Dienstplanung und Kommunikation</w:t>
            </w:r>
          </w:p>
        </w:tc>
        <w:tc>
          <w:tcPr>
            <w:tcW w:type="dxa" w:w="2800"/>
            <w:vAlign w:val="center"/>
          </w:tcPr>
          <w:p>
            <w:r>
              <w:t>Konten, Rollen, Dienste, Nachrichten, Dateien; schulische Nutzende</w:t>
            </w:r>
          </w:p>
        </w:tc>
        <w:tc>
          <w:tcPr>
            <w:tcW w:type="dxa" w:w="2360"/>
            <w:vAlign w:val="center"/>
          </w:tcPr>
          <w:p>
            <w:r>
              <w:t>Railway/Firebase/All-Inkl; nach Schulweisung und Löschkonzept</w:t>
            </w:r>
          </w:p>
        </w:tc>
      </w:tr>
      <w:tr>
        <w:tc>
          <w:tcPr>
            <w:tcW w:type="dxa" w:w="1800"/>
            <w:vAlign w:val="center"/>
          </w:tcPr>
          <w:p>
            <w:r>
              <w:t>Vertragsverwaltung</w:t>
            </w:r>
          </w:p>
        </w:tc>
        <w:tc>
          <w:tcPr>
            <w:tcW w:type="dxa" w:w="2400"/>
            <w:vAlign w:val="center"/>
          </w:tcPr>
          <w:p>
            <w:r>
              <w:t>Eigene Verantwortung; Vertrag, Abrechnung, Nachweis</w:t>
            </w:r>
          </w:p>
        </w:tc>
        <w:tc>
          <w:tcPr>
            <w:tcW w:type="dxa" w:w="2800"/>
            <w:vAlign w:val="center"/>
          </w:tcPr>
          <w:p>
            <w:r>
              <w:t>Schulkontakte, Vertrags- und Rechnungsdaten</w:t>
            </w:r>
          </w:p>
        </w:tc>
        <w:tc>
          <w:tcPr>
            <w:tcW w:type="dxa" w:w="2360"/>
            <w:vAlign w:val="center"/>
          </w:tcPr>
          <w:p>
            <w:r>
              <w:t>Steuer-/Beratungsstellen nach Bedarf; gesetzliche Fristen</w:t>
            </w:r>
          </w:p>
        </w:tc>
      </w:tr>
      <w:tr>
        <w:tc>
          <w:tcPr>
            <w:tcW w:type="dxa" w:w="1800"/>
            <w:vAlign w:val="center"/>
          </w:tcPr>
          <w:p>
            <w:r>
              <w:t>IT-Sicherheit</w:t>
            </w:r>
          </w:p>
        </w:tc>
        <w:tc>
          <w:tcPr>
            <w:tcW w:type="dxa" w:w="2400"/>
            <w:vAlign w:val="center"/>
          </w:tcPr>
          <w:p>
            <w:r>
              <w:t>Eigene/auftragsbezogene Sicherheit; Art. 6 Abs. 1 f bzw. Art. 32</w:t>
            </w:r>
          </w:p>
        </w:tc>
        <w:tc>
          <w:tcPr>
            <w:tcW w:type="dxa" w:w="2800"/>
            <w:vAlign w:val="center"/>
          </w:tcPr>
          <w:p>
            <w:r>
              <w:t>IP-/Login-/Audit-/Geräte- und Fehlerdaten</w:t>
            </w:r>
          </w:p>
        </w:tc>
        <w:tc>
          <w:tcPr>
            <w:tcW w:type="dxa" w:w="2360"/>
            <w:vAlign w:val="center"/>
          </w:tcPr>
          <w:p>
            <w:r>
              <w:t>Railway; Regel 90 Tage, Audit 12 Monate</w:t>
            </w:r>
          </w:p>
        </w:tc>
      </w:tr>
      <w:tr>
        <w:tc>
          <w:tcPr>
            <w:tcW w:type="dxa" w:w="1800"/>
            <w:vAlign w:val="center"/>
          </w:tcPr>
          <w:p>
            <w:r>
              <w:t>Support</w:t>
            </w:r>
          </w:p>
        </w:tc>
        <w:tc>
          <w:tcPr>
            <w:tcW w:type="dxa" w:w="2400"/>
            <w:vAlign w:val="center"/>
          </w:tcPr>
          <w:p>
            <w:r>
              <w:t>Vertragserfüllung und Weisungsunterstützung</w:t>
            </w:r>
          </w:p>
        </w:tc>
        <w:tc>
          <w:tcPr>
            <w:tcW w:type="dxa" w:w="2800"/>
            <w:vAlign w:val="center"/>
          </w:tcPr>
          <w:p>
            <w:r>
              <w:t>Kontakt, Anfrage, erforderliche technische Daten</w:t>
            </w:r>
          </w:p>
        </w:tc>
        <w:tc>
          <w:tcPr>
            <w:tcW w:type="dxa" w:w="2360"/>
            <w:vAlign w:val="center"/>
          </w:tcPr>
          <w:p>
            <w:r>
              <w:t>Autorisierte MinutMate-Personen; Abschluss plus angemessene Nachweisfrist</w:t>
            </w:r>
          </w:p>
        </w:tc>
      </w:tr>
      <w:tr>
        <w:tc>
          <w:tcPr>
            <w:tcW w:type="dxa" w:w="1800"/>
            <w:vAlign w:val="center"/>
          </w:tcPr>
          <w:p>
            <w:r>
              <w:t>Datenschutzanfragen</w:t>
            </w:r>
          </w:p>
        </w:tc>
        <w:tc>
          <w:tcPr>
            <w:tcW w:type="dxa" w:w="2400"/>
            <w:vAlign w:val="center"/>
          </w:tcPr>
          <w:p>
            <w:r>
              <w:t>Art. 6 Abs. 1 c; Rechtebearbeitung/Nachweis</w:t>
            </w:r>
          </w:p>
        </w:tc>
        <w:tc>
          <w:tcPr>
            <w:tcW w:type="dxa" w:w="2800"/>
            <w:vAlign w:val="center"/>
          </w:tcPr>
          <w:p>
            <w:r>
              <w:t>Identität, Anfrage, Kommunikation, Entscheidung</w:t>
            </w:r>
          </w:p>
        </w:tc>
        <w:tc>
          <w:tcPr>
            <w:tcW w:type="dxa" w:w="2360"/>
            <w:vAlign w:val="center"/>
          </w:tcPr>
          <w:p>
            <w:r>
              <w:t>Schule/Betroffene/Aufsicht; grundsätzlich 3 Jahre</w:t>
            </w:r>
          </w:p>
        </w:tc>
      </w:tr>
      <w:tr>
        <w:tc>
          <w:tcPr>
            <w:tcW w:type="dxa" w:w="1800"/>
            <w:vAlign w:val="center"/>
          </w:tcPr>
          <w:p>
            <w:r>
              <w:t>App-Store-Bereitstellung</w:t>
            </w:r>
          </w:p>
        </w:tc>
        <w:tc>
          <w:tcPr>
            <w:tcW w:type="dxa" w:w="2400"/>
            <w:vAlign w:val="center"/>
          </w:tcPr>
          <w:p>
            <w:r>
              <w:t>Distribution, Sicherheit und Updates</w:t>
            </w:r>
          </w:p>
        </w:tc>
        <w:tc>
          <w:tcPr>
            <w:tcW w:type="dxa" w:w="2800"/>
            <w:vAlign w:val="center"/>
          </w:tcPr>
          <w:p>
            <w:r>
              <w:t>Entwicklerkonto-, Store- und technische Abrufdaten</w:t>
            </w:r>
          </w:p>
        </w:tc>
        <w:tc>
          <w:tcPr>
            <w:tcW w:type="dxa" w:w="2360"/>
            <w:vAlign w:val="center"/>
          </w:tcPr>
          <w:p>
            <w:r>
              <w:t>Apple/Google nach deren Bedingungen; anbieterabhängig</w:t>
            </w:r>
          </w:p>
        </w:tc>
      </w:tr>
    </w:tbl>
    <w:p/>
    <w:p>
      <w:pPr>
        <w:pStyle w:val="Heading1"/>
      </w:pPr>
      <w:r>
        <w:t>Pflichtfelder zur Finalisierung</w:t>
      </w:r>
    </w:p>
    <w:p>
      <w:pPr>
        <w:pStyle w:val="ListBullet"/>
        <w:spacing w:after="160" w:line="280" w:lineRule="auto"/>
        <w:ind w:left="720" w:hanging="360"/>
      </w:pPr>
      <w:r>
        <w:t>Konkrete Rechtsgrundlagen und Interessenabwägungen.</w:t>
      </w:r>
    </w:p>
    <w:p>
      <w:pPr>
        <w:pStyle w:val="ListBullet"/>
        <w:spacing w:after="160" w:line="280" w:lineRule="auto"/>
        <w:ind w:left="720" w:hanging="360"/>
      </w:pPr>
      <w:r>
        <w:t>Tatsächliche Empfänger, Drittlandgarantien und DPA-Versionen.</w:t>
      </w:r>
    </w:p>
    <w:p>
      <w:pPr>
        <w:pStyle w:val="ListBullet"/>
        <w:spacing w:after="160" w:line="280" w:lineRule="auto"/>
        <w:ind w:left="720" w:hanging="360"/>
      </w:pPr>
      <w:r>
        <w:t>Kategorien von Löschsperren und Verantwortliche.</w:t>
      </w:r>
    </w:p>
    <w:p>
      <w:pPr>
        <w:pStyle w:val="ListBullet"/>
        <w:spacing w:after="160" w:line="280" w:lineRule="auto"/>
        <w:ind w:left="720" w:hanging="360"/>
      </w:pPr>
      <w:r>
        <w:t>Name/Kontakt des Datenschutzbeauftragten, falls bestellt.</w:t>
      </w:r>
    </w:p>
    <w:p>
      <w:pPr>
        <w:pStyle w:val="ListBullet"/>
        <w:spacing w:after="160" w:line="280" w:lineRule="auto"/>
        <w:ind w:left="720" w:hanging="360"/>
      </w:pPr>
      <w:r>
        <w:t>Datum der Freigabe und nächste Überprüfung.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A626C"/>
        <w:sz w:val="17"/>
      </w:rPr>
      <w:t>MinutMate · Arbeits- und Prüffassung · vertraulich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5A626C"/>
        <w:sz w:val="18"/>
      </w:rPr>
      <w:t>SSD Manager | Verzeichnis von Verarbeitungstätigkeiten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Verzeichnis von Verarbeitungstätigkeiten</dc:title>
  <dc:subject>SSD Manager Datenschutz- und Vertragsunterlagen</dc:subject>
  <dc:creator>MinutMate</dc:creator>
  <cp:keywords>SSD Manager, DSGVO, Schule, Prüffassung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