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4D78"/>
          <w:sz w:val="48"/>
        </w:rPr>
        <w:t>Prozess für Betroffenenanfragen</w:t>
      </w:r>
    </w:p>
    <w:p>
      <w:pPr>
        <w:spacing w:after="280"/>
      </w:pPr>
      <w:r>
        <w:rPr>
          <w:rFonts w:ascii="Calibri" w:hAnsi="Calibri"/>
          <w:color w:val="5A626C"/>
          <w:sz w:val="26"/>
        </w:rPr>
        <w:t>Auskunft, Berichtigung, Löschung und weitere Rechte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Produkt</w:t>
            </w:r>
          </w:p>
        </w:tc>
        <w:tc>
          <w:tcPr>
            <w:tcW w:type="dxa" w:w="7560"/>
            <w:vAlign w:val="center"/>
          </w:tcPr>
          <w:p>
            <w:r>
              <w:t>SSD Manager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Stand</w:t>
            </w:r>
          </w:p>
        </w:tc>
        <w:tc>
          <w:tcPr>
            <w:tcW w:type="dxa" w:w="7560"/>
            <w:vAlign w:val="center"/>
          </w:tcPr>
          <w:p>
            <w:r>
              <w:t>26.07.2026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>
              <w:t>Prüffassung – vor Einsatz rechtlich und schulrechtlich freigeben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r>
              <w:rPr>
                <w:b/>
              </w:rPr>
              <w:t xml:space="preserve">Prüfhinweis: </w:t>
            </w:r>
            <w:r>
              <w:t>Dieses Dokument ist eine belastbare Arbeits- und Prüffassung, ersetzt aber keine individuelle Rechtsberatung. Schule/Schulträger, zuständiger Datenschutzbeauftragter und eine qualifizierte Rechtsberatung müssen die endgültige Fassung vor Verarbeitung echter Schuldaten prüfen.</w:t>
            </w:r>
          </w:p>
        </w:tc>
      </w:tr>
    </w:tbl>
    <w:p/>
    <w:p>
      <w:pPr>
        <w:pStyle w:val="Heading1"/>
      </w:pPr>
      <w:r>
        <w:t>Grundsatz</w:t>
      </w:r>
    </w:p>
    <w:p>
      <w:r>
        <w:t>Schulische Anfragen werden durch Schule/Schulträger entschieden. MinutMate trifft als Auftragsverarbeiter keine eigenständige materielle Entscheidung, unterstützt jedoch technisch. Direkte Anfragen an MinutMate werden unverzüglich zuständigkeitshalber weitergeleitet; eigene MinutMate-Verarbeitungen werden direkt bearbeitet.</w:t>
      </w:r>
    </w:p>
    <w:p>
      <w:pPr>
        <w:pStyle w:val="Heading1"/>
      </w:pPr>
      <w:r>
        <w:t>Ablauf</w:t>
      </w:r>
    </w:p>
    <w:p>
      <w:pPr>
        <w:pStyle w:val="ListNumber"/>
        <w:spacing w:after="160" w:line="280" w:lineRule="auto"/>
        <w:ind w:left="720" w:hanging="360"/>
      </w:pPr>
      <w:r>
        <w:t>Eingang mit Datum, Kanal und Begehren erfassen; keine unnötigen Ausweiskopien anfordern.</w:t>
      </w:r>
    </w:p>
    <w:p>
      <w:pPr>
        <w:pStyle w:val="ListNumber"/>
        <w:spacing w:after="160" w:line="280" w:lineRule="auto"/>
        <w:ind w:left="720" w:hanging="360"/>
      </w:pPr>
      <w:r>
        <w:t>Zuständigkeit und Identität risikoorientiert prüfen.</w:t>
      </w:r>
    </w:p>
    <w:p>
      <w:pPr>
        <w:pStyle w:val="ListNumber"/>
        <w:spacing w:after="160" w:line="280" w:lineRule="auto"/>
        <w:ind w:left="720" w:hanging="360"/>
      </w:pPr>
      <w:r>
        <w:t>Frist notieren; grundsätzlich unverzüglich und spätestens innerhalb eines Monats reagieren.</w:t>
      </w:r>
    </w:p>
    <w:p>
      <w:pPr>
        <w:pStyle w:val="ListNumber"/>
        <w:spacing w:after="160" w:line="280" w:lineRule="auto"/>
        <w:ind w:left="720" w:hanging="360"/>
      </w:pPr>
      <w:r>
        <w:t>Datenquellen, Empfänger, Fristen und Rechteausnahmen bestimmen.</w:t>
      </w:r>
    </w:p>
    <w:p>
      <w:pPr>
        <w:pStyle w:val="ListNumber"/>
        <w:spacing w:after="160" w:line="280" w:lineRule="auto"/>
        <w:ind w:left="720" w:hanging="360"/>
      </w:pPr>
      <w:r>
        <w:t>Export, Berichtigung, Einschränkung, Anonymisierung oder Löschung technisch ausführen beziehungsweise der Schule bereitstellen.</w:t>
      </w:r>
    </w:p>
    <w:p>
      <w:pPr>
        <w:pStyle w:val="ListNumber"/>
        <w:spacing w:after="160" w:line="280" w:lineRule="auto"/>
        <w:ind w:left="720" w:hanging="360"/>
      </w:pPr>
      <w:r>
        <w:t>Antwort sicher übermitteln; Ablehnungen und Fristverlängerungen begründen.</w:t>
      </w:r>
    </w:p>
    <w:p>
      <w:pPr>
        <w:pStyle w:val="ListNumber"/>
        <w:spacing w:after="160" w:line="280" w:lineRule="auto"/>
        <w:ind w:left="720" w:hanging="360"/>
      </w:pPr>
      <w:r>
        <w:t>Abschluss und Nachweis datensparsam dokumentieren; regulär drei Jahre.</w:t>
      </w:r>
    </w:p>
    <w:p>
      <w:pPr>
        <w:pStyle w:val="Heading1"/>
      </w:pPr>
      <w:r>
        <w:t>Technische SSD-Manager-Unterstützung</w:t>
      </w:r>
    </w:p>
    <w:p>
      <w:pPr>
        <w:pStyle w:val="ListBullet"/>
        <w:spacing w:after="160" w:line="280" w:lineRule="auto"/>
        <w:ind w:left="720" w:hanging="360"/>
      </w:pPr>
      <w:r>
        <w:t>Manager können ein Nutzerdaten-Exportarchiv erzeugen.</w:t>
      </w:r>
    </w:p>
    <w:p>
      <w:pPr>
        <w:pStyle w:val="ListBullet"/>
        <w:spacing w:after="160" w:line="280" w:lineRule="auto"/>
        <w:ind w:left="720" w:hanging="360"/>
      </w:pPr>
      <w:r>
        <w:t>Deaktivierung sperrt Zugang und widerruft Sitzungen sofort.</w:t>
      </w:r>
    </w:p>
    <w:p>
      <w:pPr>
        <w:pStyle w:val="ListBullet"/>
        <w:spacing w:after="160" w:line="280" w:lineRule="auto"/>
        <w:ind w:left="720" w:hanging="360"/>
      </w:pPr>
      <w:r>
        <w:t>Löschvormerkung startet eine 30-Tage-Karenz.</w:t>
      </w:r>
    </w:p>
    <w:p>
      <w:pPr>
        <w:pStyle w:val="ListBullet"/>
        <w:spacing w:after="160" w:line="280" w:lineRule="auto"/>
        <w:ind w:left="720" w:hanging="360"/>
      </w:pPr>
      <w:r>
        <w:t>Historische Dienste/Nachrichten werden anonymisiert; Anhänge vollständig gelöscht.</w:t>
      </w:r>
    </w:p>
    <w:p>
      <w:pPr>
        <w:pStyle w:val="ListBullet"/>
        <w:spacing w:after="160" w:line="280" w:lineRule="auto"/>
        <w:ind w:left="720" w:hanging="360"/>
      </w:pPr>
      <w:r>
        <w:t>Backups rotieren innerhalb von 30 Tagen aus; Notfallrestores wenden Löschungen erneut an.</w:t>
      </w:r>
    </w:p>
    <w:p>
      <w:pPr>
        <w:pStyle w:val="Heading1"/>
      </w:pPr>
      <w:r>
        <w:t>Kontakte und Protokollfelder</w:t>
      </w:r>
    </w:p>
    <w:p>
      <w:r>
        <w:t>Produkt: support@ssd-manager.minutmate.com · Datenschutz MinutMate: datenschutz@minutmate.com · Schule/DSB: __________________. Aktenzeichen, Eingang, Identitätsprüfung, Verantwortlicher, Maßnahmen, Freigabe, Antwortdatum und Löschdatum sind zu dokumentieren.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MinutMate · Arbeits- und Prüffassung · vertraulich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A626C"/>
        <w:sz w:val="18"/>
      </w:rPr>
      <w:t>SSD Manager | Prozess für Betroffenenanfragen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Prozess für Betroffenenanfragen</dc:title>
  <dc:subject>SSD Manager Datenschutz- und Vertragsunterlagen</dc:subject>
  <dc:creator>MinutMate</dc:creator>
  <cp:keywords>SSD Manager, DSGVO, Schule, Prüffassung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