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32"/>
          <w:szCs w:val="32"/>
        </w:rPr>
        <w:t xml:space="preserve">Detraf MVP2 — Contestação de Despesa</w:t>
      </w:r>
    </w:p>
    <w:p>
      <w:pPr>
        <w:spacing w:after="260"/>
      </w:pPr>
      <w:r>
        <w:rPr>
          <w:color w:val="444444"/>
          <w:sz w:val="24"/>
          <w:szCs w:val="24"/>
        </w:rPr>
        <w:t xml:space="preserve">Relatório de Separação da Automação em 4 RPAs</w:t>
      </w:r>
    </w:p>
    <w:p>
      <w:pPr>
        <w:spacing w:after="60"/>
      </w:pPr>
      <w:r>
        <w:rPr>
          <w:i/>
          <w:iCs/>
          <w:color w:val="777777"/>
          <w:sz w:val="18"/>
          <w:szCs w:val="18"/>
        </w:rPr>
        <w:t xml:space="preserve">Referência: documentação V2 — "_V2_Btime_SPTI_Detraf_MVP2_comentadaLuciana.docx"</w:t>
      </w:r>
    </w:p>
    <w:p>
      <w:pPr>
        <w:pBdr>
          <w:bottom w:val="single" w:color="2E5395" w:sz="6" w:space="6"/>
        </w:pBdr>
        <w:spacing w:after="22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1. Objetivo</w:t>
      </w:r>
    </w:p>
    <w:p>
      <w:pPr>
        <w:spacing w:after="120"/>
      </w:pPr>
      <w:r>
        <w:rPr>
          <w:sz w:val="21"/>
          <w:szCs w:val="21"/>
        </w:rPr>
        <w:t xml:space="preserve">A documentação V2 (pág. 3, item 1 — Produto do Projeto) já indica que "a automação será composta entre 3 e 4 RPA's para atender as necessidades do processo do início ao fim". Este relatório detalha uma proposta de separação em 4 robôs, com a responsabilidade e a justificativa de cada corte, com base no fluxo descrito na V2.</w:t>
      </w:r>
    </w:p>
    <w:p>
      <w:pPr>
        <w:pStyle w:val="Heading1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2. Visão geral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50"/>
      </w:tblGrid>
      <w:tr>
        <w:trPr>
          <w:tblHeader/>
        </w:trPr>
        <w:tc>
          <w:tcPr>
            <w:tcW w:type="dxa" w:w="14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RPA</w:t>
            </w:r>
          </w:p>
        </w:tc>
        <w:tc>
          <w:tcPr>
            <w:tcW w:type="dxa" w:w="26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Gatilho de execução</w:t>
            </w:r>
          </w:p>
        </w:tc>
        <w:tc>
          <w:tcPr>
            <w:tcW w:type="dxa" w:w="535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 principal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RPA 1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Evento (chegada de e-mail) + janela de tempo até a data de corte</w:t>
            </w:r>
          </w:p>
        </w:tc>
        <w:tc>
          <w:tcPr>
            <w:tcW w:type="dxa" w:w="5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Captura, organização e armazenamento dos arquivos de Detraf recebidos das operadoras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RPA 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Lote, disparado após a data de corte</w:t>
            </w:r>
          </w:p>
        </w:tc>
        <w:tc>
          <w:tcPr>
            <w:tcW w:type="dxa" w:w="5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Validação dos arquivos, comparação Detraf x expectativa ICT e apuração da necessidade de contestação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RPA 3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Sinalização do analista no Webfat (decisão de contestação)</w:t>
            </w:r>
          </w:p>
        </w:tc>
        <w:tc>
          <w:tcPr>
            <w:tcW w:type="dxa" w:w="5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Geração da contestação (carta e e-mail), carga no AGI e atualização do Encontro de Contas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RPA 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Condição de negócio assíncrona (recuperação de tráfego identificada no mês seguinte)</w:t>
            </w:r>
          </w:p>
        </w:tc>
        <w:tc>
          <w:tcPr>
            <w:tcW w:type="dxa" w:w="5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Retificação de contestações já lançadas no AGI em meses anteriores</w:t>
            </w:r>
          </w:p>
        </w:tc>
      </w:tr>
    </w:tbl>
    <w:p>
      <w:pPr>
        <w:spacing w:before="26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3. Detalhamento por RPA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RPA 1 — Captura de arquivos das operadoras</w:t>
      </w:r>
    </w:p>
    <w:p>
      <w:pPr>
        <w:spacing w:after="120"/>
      </w:pPr>
      <w:r>
        <w:rPr>
          <w:i/>
          <w:iCs/>
          <w:color w:val="555555"/>
          <w:sz w:val="21"/>
          <w:szCs w:val="21"/>
        </w:rPr>
        <w:t xml:space="preserve">Recebimento e organização dos arquivos de Detraf enviados por e-mail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Gatilho: </w:t>
      </w:r>
    </w:p>
    <w:p>
      <w:pPr>
        <w:spacing w:after="100"/>
      </w:pPr>
      <w:r>
        <w:rPr>
          <w:sz w:val="21"/>
          <w:szCs w:val="21"/>
        </w:rPr>
        <w:t xml:space="preserve">Chegada de e-mail na caixa detrafTBRA.br@telefonica.com, dentro da janela de tempo definida até a data de corte do mês.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Responsabilidades: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Acessar a caixa de e-mail de desenvolvimento e localizar mensagens do mês de referência que não contenham a palavra "CONTESTAÇÃO"</w:t>
      </w:r>
      <w:r>
        <w:rPr>
          <w:i/>
          <w:iCs/>
          <w:color w:val="6B7280"/>
          <w:sz w:val="19"/>
          <w:szCs w:val="19"/>
        </w:rPr>
        <w:t xml:space="preserve">  (pág. 13, item 4.1.1–4.1.3)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Baixar apenas os arquivos csv/excel anexados</w:t>
      </w:r>
      <w:r>
        <w:rPr>
          <w:i/>
          <w:iCs/>
          <w:color w:val="6B7280"/>
          <w:sz w:val="19"/>
          <w:szCs w:val="19"/>
        </w:rPr>
        <w:t xml:space="preserve">  (pág. 13, item 4.1.3)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Organizar os arquivos na pasta "Detraf Despesas" do Outlook</w:t>
      </w:r>
      <w:r>
        <w:rPr>
          <w:i/>
          <w:iCs/>
          <w:color w:val="6B7280"/>
          <w:sz w:val="19"/>
          <w:szCs w:val="19"/>
        </w:rPr>
        <w:t xml:space="preserve">  (pág. 13, item 4.1.4)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Salvar os arquivos na pasta de rede da operadora/mês e também no servidor do Webfat</w:t>
      </w:r>
      <w:r>
        <w:rPr>
          <w:i/>
          <w:iCs/>
          <w:color w:val="6B7280"/>
          <w:sz w:val="19"/>
          <w:szCs w:val="19"/>
        </w:rPr>
        <w:t xml:space="preserve">  (pág. 13, item 4.1.5)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Identificar o nome da operadora pela EOT da credora no Anexo 5</w:t>
      </w:r>
      <w:r>
        <w:rPr>
          <w:i/>
          <w:iCs/>
          <w:color w:val="6B7280"/>
          <w:sz w:val="19"/>
          <w:szCs w:val="19"/>
        </w:rPr>
        <w:t xml:space="preserve">  (pág. 13, item 4.1.6)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Sinalizar no Webfat como "não validado" quando a operadora enviar arquivos divergentes</w:t>
      </w:r>
      <w:r>
        <w:rPr>
          <w:i/>
          <w:iCs/>
          <w:color w:val="6B7280"/>
          <w:sz w:val="19"/>
          <w:szCs w:val="19"/>
        </w:rPr>
        <w:t xml:space="preserve">  (pág. 13, item 4.1.7)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Entrega / saída:</w:t>
      </w:r>
    </w:p>
    <w:p>
      <w:pPr>
        <w:spacing w:after="100"/>
      </w:pPr>
      <w:r>
        <w:rPr>
          <w:sz w:val="21"/>
          <w:szCs w:val="21"/>
        </w:rPr>
        <w:t xml:space="preserve">Arquivos de Detraf salvos na pasta de rede e replicados no servidor do Webfat, prontos para o RPA 2 processar.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Por que foi separado:</w:t>
      </w:r>
    </w:p>
    <w:p>
      <w:pPr>
        <w:spacing w:after="200"/>
      </w:pPr>
      <w:r>
        <w:rPr>
          <w:sz w:val="21"/>
          <w:szCs w:val="21"/>
        </w:rPr>
        <w:t xml:space="preserve">Esse robô responde a um gatilho de evento (e-mail chegando) e precisa aguardar uma janela de tempo (a data de corte) antes que o processamento seguinte possa iniciar — a própria V2 registra que "o robô poderá receber diversos e-mails da mesma operadora" e que é preciso definir uma data de corte para leitura de e-mails (pág. 9, itens 2.4–2.7). Colocar esse comportamento de espera no mesmo robô que faz o processamento em lote (RPA 2) faria o processamento ficar bloqueado esperando e-mail, ou rodar de forma incompleta — por isso a separação.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RPA 2 — Validação e apuração de contestação</w:t>
      </w:r>
    </w:p>
    <w:p>
      <w:pPr>
        <w:spacing w:after="120"/>
      </w:pPr>
      <w:r>
        <w:rPr>
          <w:i/>
          <w:iCs/>
          <w:color w:val="555555"/>
          <w:sz w:val="21"/>
          <w:szCs w:val="21"/>
        </w:rPr>
        <w:t xml:space="preserve">Comparação Detraf x expectativa e cálculo da necessidade de contestação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Gatilho: </w:t>
      </w:r>
    </w:p>
    <w:p>
      <w:pPr>
        <w:spacing w:after="100"/>
      </w:pPr>
      <w:r>
        <w:rPr>
          <w:sz w:val="21"/>
          <w:szCs w:val="21"/>
        </w:rPr>
        <w:t xml:space="preserve">Execução em lote, disparada após a data de corte (todos os arquivos do mês já recebidos pelo RPA 1).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Responsabilidades: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Abrir os arquivos da pasta "Detraf Recebidos" e da pasta de arquivos convertidos, filtrando pelos que contêm "_D_" no nome</w:t>
      </w:r>
      <w:r>
        <w:rPr>
          <w:i/>
          <w:iCs/>
          <w:color w:val="6B7280"/>
          <w:sz w:val="19"/>
          <w:szCs w:val="19"/>
        </w:rPr>
        <w:t xml:space="preserve">  (pág. 15, item 4.3.1)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Validar os arquivos conforme as regras do item 2 e gravar o resultado (EXPECTATIVA ou ERRO) na tbl_rpa_log_detraf_despesa_arquivos</w:t>
      </w:r>
      <w:r>
        <w:rPr>
          <w:i/>
          <w:iCs/>
          <w:color w:val="6B7280"/>
          <w:sz w:val="19"/>
          <w:szCs w:val="19"/>
        </w:rPr>
        <w:t xml:space="preserve">  (pág. 16, item 4.3.2)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Consolidar os dados da operadora na tabela com tipo_registro = "DETRAF"</w:t>
      </w:r>
      <w:r>
        <w:rPr>
          <w:i/>
          <w:iCs/>
          <w:color w:val="6B7280"/>
          <w:sz w:val="19"/>
          <w:szCs w:val="19"/>
        </w:rPr>
        <w:t xml:space="preserve">  (pág. 16-17)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Montar a base de contestação e as tabelas dinâmicas de resumo por operadora, populando a tbl_rpa_log_detraf_despesa_contestacao</w:t>
      </w:r>
      <w:r>
        <w:rPr>
          <w:i/>
          <w:iCs/>
          <w:color w:val="6B7280"/>
          <w:sz w:val="19"/>
          <w:szCs w:val="19"/>
        </w:rPr>
        <w:t xml:space="preserve">  (pág. 19, item 4.3.7.1.3)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Aplicar a regra de variação de 1% para decidir se o tráfego segue sem contestação ou precisa ser contestado</w:t>
      </w:r>
      <w:r>
        <w:rPr>
          <w:i/>
          <w:iCs/>
          <w:color w:val="6B7280"/>
          <w:sz w:val="19"/>
          <w:szCs w:val="19"/>
        </w:rPr>
        <w:t xml:space="preserve">  (pág. 9-10, item 2.10.1)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Entrega / saída:</w:t>
      </w:r>
    </w:p>
    <w:p>
      <w:pPr>
        <w:spacing w:after="100"/>
      </w:pPr>
      <w:r>
        <w:rPr>
          <w:sz w:val="21"/>
          <w:szCs w:val="21"/>
        </w:rPr>
        <w:t xml:space="preserve">Tabelas do Webfat atualizadas (tbl_rpa_log_detraf_despesa_arquivos e tbl_rpa_log_detraf_despesa_contestacao) com o resultado da validação e a indicação de quais operadoras/remunerações precisam de contestação — aguardando decisão do analista.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Por que foi separado:</w:t>
      </w:r>
    </w:p>
    <w:p>
      <w:pPr>
        <w:spacing w:after="200"/>
      </w:pPr>
      <w:r>
        <w:rPr>
          <w:sz w:val="21"/>
          <w:szCs w:val="21"/>
        </w:rPr>
        <w:t xml:space="preserve">Esse robô processa em lote e termina em um ponto de decisão humana: o analista escolhe no Webfat se contesta ou não, e se a contestação será com ou sem retenção. Um robô que depende de uma decisão humana no meio do fluxo tem um perfil de execução diferente de um robô 100% automático — ele precisa de um mecanismo de espera/consulta ao Webfat que não faz sentido misturar com a geração de carta e carga no AGI (RPA 3), que só deve rodar depois que a decisão já foi tomada.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RPA 3 — Contestação, carga no AGI e Encontro de Contas</w:t>
      </w:r>
    </w:p>
    <w:p>
      <w:pPr>
        <w:spacing w:after="120"/>
      </w:pPr>
      <w:r>
        <w:rPr>
          <w:i/>
          <w:iCs/>
          <w:color w:val="555555"/>
          <w:sz w:val="21"/>
          <w:szCs w:val="21"/>
        </w:rPr>
        <w:t xml:space="preserve">Formalização da contestação e atualização dos sistemas financeiros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Gatilho: </w:t>
      </w:r>
    </w:p>
    <w:p>
      <w:pPr>
        <w:spacing w:after="100"/>
      </w:pPr>
      <w:r>
        <w:rPr>
          <w:sz w:val="21"/>
          <w:szCs w:val="21"/>
        </w:rPr>
        <w:t xml:space="preserve">Sinalização do analista no Webfat informando a decisão de contestação (com ou sem retenção) para a operadora/remuneração.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Responsabilidades: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Definir a modalidade da contestação (referência ou tráfego) e o tipo (com ou sem retenção)</w:t>
      </w:r>
      <w:r>
        <w:rPr>
          <w:i/>
          <w:iCs/>
          <w:color w:val="6B7280"/>
          <w:sz w:val="19"/>
          <w:szCs w:val="19"/>
        </w:rPr>
        <w:t xml:space="preserve">  (pág. 23, itens 4.3.7.2.1–4.3.7.2.4)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Gerar o arquivo de tráfego da operadora e o arquivo interno de expectativa Vivo para carga no AGI</w:t>
      </w:r>
      <w:r>
        <w:rPr>
          <w:i/>
          <w:iCs/>
          <w:color w:val="6B7280"/>
          <w:sz w:val="19"/>
          <w:szCs w:val="19"/>
        </w:rPr>
        <w:t xml:space="preserve">  (pág. 24, item 4.3.7.2.7)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Gerar a carta de contestação e o e-mail para a operadora</w:t>
      </w:r>
      <w:r>
        <w:rPr>
          <w:i/>
          <w:iCs/>
          <w:color w:val="6B7280"/>
          <w:sz w:val="19"/>
          <w:szCs w:val="19"/>
        </w:rPr>
        <w:t xml:space="preserve">  (pág. 24 em diante)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Atualizar o campo tipo_contestacao na tbl_rpa_log_detraf_despesa_contestacao</w:t>
      </w:r>
      <w:r>
        <w:rPr>
          <w:i/>
          <w:iCs/>
          <w:color w:val="6B7280"/>
          <w:sz w:val="19"/>
          <w:szCs w:val="19"/>
        </w:rPr>
        <w:t xml:space="preserve">  (pág. 34)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Fazer a carga dos arquivos no AGI (Detraf e Contestação) e atualizar o campo carga_agi</w:t>
      </w:r>
      <w:r>
        <w:rPr>
          <w:i/>
          <w:iCs/>
          <w:color w:val="6B7280"/>
          <w:sz w:val="19"/>
          <w:szCs w:val="19"/>
        </w:rPr>
        <w:t xml:space="preserve">  (pág. 34 e 38, item 4.3.7.3)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Atualizar o Encontro de Contas (minutos_operadora, vb_operadora, minutos_diferenca, vb_diferenca, minutos_variacao_perc, vb_variacao_perc) e gerar o Relatório de Receitas e Despesas</w:t>
      </w:r>
      <w:r>
        <w:rPr>
          <w:i/>
          <w:iCs/>
          <w:color w:val="6B7280"/>
          <w:sz w:val="19"/>
          <w:szCs w:val="19"/>
        </w:rPr>
        <w:t xml:space="preserve">  (pág. 38, item 4.3.7.4)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Entrega / saída:</w:t>
      </w:r>
    </w:p>
    <w:p>
      <w:pPr>
        <w:spacing w:after="100"/>
      </w:pPr>
      <w:r>
        <w:rPr>
          <w:sz w:val="21"/>
          <w:szCs w:val="21"/>
        </w:rPr>
        <w:t xml:space="preserve">Carta e e-mail de contestação enviados à operadora, arquivos carregados no AGI, Encontro de Contas e relatório de Receitas e Despesas atualizados; tbl_rpa_log_detraf_despesa_contestacao atualizada com tipo_contestacao e carga_agi.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Por que foi separado:</w:t>
      </w:r>
    </w:p>
    <w:p>
      <w:pPr>
        <w:spacing w:after="200"/>
      </w:pPr>
      <w:r>
        <w:rPr>
          <w:sz w:val="21"/>
          <w:szCs w:val="21"/>
        </w:rPr>
        <w:t xml:space="preserve">É um fluxo sequencial e coeso — todos os passos dependem diretamente da decisão do analista e seguem em cadeia (gerar carta → enviar e-mail → montar arquivo AGI → carregar → atualizar EC). Não há mudança de gatilho no meio desse trecho, então mantê-lo em um único robô reduz a complexidade de orquestração sem perder robustez. Caso a carga no AGI se mostre historicamente instável, vale considerar isolá-la em uma etapa própria dentro do mesmo RPA, para permitir reprocessamento sem repetir o envio da carta.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RPA 4 — Retificação de Contestação</w:t>
      </w:r>
    </w:p>
    <w:p>
      <w:pPr>
        <w:spacing w:after="120"/>
      </w:pPr>
      <w:r>
        <w:rPr>
          <w:i/>
          <w:iCs/>
          <w:color w:val="555555"/>
          <w:sz w:val="21"/>
          <w:szCs w:val="21"/>
        </w:rPr>
        <w:t xml:space="preserve">Correção de contestações lançadas em meses anteriores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Gatilho: </w:t>
      </w:r>
    </w:p>
    <w:p>
      <w:pPr>
        <w:spacing w:after="100"/>
      </w:pPr>
      <w:r>
        <w:rPr>
          <w:sz w:val="21"/>
          <w:szCs w:val="21"/>
        </w:rPr>
        <w:t xml:space="preserve">Condição de negócio assíncrona: identificação de que um tráfego contestado foi recuperado no mês seguinte (não segue o calendário mensal padrão do restante do processo).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Responsabilidades: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Identificar tráfego contestado que foi recuperado pela Vivo no mês seguinte</w:t>
      </w:r>
      <w:r>
        <w:rPr>
          <w:i/>
          <w:iCs/>
          <w:color w:val="6B7280"/>
          <w:sz w:val="19"/>
          <w:szCs w:val="19"/>
        </w:rPr>
        <w:t xml:space="preserve">  (pág. 42, item 4.3.7.6.1)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Entrar no AGI em Contestação &gt;&gt; Gerenciar e filtrar pela contestação já inserida (período e empresa)</w:t>
      </w:r>
      <w:r>
        <w:rPr>
          <w:i/>
          <w:iCs/>
          <w:color w:val="6B7280"/>
          <w:sz w:val="19"/>
          <w:szCs w:val="19"/>
        </w:rPr>
        <w:t xml:space="preserve">  (pág. 42, itens 4.3.7.6.2–4.3.7.6.3)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Registrar o evento "Recuperação" com os valores de diferença entre Detraf Vivo e Detraf da operadora</w:t>
      </w:r>
      <w:r>
        <w:rPr>
          <w:i/>
          <w:iCs/>
          <w:color w:val="6B7280"/>
          <w:sz w:val="19"/>
          <w:szCs w:val="19"/>
        </w:rPr>
        <w:t xml:space="preserve">  (pág. 42 em diante)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Entrega / saída:</w:t>
      </w:r>
    </w:p>
    <w:p>
      <w:pPr>
        <w:spacing w:after="100"/>
      </w:pPr>
      <w:r>
        <w:rPr>
          <w:sz w:val="21"/>
          <w:szCs w:val="21"/>
        </w:rPr>
        <w:t xml:space="preserve">Contestação retificada no AGI (evento "Recuperação"), com os campos Duração, Valor Líquido, Valor PIS/Cofins e Valor Bruto Negociado preenchidos.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Por que foi separado:</w:t>
      </w:r>
    </w:p>
    <w:p>
      <w:pPr>
        <w:spacing w:after="200"/>
      </w:pPr>
      <w:r>
        <w:rPr>
          <w:sz w:val="21"/>
          <w:szCs w:val="21"/>
        </w:rPr>
        <w:t xml:space="preserve">Esse processo não roda todo mês nem segue o mesmo gatilho do fluxo principal — ele só existe "no momento que o robô identificar que um tráfego contestado foi recuperado no mês seguinte" (pág. 42). Manter essa lógica condicional dentro do RPA 3 tornaria aquele robô mais complexo de manter, com um desvio de fluxo que só se aplica a um subconjunto de casos. Separar em um RPA próprio mantém o RPA 3 simples e linear, e permite que a retificação rode de forma independente sempre que a condição de recuperação for detectada.</w:t>
      </w:r>
    </w:p>
    <w:p>
      <w:pPr>
        <w:pStyle w:val="Heading1"/>
        <w:spacing w:after="150" w:before="300"/>
      </w:pPr>
      <w:r>
        <w:rPr>
          <w:b/>
          <w:bCs/>
          <w:color w:val="2E5395"/>
          <w:sz w:val="28"/>
          <w:szCs w:val="28"/>
        </w:rPr>
        <w:t xml:space="preserve">4. Observações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documentação V2 ainda deixa em aberto a definição da data de corte e do gatilho de batimento com a operadora (pág. 3 e pág. 9, itens 2.4–2.5) — esses pontos devem ser confirmados com a área cliente antes da implementação do RPA 1.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 item 2.13 (pág. 10) registra que "o robô irá atuar com a memória da máquina local" e que o Webfat oferece ao analista a opção de transferir o arquivo para o Lagoa — esse comportamento afeta principalmente o RPA 1 e o RPA 3, e deve ser considerado no desenho técnico de ambos.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Essa divisão em 4 RPAs está alinhada com o que a própria documentação V2 antecipa ("entre 3 e 4 RPA's", pág. 3) — os 3 primeiros cobrem o fluxo linear do processo e o quarto isola a exceção de retificação.</w:t>
      </w:r>
      <w:r>
        <w:t xml:space="preserve"/>
      </w:r>
    </w:p>
    <w:p>
      <w:pPr>
        <w:pBdr>
          <w:top w:val="single" w:color="CCCCCC" w:sz="4" w:space="6"/>
        </w:pBdr>
        <w:spacing w:before="300"/>
      </w:pPr>
      <w:r>
        <w:rPr>
          <w:i/>
          <w:iCs/>
          <w:color w:val="888888"/>
          <w:sz w:val="16"/>
          <w:szCs w:val="16"/>
        </w:rPr>
        <w:t xml:space="preserve">Elaborado a partir da documentação V2 (Btime / Detraf MVP2). Numeração de itens e páginas referem-se à versão convertida em PDF a partir do arquivo original.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2026-07-30T17:03:07.947Z</dcterms:created>
  <dcterms:modified xsi:type="dcterms:W3CDTF">2026-07-30T17:03:07.957Z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