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bCs/>
          <w:color w:val="2E5395"/>
          <w:sz w:val="32"/>
          <w:szCs w:val="32"/>
        </w:rPr>
        <w:t>Detraf MVP2 — Contestação de Despesa</w:t>
      </w:r>
    </w:p>
    <w:p>
      <w:pPr>
        <w:pStyle w:val="Normal"/>
        <w:spacing w:before="0" w:after="60"/>
        <w:rPr/>
      </w:pPr>
      <w:r>
        <w:rPr>
          <w:color w:val="444444"/>
          <w:sz w:val="24"/>
          <w:szCs w:val="24"/>
        </w:rPr>
        <w:t>Relatório de Separação da Automação em RPAs</w:t>
      </w:r>
    </w:p>
    <w:p>
      <w:pPr>
        <w:pStyle w:val="Heading1"/>
        <w:spacing w:before="320" w:after="160"/>
        <w:rPr/>
      </w:pPr>
      <w:r>
        <w:rPr>
          <w:b/>
          <w:bCs/>
          <w:color w:val="2E5395"/>
          <w:sz w:val="30"/>
          <w:szCs w:val="30"/>
        </w:rPr>
        <w:t>1. Objetivo</w:t>
      </w:r>
    </w:p>
    <w:p>
      <w:pPr>
        <w:pStyle w:val="Normal"/>
        <w:spacing w:before="0" w:after="160"/>
        <w:rPr/>
      </w:pPr>
      <w:r>
        <w:rPr>
          <w:i w:val="false"/>
          <w:iCs w:val="false"/>
          <w:sz w:val="21"/>
          <w:szCs w:val="21"/>
        </w:rPr>
        <w:t xml:space="preserve">A documentação V2 (pág. 3, item 1 — Produto do Projeto) indica que “a automação será composta entre </w:t>
      </w:r>
      <w:r>
        <w:rPr>
          <w:i w:val="false"/>
          <w:iCs w:val="false"/>
          <w:sz w:val="21"/>
          <w:szCs w:val="21"/>
        </w:rPr>
        <w:t>4</w:t>
      </w:r>
      <w:r>
        <w:rPr>
          <w:i w:val="false"/>
          <w:iCs w:val="false"/>
          <w:sz w:val="21"/>
          <w:szCs w:val="21"/>
        </w:rPr>
        <w:t xml:space="preserve"> RPA's para atender as necessidades do processo do início ao fim”. Após alinhamento com a área cliente (Luciana), este relatório atualiza a proposta de separação, com a responsabilidade de cada robô descrita em linguagem simples e a justificativa de cada corte.</w:t>
      </w:r>
    </w:p>
    <w:p>
      <w:pPr>
        <w:pStyle w:val="Normal"/>
        <w:spacing w:before="0" w:after="160"/>
        <w:rPr/>
      </w:pPr>
      <w:r>
        <w:rPr>
          <w:i w:val="false"/>
          <w:iCs w:val="false"/>
          <w:sz w:val="21"/>
          <w:szCs w:val="21"/>
        </w:rPr>
        <w:t>Em resumo do processo: todo mês a Vivo troca contas com outras operadoras de telefonia — cada uma cobra da outra pelas chamadas que passaram pela sua rede. Os arquivos de cobrança recebidos se chamam Detraf. Quatro robôs cuidam desse fluxo, mas apenas três entram neste MVP — o quarto foi adiado (ver seção 3.4).</w:t>
      </w:r>
    </w:p>
    <w:p>
      <w:pPr>
        <w:pStyle w:val="Heading1"/>
        <w:spacing w:before="320" w:after="160"/>
        <w:rPr/>
      </w:pPr>
      <w:r>
        <w:rPr>
          <w:b/>
          <w:bCs/>
          <w:color w:val="2E5395"/>
          <w:sz w:val="30"/>
          <w:szCs w:val="30"/>
        </w:rPr>
        <w:t>2. Visão geral</w:t>
      </w:r>
    </w:p>
    <w:tbl>
      <w:tblPr>
        <w:tblW w:w="5000" w:type="pct"/>
        <w:jc w:val="start"/>
        <w:tblInd w:w="0" w:type="dxa"/>
        <w:tblLayout w:type="fixed"/>
        <w:tblCellMar>
          <w:top w:w="100" w:type="dxa"/>
          <w:start w:w="120" w:type="dxa"/>
          <w:bottom w:w="100" w:type="dxa"/>
          <w:end w:w="120" w:type="dxa"/>
        </w:tblCellMar>
      </w:tblPr>
      <w:tblGrid>
        <w:gridCol w:w="2569"/>
        <w:gridCol w:w="3261"/>
        <w:gridCol w:w="4210"/>
      </w:tblGrid>
      <w:tr>
        <w:trPr>
          <w:tblHeader w:val="true"/>
        </w:trPr>
        <w:tc>
          <w:tcPr>
            <w:tcW w:w="2569" w:type="dxa"/>
            <w:tcBorders>
              <w:top w:val="single" w:sz="4" w:space="0" w:color="000000"/>
              <w:start w:val="single" w:sz="4" w:space="0" w:color="000000"/>
              <w:bottom w:val="single" w:sz="4" w:space="0" w:color="000000"/>
              <w:end w:val="single" w:sz="4" w:space="0" w:color="000000"/>
            </w:tcBorders>
            <w:shd w:fill="2E5395" w:val="clear"/>
          </w:tcPr>
          <w:p>
            <w:pPr>
              <w:pStyle w:val="Normal"/>
              <w:rPr/>
            </w:pPr>
            <w:r>
              <w:rPr>
                <w:b/>
                <w:bCs/>
                <w:color w:val="FFFFFF"/>
                <w:sz w:val="20"/>
                <w:szCs w:val="20"/>
              </w:rPr>
              <w:t>RPA</w:t>
            </w:r>
          </w:p>
        </w:tc>
        <w:tc>
          <w:tcPr>
            <w:tcW w:w="3261" w:type="dxa"/>
            <w:tcBorders>
              <w:top w:val="single" w:sz="4" w:space="0" w:color="000000"/>
              <w:start w:val="single" w:sz="4" w:space="0" w:color="000000"/>
              <w:bottom w:val="single" w:sz="4" w:space="0" w:color="000000"/>
              <w:end w:val="single" w:sz="4" w:space="0" w:color="000000"/>
            </w:tcBorders>
            <w:shd w:fill="2E5395" w:val="clear"/>
          </w:tcPr>
          <w:p>
            <w:pPr>
              <w:pStyle w:val="Normal"/>
              <w:rPr/>
            </w:pPr>
            <w:r>
              <w:rPr>
                <w:b/>
                <w:bCs/>
                <w:color w:val="FFFFFF"/>
                <w:sz w:val="20"/>
                <w:szCs w:val="20"/>
              </w:rPr>
              <w:t>Gatilho de execução</w:t>
            </w:r>
          </w:p>
        </w:tc>
        <w:tc>
          <w:tcPr>
            <w:tcW w:w="4210" w:type="dxa"/>
            <w:tcBorders>
              <w:top w:val="single" w:sz="4" w:space="0" w:color="000000"/>
              <w:start w:val="single" w:sz="4" w:space="0" w:color="000000"/>
              <w:bottom w:val="single" w:sz="4" w:space="0" w:color="000000"/>
              <w:end w:val="single" w:sz="4" w:space="0" w:color="000000"/>
            </w:tcBorders>
            <w:shd w:fill="2E5395" w:val="clear"/>
          </w:tcPr>
          <w:p>
            <w:pPr>
              <w:pStyle w:val="Normal"/>
              <w:rPr/>
            </w:pPr>
            <w:r>
              <w:rPr>
                <w:b/>
                <w:bCs/>
                <w:color w:val="FFFFFF"/>
                <w:sz w:val="20"/>
                <w:szCs w:val="20"/>
              </w:rPr>
              <w:t>Responsabilidade principal</w:t>
            </w:r>
          </w:p>
        </w:tc>
      </w:tr>
      <w:tr>
        <w:trPr/>
        <w:tc>
          <w:tcPr>
            <w:tcW w:w="25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RPA 1 — Recepção e Validação</w:t>
            </w:r>
          </w:p>
        </w:tc>
        <w:tc>
          <w:tcPr>
            <w:tcW w:w="326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Evento (chegada de e-mail), contínuo até a data de corte</w:t>
            </w:r>
          </w:p>
        </w:tc>
        <w:tc>
          <w:tcPr>
            <w:tcW w:w="421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 xml:space="preserve">Ler e-mails das operadoras, validar o conteúdo do arquivo (colunas, valores, mês), </w:t>
            </w:r>
            <w:r>
              <w:rPr>
                <w:b w:val="false"/>
                <w:bCs w:val="false"/>
                <w:color w:val="222222"/>
                <w:sz w:val="20"/>
                <w:szCs w:val="20"/>
              </w:rPr>
              <w:t>em caso d arquivos inválidos</w:t>
            </w:r>
            <w:r>
              <w:rPr>
                <w:b w:val="false"/>
                <w:bCs w:val="false"/>
                <w:color w:val="222222"/>
                <w:sz w:val="20"/>
                <w:szCs w:val="20"/>
              </w:rPr>
              <w:t xml:space="preserve"> responder à operadora com o motivo</w:t>
            </w:r>
          </w:p>
        </w:tc>
      </w:tr>
      <w:tr>
        <w:trPr/>
        <w:tc>
          <w:tcPr>
            <w:tcW w:w="25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RPA 2 — Comparação e Apontamento</w:t>
            </w:r>
          </w:p>
        </w:tc>
        <w:tc>
          <w:tcPr>
            <w:tcW w:w="326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Lote, disparado após a data de corte</w:t>
            </w:r>
          </w:p>
        </w:tc>
        <w:tc>
          <w:tcPr>
            <w:tcW w:w="421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Comparar o Detraf da operadora com a expectativa calculada pela Vivo (ICT) e apontar divergências acima de 1% — sem decidir nada, apenas sinaliza para o analista no Webfat</w:t>
            </w:r>
          </w:p>
        </w:tc>
      </w:tr>
      <w:tr>
        <w:trPr/>
        <w:tc>
          <w:tcPr>
            <w:tcW w:w="25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RPA 3 — Formalização da Contestação</w:t>
            </w:r>
          </w:p>
        </w:tc>
        <w:tc>
          <w:tcPr>
            <w:tcW w:w="326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Decisão do analista no Webfat (contestar, com ou sem retenção)</w:t>
            </w:r>
          </w:p>
        </w:tc>
        <w:tc>
          <w:tcPr>
            <w:tcW w:w="421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Gerar os arquivos de divergência, redigir e numerar a carta de contestação, enviar à operadora, carregar no AGI e atualizar o Encontro de Contas</w:t>
            </w:r>
          </w:p>
        </w:tc>
      </w:tr>
      <w:tr>
        <w:trPr/>
        <w:tc>
          <w:tcPr>
            <w:tcW w:w="2569"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RPA 4 — Retificação de Contestação (NÃO CONSTRUÍDO NESTE MVP)</w:t>
            </w:r>
          </w:p>
        </w:tc>
        <w:tc>
          <w:tcPr>
            <w:tcW w:w="3261"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R</w:t>
            </w:r>
            <w:r>
              <w:rPr>
                <w:b w:val="false"/>
                <w:bCs w:val="false"/>
                <w:color w:val="222222"/>
                <w:sz w:val="20"/>
                <w:szCs w:val="20"/>
              </w:rPr>
              <w:t>ecuperação de tráfego identificada no mês seguinte</w:t>
            </w:r>
          </w:p>
        </w:tc>
        <w:tc>
          <w:tcPr>
            <w:tcW w:w="421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color w:val="222222"/>
                <w:sz w:val="20"/>
                <w:szCs w:val="20"/>
              </w:rPr>
              <w:t>Localizar a contestação já lançada no AGI e registrar o evento de recuperação</w:t>
            </w:r>
          </w:p>
        </w:tc>
      </w:tr>
    </w:tbl>
    <w:p>
      <w:pPr>
        <w:pStyle w:val="Normal"/>
        <w:spacing w:before="0" w:after="200"/>
        <w:rPr/>
      </w:pPr>
      <w:r>
        <w:rPr/>
      </w:r>
    </w:p>
    <w:p>
      <w:pPr>
        <w:pStyle w:val="Heading1"/>
        <w:spacing w:before="320" w:after="160"/>
        <w:rPr/>
      </w:pPr>
      <w:r>
        <w:rPr>
          <w:b/>
          <w:bCs/>
          <w:color w:val="2E5395"/>
          <w:sz w:val="30"/>
          <w:szCs w:val="30"/>
        </w:rPr>
        <w:t>3. Detalhamento por RPA</w:t>
      </w:r>
    </w:p>
    <w:p>
      <w:pPr>
        <w:pStyle w:val="Heading2"/>
        <w:spacing w:before="280" w:after="120"/>
        <w:rPr/>
      </w:pPr>
      <w:r>
        <w:rPr>
          <w:b/>
          <w:bCs/>
          <w:color w:val="2E5395"/>
          <w:sz w:val="24"/>
          <w:szCs w:val="24"/>
        </w:rPr>
        <w:t>3.1 RPA 1 — Recepção e Validação</w:t>
      </w:r>
    </w:p>
    <w:p>
      <w:pPr>
        <w:pStyle w:val="Normal"/>
        <w:spacing w:before="0" w:after="120"/>
        <w:rPr/>
      </w:pPr>
      <w:r>
        <w:rPr>
          <w:i/>
          <w:iCs/>
          <w:color w:val="555555"/>
          <w:sz w:val="21"/>
          <w:szCs w:val="21"/>
        </w:rPr>
        <w:t>O porteiro: nada entra no processo sem passar por ele</w:t>
      </w:r>
    </w:p>
    <w:p>
      <w:pPr>
        <w:pStyle w:val="Normal"/>
        <w:spacing w:before="0" w:after="80"/>
        <w:rPr/>
      </w:pPr>
      <w:r>
        <w:rPr>
          <w:b/>
          <w:bCs/>
          <w:sz w:val="21"/>
          <w:szCs w:val="21"/>
        </w:rPr>
        <w:t>Gatilho:</w:t>
      </w:r>
    </w:p>
    <w:p>
      <w:pPr>
        <w:pStyle w:val="Normal"/>
        <w:spacing w:before="0" w:after="160"/>
        <w:rPr/>
      </w:pPr>
      <w:r>
        <w:rPr>
          <w:i w:val="false"/>
          <w:iCs w:val="false"/>
          <w:sz w:val="21"/>
          <w:szCs w:val="21"/>
        </w:rPr>
        <w:t>Chegada de e-mail na caixa da operadora, dentro da janela de tempo definida até a data de corte do mês.</w:t>
      </w:r>
    </w:p>
    <w:p>
      <w:pPr>
        <w:pStyle w:val="Normal"/>
        <w:spacing w:before="0" w:after="80"/>
        <w:rPr/>
      </w:pPr>
      <w:r>
        <w:rPr>
          <w:b/>
          <w:bCs/>
          <w:sz w:val="21"/>
          <w:szCs w:val="21"/>
        </w:rPr>
        <w:t>Responsabilidades:</w:t>
      </w:r>
    </w:p>
    <w:p>
      <w:pPr>
        <w:pStyle w:val="ListParagraph"/>
        <w:numPr>
          <w:ilvl w:val="0"/>
          <w:numId w:val="3"/>
        </w:numPr>
        <w:spacing w:before="0" w:after="60"/>
        <w:rPr/>
      </w:pPr>
      <w:r>
        <w:rPr>
          <w:sz w:val="21"/>
          <w:szCs w:val="21"/>
        </w:rPr>
        <w:t>Ler os e-mails do mês de referência que não contenham a palavra "CONTESTAÇÃO" e baixar apenas os arquivos csv/excel anexados</w:t>
      </w:r>
      <w:r>
        <w:rPr>
          <w:i/>
          <w:iCs/>
          <w:color w:val="6B7280"/>
          <w:sz w:val="19"/>
          <w:szCs w:val="19"/>
        </w:rPr>
        <w:t xml:space="preserve">  (pág. 13, itens 4.1.1–4.1.3)</w:t>
      </w:r>
    </w:p>
    <w:p>
      <w:pPr>
        <w:pStyle w:val="ListParagraph"/>
        <w:numPr>
          <w:ilvl w:val="0"/>
          <w:numId w:val="1"/>
        </w:numPr>
        <w:spacing w:before="0" w:after="60"/>
        <w:rPr/>
      </w:pPr>
      <w:r>
        <w:rPr>
          <w:sz w:val="21"/>
          <w:szCs w:val="21"/>
        </w:rPr>
        <w:t>Validar o conteúdo do arquivo: colunas esperadas, valores dentro do formato/faixa esperada e referência ao mês correto</w:t>
      </w:r>
      <w:r>
        <w:rPr>
          <w:i/>
          <w:iCs/>
          <w:color w:val="6B7280"/>
          <w:sz w:val="19"/>
          <w:szCs w:val="19"/>
        </w:rPr>
        <w:t xml:space="preserve">  (regras do item 2 — Regras de Negócio da V2)</w:t>
      </w:r>
    </w:p>
    <w:p>
      <w:pPr>
        <w:pStyle w:val="ListParagraph"/>
        <w:numPr>
          <w:ilvl w:val="0"/>
          <w:numId w:val="1"/>
        </w:numPr>
        <w:spacing w:before="0" w:after="60"/>
        <w:rPr/>
      </w:pPr>
      <w:r>
        <w:rPr>
          <w:sz w:val="21"/>
          <w:szCs w:val="21"/>
        </w:rPr>
        <w:t>Identificar o nome da operadora pela EOT da credora (Anexo 5)</w:t>
      </w:r>
      <w:r>
        <w:rPr>
          <w:i/>
          <w:iCs/>
          <w:color w:val="6B7280"/>
          <w:sz w:val="19"/>
          <w:szCs w:val="19"/>
        </w:rPr>
        <w:t xml:space="preserve">  (pág. 13, item 4.1.6)</w:t>
      </w:r>
    </w:p>
    <w:p>
      <w:pPr>
        <w:pStyle w:val="ListParagraph"/>
        <w:numPr>
          <w:ilvl w:val="0"/>
          <w:numId w:val="1"/>
        </w:numPr>
        <w:spacing w:before="0" w:after="60"/>
        <w:rPr/>
      </w:pPr>
      <w:r>
        <w:rPr>
          <w:sz w:val="21"/>
          <w:szCs w:val="21"/>
        </w:rPr>
        <w:t>Se o arquivo for válido: organizar em "Detraf Despesas" no Outlook, salvar na pasta de rede da operadora/mês e no servidor do Webfat, e gravar o registro com status "validado" na tbl_rpa_log_detraf_despesa_arquivos</w:t>
      </w:r>
      <w:r>
        <w:rPr>
          <w:i/>
          <w:iCs/>
          <w:color w:val="6B7280"/>
          <w:sz w:val="19"/>
          <w:szCs w:val="19"/>
        </w:rPr>
        <w:t xml:space="preserve">  (pág. 13, itens 4.1.4–4.1.5)</w:t>
      </w:r>
    </w:p>
    <w:p>
      <w:pPr>
        <w:pStyle w:val="ListParagraph"/>
        <w:numPr>
          <w:ilvl w:val="0"/>
          <w:numId w:val="1"/>
        </w:numPr>
        <w:spacing w:before="0" w:after="60"/>
        <w:rPr/>
      </w:pPr>
      <w:r>
        <w:rPr>
          <w:sz w:val="21"/>
          <w:szCs w:val="21"/>
        </w:rPr>
        <w:t>Se o arquivo for inválido: não salvar na pasta definitiva — mover para uma pasta de quarentena, sinalizar "não validado" no Webfat com o motivo, e responder no mesmo e-mail da operadora explicando o que está errado e pedindo reenvio</w:t>
      </w:r>
    </w:p>
    <w:p>
      <w:pPr>
        <w:pStyle w:val="Normal"/>
        <w:spacing w:before="0" w:after="80"/>
        <w:rPr/>
      </w:pPr>
      <w:r>
        <w:rPr>
          <w:b/>
          <w:bCs/>
          <w:sz w:val="21"/>
          <w:szCs w:val="21"/>
        </w:rPr>
        <w:t>Entrega / saída:</w:t>
      </w:r>
    </w:p>
    <w:p>
      <w:pPr>
        <w:pStyle w:val="Normal"/>
        <w:spacing w:before="0" w:after="160"/>
        <w:rPr/>
      </w:pPr>
      <w:r>
        <w:rPr>
          <w:i w:val="false"/>
          <w:iCs w:val="false"/>
          <w:sz w:val="21"/>
          <w:szCs w:val="21"/>
        </w:rPr>
        <w:t>Arquivos validados na pasta de rede e no servidor do Webfat, prontos para o RPA 2. Arquivos inválidos ficam retidos em quarentena, aguardando reenvio corrigido da operadora — nada segue para a etapa seguinte sem ter passado pela validação.</w:t>
      </w:r>
    </w:p>
    <w:p>
      <w:pPr>
        <w:pStyle w:val="Normal"/>
        <w:spacing w:before="0" w:after="80"/>
        <w:rPr/>
      </w:pPr>
      <w:r>
        <w:rPr>
          <w:b/>
          <w:bCs/>
          <w:sz w:val="21"/>
          <w:szCs w:val="21"/>
        </w:rPr>
        <w:t>Por que foi separado:</w:t>
      </w:r>
    </w:p>
    <w:p>
      <w:pPr>
        <w:pStyle w:val="Normal"/>
        <w:spacing w:before="0" w:after="160"/>
        <w:rPr/>
      </w:pPr>
      <w:r>
        <w:rPr>
          <w:i w:val="false"/>
          <w:iCs w:val="false"/>
          <w:sz w:val="21"/>
          <w:szCs w:val="21"/>
        </w:rPr>
        <w:t>É o "porteiro" do processo: reage a um gatilho de evento (e-mail chegando), roda continuamente até a data de corte, e é o único robô que decide sozinho, sem intervenção humana, se um arquivo entra ou não no fluxo. Validar e devolver o e-mail já na chegada — em vez de esperar o processamento em lote do RPA 2 — dá tempo real para a operadora corrigir e reenviar antes do corte. Colocar esse comportamento de espera/validação por evento no mesmo robô que processa em lote faria o RPA 2 ficar bloqueado esperando e-mail, ou rodar de forma incompleta.</w:t>
      </w:r>
    </w:p>
    <w:p>
      <w:pPr>
        <w:pStyle w:val="Heading2"/>
        <w:spacing w:before="280" w:after="120"/>
        <w:rPr/>
      </w:pPr>
      <w:r>
        <w:rPr>
          <w:b/>
          <w:bCs/>
          <w:color w:val="2E5395"/>
          <w:sz w:val="24"/>
          <w:szCs w:val="24"/>
        </w:rPr>
        <w:t>3.2 RPA 2 — Comparação e Apontamento de Divergências</w:t>
      </w:r>
    </w:p>
    <w:p>
      <w:pPr>
        <w:pStyle w:val="Normal"/>
        <w:spacing w:before="0" w:after="120"/>
        <w:rPr/>
      </w:pPr>
      <w:r>
        <w:rPr>
          <w:i/>
          <w:iCs/>
          <w:color w:val="555555"/>
          <w:sz w:val="21"/>
          <w:szCs w:val="21"/>
        </w:rPr>
        <w:t>Confere se a conta bate — e para exatamente no ponto de decisão humana</w:t>
      </w:r>
    </w:p>
    <w:p>
      <w:pPr>
        <w:pStyle w:val="Normal"/>
        <w:spacing w:before="0" w:after="80"/>
        <w:rPr/>
      </w:pPr>
      <w:r>
        <w:rPr>
          <w:b/>
          <w:bCs/>
          <w:sz w:val="21"/>
          <w:szCs w:val="21"/>
        </w:rPr>
        <w:t>Gatilho:</w:t>
      </w:r>
    </w:p>
    <w:p>
      <w:pPr>
        <w:pStyle w:val="Normal"/>
        <w:spacing w:before="0" w:after="160"/>
        <w:rPr/>
      </w:pPr>
      <w:r>
        <w:rPr>
          <w:i w:val="false"/>
          <w:iCs w:val="false"/>
          <w:sz w:val="21"/>
          <w:szCs w:val="21"/>
        </w:rPr>
        <w:t>Execução em lote, disparada após a data de corte (todos os arquivos do mês já validados pelo RPA 1).</w:t>
      </w:r>
    </w:p>
    <w:p>
      <w:pPr>
        <w:pStyle w:val="Normal"/>
        <w:spacing w:before="0" w:after="80"/>
        <w:rPr/>
      </w:pPr>
      <w:r>
        <w:rPr>
          <w:b/>
          <w:bCs/>
          <w:sz w:val="21"/>
          <w:szCs w:val="21"/>
        </w:rPr>
        <w:t>Responsabilidades:</w:t>
      </w:r>
    </w:p>
    <w:p>
      <w:pPr>
        <w:pStyle w:val="ListParagraph"/>
        <w:numPr>
          <w:ilvl w:val="0"/>
          <w:numId w:val="1"/>
        </w:numPr>
        <w:spacing w:before="0" w:after="60"/>
        <w:rPr/>
      </w:pPr>
      <w:r>
        <w:rPr>
          <w:sz w:val="21"/>
          <w:szCs w:val="21"/>
        </w:rPr>
        <w:t>Abrir os arquivos validados da pasta "Detraf Recebidos" e da pasta de arquivos convertidos, filtrando pelos que contêm "_D_" no nome</w:t>
      </w:r>
      <w:r>
        <w:rPr>
          <w:i/>
          <w:iCs/>
          <w:color w:val="6B7280"/>
          <w:sz w:val="19"/>
          <w:szCs w:val="19"/>
        </w:rPr>
        <w:t xml:space="preserve">  (pág. 15, item 4.3.1)</w:t>
      </w:r>
    </w:p>
    <w:p>
      <w:pPr>
        <w:pStyle w:val="ListParagraph"/>
        <w:numPr>
          <w:ilvl w:val="0"/>
          <w:numId w:val="1"/>
        </w:numPr>
        <w:spacing w:before="0" w:after="60"/>
        <w:rPr/>
      </w:pPr>
      <w:r>
        <w:rPr>
          <w:sz w:val="21"/>
          <w:szCs w:val="21"/>
        </w:rPr>
        <w:t>Validar o arquivo de expectativa gerado internamente pela Vivo (ICT/TI Vivo) e consolidar os dados na tabela com tipo_registro = "DETRAF" / "EXPECTATIVA"</w:t>
      </w:r>
      <w:r>
        <w:rPr>
          <w:i/>
          <w:iCs/>
          <w:color w:val="6B7280"/>
          <w:sz w:val="19"/>
          <w:szCs w:val="19"/>
        </w:rPr>
        <w:t xml:space="preserve">  (pág. 16-17, item 4.3.2)</w:t>
      </w:r>
    </w:p>
    <w:p>
      <w:pPr>
        <w:pStyle w:val="ListParagraph"/>
        <w:numPr>
          <w:ilvl w:val="0"/>
          <w:numId w:val="1"/>
        </w:numPr>
        <w:spacing w:before="0" w:after="60"/>
        <w:rPr/>
      </w:pPr>
      <w:r>
        <w:rPr>
          <w:sz w:val="21"/>
          <w:szCs w:val="21"/>
        </w:rPr>
        <w:t>Popular o Encontro de Contas com os valores totais apresentados pela operadora (minutos e valor bruto), por tipo de remuneração e EOT Vivo</w:t>
      </w:r>
      <w:r>
        <w:rPr>
          <w:i/>
          <w:iCs/>
          <w:color w:val="6B7280"/>
          <w:sz w:val="19"/>
          <w:szCs w:val="19"/>
        </w:rPr>
        <w:t xml:space="preserve">  (pág. 14, item 9)</w:t>
      </w:r>
    </w:p>
    <w:p>
      <w:pPr>
        <w:pStyle w:val="ListParagraph"/>
        <w:numPr>
          <w:ilvl w:val="0"/>
          <w:numId w:val="1"/>
        </w:numPr>
        <w:spacing w:before="0" w:after="60"/>
        <w:rPr/>
      </w:pPr>
      <w:r>
        <w:rPr>
          <w:sz w:val="21"/>
          <w:szCs w:val="21"/>
        </w:rPr>
        <w:t>Comparar o valor cobrado pela operadora com o valor calculado pela Vivo e aplicar a regra de variação de 1%: acima disso, marca "S" (divergência a analisar); abaixo, marca "N"</w:t>
      </w:r>
      <w:r>
        <w:rPr>
          <w:i/>
          <w:iCs/>
          <w:color w:val="6B7280"/>
          <w:sz w:val="19"/>
          <w:szCs w:val="19"/>
        </w:rPr>
        <w:t xml:space="preserve">  (pág. 9-10, item 2.10.1)</w:t>
      </w:r>
    </w:p>
    <w:p>
      <w:pPr>
        <w:pStyle w:val="ListParagraph"/>
        <w:numPr>
          <w:ilvl w:val="0"/>
          <w:numId w:val="1"/>
        </w:numPr>
        <w:spacing w:before="0" w:after="60"/>
        <w:rPr/>
      </w:pPr>
      <w:r>
        <w:rPr>
          <w:sz w:val="21"/>
          <w:szCs w:val="21"/>
        </w:rPr>
        <w:t>Montar a base de contestação e as tabelas dinâmicas de resumo por operadora, populando a tbl_rpa_log_detraf_despesa_contestacao, disponível para o analista no Webfat</w:t>
      </w:r>
      <w:r>
        <w:rPr>
          <w:i/>
          <w:iCs/>
          <w:color w:val="6B7280"/>
          <w:sz w:val="19"/>
          <w:szCs w:val="19"/>
        </w:rPr>
        <w:t xml:space="preserve">  (pág. 19, item 4.3.7.1.3)</w:t>
      </w:r>
    </w:p>
    <w:p>
      <w:pPr>
        <w:pStyle w:val="Normal"/>
        <w:spacing w:before="0" w:after="80"/>
        <w:rPr/>
      </w:pPr>
      <w:r>
        <w:rPr>
          <w:b/>
          <w:bCs/>
          <w:sz w:val="21"/>
          <w:szCs w:val="21"/>
        </w:rPr>
        <w:t>Entrega / saída:</w:t>
      </w:r>
    </w:p>
    <w:p>
      <w:pPr>
        <w:pStyle w:val="Normal"/>
        <w:spacing w:before="0" w:after="160"/>
        <w:rPr/>
      </w:pPr>
      <w:r>
        <w:rPr>
          <w:i w:val="false"/>
          <w:iCs w:val="false"/>
          <w:sz w:val="21"/>
          <w:szCs w:val="21"/>
        </w:rPr>
        <w:t>Tabelas do Webfat atualizadas com as divergências identificadas (S/N) e o Encontro de Contas populado com os totais — prontas para a análise do analista. O robô não decide se haverá contestação nem qual será o tipo (com ou sem retenção); ele só aponta onde os números não batem e para.</w:t>
      </w:r>
    </w:p>
    <w:p>
      <w:pPr>
        <w:pStyle w:val="Normal"/>
        <w:spacing w:before="0" w:after="80"/>
        <w:rPr/>
      </w:pPr>
      <w:r>
        <w:rPr>
          <w:b/>
          <w:bCs/>
          <w:sz w:val="21"/>
          <w:szCs w:val="21"/>
        </w:rPr>
        <w:t>Por que foi separado:</w:t>
      </w:r>
    </w:p>
    <w:p>
      <w:pPr>
        <w:pStyle w:val="Normal"/>
        <w:spacing w:before="0" w:after="160"/>
        <w:rPr/>
      </w:pPr>
      <w:r>
        <w:rPr>
          <w:i w:val="false"/>
          <w:iCs w:val="false"/>
          <w:sz w:val="21"/>
          <w:szCs w:val="21"/>
        </w:rPr>
        <w:t>Função de "medir e apontar", não de "agir". Processa em lote e termina exatamente no ponto em que uma pessoa precisa olhar o resultado e decidir — separar essa etapa evita misturar decisão humana com execução de ações irreversíveis (carta, e-mail, carga em sistema financeiro), que ficam isoladas no RPA 3.</w:t>
      </w:r>
    </w:p>
    <w:p>
      <w:pPr>
        <w:pStyle w:val="Heading2"/>
        <w:spacing w:before="280" w:after="120"/>
        <w:rPr/>
      </w:pPr>
      <w:r>
        <w:rPr>
          <w:b/>
          <w:bCs/>
          <w:color w:val="2E5395"/>
          <w:sz w:val="24"/>
          <w:szCs w:val="24"/>
        </w:rPr>
        <w:t>3.3 RPA 3 — Formalização da Contestação</w:t>
      </w:r>
    </w:p>
    <w:p>
      <w:pPr>
        <w:pStyle w:val="Normal"/>
        <w:spacing w:before="0" w:after="120"/>
        <w:rPr>
          <w:i/>
          <w:iCs/>
          <w:color w:val="555555"/>
          <w:sz w:val="21"/>
          <w:szCs w:val="21"/>
        </w:rPr>
      </w:pPr>
      <w:r>
        <w:rPr/>
      </w:r>
    </w:p>
    <w:p>
      <w:pPr>
        <w:pStyle w:val="Normal"/>
        <w:spacing w:before="0" w:after="80"/>
        <w:rPr/>
      </w:pPr>
      <w:r>
        <w:rPr>
          <w:b/>
          <w:bCs/>
          <w:sz w:val="21"/>
          <w:szCs w:val="21"/>
        </w:rPr>
        <w:t>Gatilho:</w:t>
      </w:r>
    </w:p>
    <w:p>
      <w:pPr>
        <w:pStyle w:val="Normal"/>
        <w:spacing w:before="0" w:after="160"/>
        <w:rPr/>
      </w:pPr>
      <w:r>
        <w:rPr>
          <w:i w:val="false"/>
          <w:iCs w:val="false"/>
          <w:sz w:val="21"/>
          <w:szCs w:val="21"/>
        </w:rPr>
        <w:t>Decisão do analista no Webfat: marcar que a operadora/remuneração será contestada, indicando também se será com ou sem retenção (essa escolha é sempre humana, feita após a análise do apontamento do RPA 2).</w:t>
      </w:r>
    </w:p>
    <w:p>
      <w:pPr>
        <w:pStyle w:val="Normal"/>
        <w:spacing w:before="0" w:after="80"/>
        <w:rPr/>
      </w:pPr>
      <w:r>
        <w:rPr>
          <w:b/>
          <w:bCs/>
          <w:sz w:val="21"/>
          <w:szCs w:val="21"/>
        </w:rPr>
        <w:t>Responsabilidades:</w:t>
      </w:r>
    </w:p>
    <w:p>
      <w:pPr>
        <w:pStyle w:val="ListParagraph"/>
        <w:numPr>
          <w:ilvl w:val="0"/>
          <w:numId w:val="1"/>
        </w:numPr>
        <w:spacing w:before="0" w:after="60"/>
        <w:rPr/>
      </w:pPr>
      <w:r>
        <w:rPr>
          <w:sz w:val="21"/>
          <w:szCs w:val="21"/>
        </w:rPr>
        <w:t>Ler a modalidade da contestação (referência ou tráfego) e o tipo (com ou sem retenção) definidos pelo analista</w:t>
      </w:r>
      <w:r>
        <w:rPr>
          <w:i/>
          <w:iCs/>
          <w:color w:val="6B7280"/>
          <w:sz w:val="19"/>
          <w:szCs w:val="19"/>
        </w:rPr>
        <w:t xml:space="preserve">  (pág. 23, itens 4.3.7.2.1–4.3.7.2.4)</w:t>
      </w:r>
    </w:p>
    <w:p>
      <w:pPr>
        <w:pStyle w:val="ListParagraph"/>
        <w:numPr>
          <w:ilvl w:val="0"/>
          <w:numId w:val="1"/>
        </w:numPr>
        <w:spacing w:before="0" w:after="60"/>
        <w:rPr/>
      </w:pPr>
      <w:r>
        <w:rPr>
          <w:sz w:val="21"/>
          <w:szCs w:val="21"/>
        </w:rPr>
        <w:t>Gerar o arquivo de tráfego da operadora e o arquivo interno de expectativa Vivo para carga no AGI</w:t>
      </w:r>
      <w:r>
        <w:rPr>
          <w:i/>
          <w:iCs/>
          <w:color w:val="6B7280"/>
          <w:sz w:val="19"/>
          <w:szCs w:val="19"/>
        </w:rPr>
        <w:t xml:space="preserve">  (pág. 24, item 4.3.7.2.7)</w:t>
      </w:r>
    </w:p>
    <w:p>
      <w:pPr>
        <w:pStyle w:val="ListParagraph"/>
        <w:numPr>
          <w:ilvl w:val="0"/>
          <w:numId w:val="1"/>
        </w:numPr>
        <w:spacing w:before="0" w:after="60"/>
        <w:rPr/>
      </w:pPr>
      <w:r>
        <w:rPr>
          <w:sz w:val="21"/>
          <w:szCs w:val="21"/>
        </w:rPr>
        <w:t>Redigir e numerar a carta oficial de contestação e o e-mail correspondente</w:t>
      </w:r>
      <w:r>
        <w:rPr>
          <w:i/>
          <w:iCs/>
          <w:color w:val="6B7280"/>
          <w:sz w:val="19"/>
          <w:szCs w:val="19"/>
        </w:rPr>
        <w:t xml:space="preserve">  (pág. 24 em diante)</w:t>
      </w:r>
    </w:p>
    <w:p>
      <w:pPr>
        <w:pStyle w:val="ListParagraph"/>
        <w:numPr>
          <w:ilvl w:val="0"/>
          <w:numId w:val="1"/>
        </w:numPr>
        <w:spacing w:before="0" w:after="60"/>
        <w:rPr/>
      </w:pPr>
      <w:r>
        <w:rPr>
          <w:sz w:val="21"/>
          <w:szCs w:val="21"/>
        </w:rPr>
        <w:t>Enviar a carta por e-mail para a operadora e atualizar o campo tipo_contestacao na tbl_rpa_log_detraf_despesa_contestacao</w:t>
      </w:r>
      <w:r>
        <w:rPr>
          <w:i/>
          <w:iCs/>
          <w:color w:val="6B7280"/>
          <w:sz w:val="19"/>
          <w:szCs w:val="19"/>
        </w:rPr>
        <w:t xml:space="preserve">  (pág. 34)</w:t>
      </w:r>
    </w:p>
    <w:p>
      <w:pPr>
        <w:pStyle w:val="ListParagraph"/>
        <w:numPr>
          <w:ilvl w:val="0"/>
          <w:numId w:val="1"/>
        </w:numPr>
        <w:spacing w:before="0" w:after="60"/>
        <w:rPr/>
      </w:pPr>
      <w:r>
        <w:rPr>
          <w:sz w:val="21"/>
          <w:szCs w:val="21"/>
        </w:rPr>
        <w:t>Carregar os arquivos no AGI (Detraf e Contestação) e atualizar o campo carga_agi com o status da carga</w:t>
      </w:r>
      <w:r>
        <w:rPr>
          <w:i/>
          <w:iCs/>
          <w:color w:val="6B7280"/>
          <w:sz w:val="19"/>
          <w:szCs w:val="19"/>
        </w:rPr>
        <w:t xml:space="preserve">  (pág. 34 e 38, item 4.3.7.3)</w:t>
      </w:r>
    </w:p>
    <w:p>
      <w:pPr>
        <w:pStyle w:val="ListParagraph"/>
        <w:numPr>
          <w:ilvl w:val="0"/>
          <w:numId w:val="1"/>
        </w:numPr>
        <w:spacing w:before="0" w:after="60"/>
        <w:rPr/>
      </w:pPr>
      <w:r>
        <w:rPr>
          <w:sz w:val="21"/>
          <w:szCs w:val="21"/>
        </w:rPr>
        <w:t>Atualizar o Encontro de Contas (minutos_operadora, vb_operadora, minutos_diferenca, vb_diferenca, minutos_variacao_perc, vb_variacao_perc) e gerar o Relatório de Receitas e Despesas</w:t>
      </w:r>
      <w:r>
        <w:rPr>
          <w:i/>
          <w:iCs/>
          <w:color w:val="6B7280"/>
          <w:sz w:val="19"/>
          <w:szCs w:val="19"/>
        </w:rPr>
        <w:t xml:space="preserve">  (pág. 38, item 4.3.7.4)</w:t>
      </w:r>
    </w:p>
    <w:p>
      <w:pPr>
        <w:pStyle w:val="Normal"/>
        <w:spacing w:before="0" w:after="80"/>
        <w:rPr/>
      </w:pPr>
      <w:r>
        <w:rPr>
          <w:b/>
          <w:bCs/>
          <w:sz w:val="21"/>
          <w:szCs w:val="21"/>
        </w:rPr>
        <w:t>Entrega / saída:</w:t>
      </w:r>
    </w:p>
    <w:p>
      <w:pPr>
        <w:pStyle w:val="Normal"/>
        <w:spacing w:before="0" w:after="160"/>
        <w:rPr/>
      </w:pPr>
      <w:r>
        <w:rPr>
          <w:i w:val="false"/>
          <w:iCs w:val="false"/>
          <w:sz w:val="21"/>
          <w:szCs w:val="21"/>
        </w:rPr>
        <w:t>Carta e e-mail de contestação enviados à operadora, arquivos carregados no AGI, Encontro de Contas e Relatório de Receitas e Despesas atualizados.</w:t>
      </w:r>
    </w:p>
    <w:p>
      <w:pPr>
        <w:pStyle w:val="Normal"/>
        <w:spacing w:before="0" w:after="80"/>
        <w:rPr/>
      </w:pPr>
      <w:r>
        <w:rPr>
          <w:b/>
          <w:bCs/>
          <w:sz w:val="21"/>
          <w:szCs w:val="21"/>
        </w:rPr>
        <w:t>Por que foi separado:</w:t>
      </w:r>
    </w:p>
    <w:p>
      <w:pPr>
        <w:pStyle w:val="Normal"/>
        <w:spacing w:before="0" w:after="160"/>
        <w:rPr/>
      </w:pPr>
      <w:r>
        <w:rPr>
          <w:i w:val="false"/>
          <w:iCs w:val="false"/>
          <w:sz w:val="21"/>
          <w:szCs w:val="21"/>
        </w:rPr>
        <w:t>É o robô mais complexo dos quatro — e o mais delicado, porque executa ações irreversíveis: uma carta enviada não volta, e a carga é feita em um sistema financeiro real (AGI). Mantê-lo isolado permite concentrar controles e validações extras exatamente aqui, sem pesar nos robôs anteriores, que lidam apenas com dados internos e ainda podem ser reprocessados sem consequência externa.</w:t>
      </w:r>
    </w:p>
    <w:p>
      <w:pPr>
        <w:pStyle w:val="Heading2"/>
        <w:spacing w:before="280" w:after="120"/>
        <w:rPr/>
      </w:pPr>
      <w:r>
        <w:rPr>
          <w:b/>
          <w:bCs/>
          <w:color w:val="2E5395"/>
          <w:sz w:val="24"/>
          <w:szCs w:val="24"/>
        </w:rPr>
        <w:t>3.4 RPA 4 — Retificação de Contestação</w:t>
      </w:r>
    </w:p>
    <w:p>
      <w:pPr>
        <w:pStyle w:val="Normal"/>
        <w:spacing w:before="0" w:after="120"/>
        <w:rPr/>
      </w:pPr>
      <w:r>
        <w:rPr>
          <w:i/>
          <w:iCs/>
          <w:color w:val="555555"/>
          <w:sz w:val="21"/>
          <w:szCs w:val="21"/>
        </w:rPr>
        <w:t>Corrige contestações antigas quando a cobrança aparece resolvida depois</w:t>
      </w:r>
    </w:p>
    <w:p>
      <w:pPr>
        <w:pStyle w:val="Normal"/>
        <w:spacing w:before="0" w:after="80"/>
        <w:rPr/>
      </w:pPr>
      <w:r>
        <w:rPr>
          <w:b/>
          <w:bCs/>
          <w:sz w:val="21"/>
          <w:szCs w:val="21"/>
        </w:rPr>
        <w:t>Gatilho (quando construído):</w:t>
      </w:r>
    </w:p>
    <w:p>
      <w:pPr>
        <w:pStyle w:val="Normal"/>
        <w:spacing w:before="0" w:after="160"/>
        <w:rPr/>
      </w:pPr>
      <w:r>
        <w:rPr>
          <w:i w:val="false"/>
          <w:iCs w:val="false"/>
          <w:sz w:val="21"/>
          <w:szCs w:val="21"/>
        </w:rPr>
        <w:t>Condição de negócio assíncrona: identificação de que um tráfego contestado foi recuperado pela Vivo no mês seguinte.</w:t>
      </w:r>
    </w:p>
    <w:p>
      <w:pPr>
        <w:pStyle w:val="Normal"/>
        <w:spacing w:before="0" w:after="80"/>
        <w:rPr/>
      </w:pPr>
      <w:r>
        <w:rPr>
          <w:b/>
          <w:bCs/>
          <w:sz w:val="21"/>
          <w:szCs w:val="21"/>
        </w:rPr>
        <w:t>Responsabilidades previstas:</w:t>
      </w:r>
    </w:p>
    <w:p>
      <w:pPr>
        <w:pStyle w:val="ListParagraph"/>
        <w:numPr>
          <w:ilvl w:val="0"/>
          <w:numId w:val="1"/>
        </w:numPr>
        <w:spacing w:before="0" w:after="60"/>
        <w:rPr/>
      </w:pPr>
      <w:r>
        <w:rPr>
          <w:sz w:val="21"/>
          <w:szCs w:val="21"/>
        </w:rPr>
        <w:t>Identificar tráfego contestado que foi recuperado no mês seguinte</w:t>
      </w:r>
      <w:r>
        <w:rPr>
          <w:i/>
          <w:iCs/>
          <w:color w:val="6B7280"/>
          <w:sz w:val="19"/>
          <w:szCs w:val="19"/>
        </w:rPr>
        <w:t xml:space="preserve">  (pág. 42, item 4.3.7.6.1)</w:t>
      </w:r>
    </w:p>
    <w:p>
      <w:pPr>
        <w:pStyle w:val="ListParagraph"/>
        <w:numPr>
          <w:ilvl w:val="0"/>
          <w:numId w:val="1"/>
        </w:numPr>
        <w:spacing w:before="0" w:after="60"/>
        <w:rPr/>
      </w:pPr>
      <w:r>
        <w:rPr>
          <w:sz w:val="21"/>
          <w:szCs w:val="21"/>
        </w:rPr>
        <w:t>Entrar no AGI em Contestação &gt;&gt; Gerenciar e filtrar pela contestação já lançada (período e empresa)</w:t>
      </w:r>
      <w:r>
        <w:rPr>
          <w:i/>
          <w:iCs/>
          <w:color w:val="6B7280"/>
          <w:sz w:val="19"/>
          <w:szCs w:val="19"/>
        </w:rPr>
        <w:t xml:space="preserve">  (pág. 42, itens 4.3.7.6.2–4.3.7.6.3)</w:t>
      </w:r>
    </w:p>
    <w:p>
      <w:pPr>
        <w:pStyle w:val="ListParagraph"/>
        <w:numPr>
          <w:ilvl w:val="0"/>
          <w:numId w:val="1"/>
        </w:numPr>
        <w:spacing w:before="0" w:after="60"/>
        <w:rPr/>
      </w:pPr>
      <w:r>
        <w:rPr>
          <w:sz w:val="21"/>
          <w:szCs w:val="21"/>
        </w:rPr>
        <w:t>Registrar o evento "Recuperação" com os valores de diferença entre o Detraf Vivo e o Detraf da operadora</w:t>
      </w:r>
      <w:r>
        <w:rPr>
          <w:i/>
          <w:iCs/>
          <w:color w:val="6B7280"/>
          <w:sz w:val="19"/>
          <w:szCs w:val="19"/>
        </w:rPr>
        <w:t xml:space="preserve">  (pág. 42 em diante)</w:t>
      </w:r>
    </w:p>
    <w:p>
      <w:pPr>
        <w:pStyle w:val="Normal"/>
        <w:spacing w:before="0" w:after="200"/>
        <w:rPr/>
      </w:pPr>
      <w:r>
        <w:rPr>
          <w:i w:val="false"/>
          <w:iCs w:val="false"/>
          <w:sz w:val="21"/>
          <w:szCs w:val="21"/>
        </w:rPr>
        <w:t>Entrega / saída prevista: contestação retificada no AGI (evento "Recuperação"), com os campos Duração, Valor Líquido, Valor PIS/Cofins e Valor Bruto Negociado preenchidos.</w:t>
      </w:r>
    </w:p>
    <w:sectPr>
      <w:type w:val="nextPage"/>
      <w:pgSz w:w="12240" w:h="15840"/>
      <w:pgMar w:left="1100" w:right="11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pt-B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LibreOffice/26.2.1.2$Windows_X86_64 LibreOffice_project/620$Build-2</Application>
  <AppVersion>15.0000</AppVersion>
  <Pages>3</Pages>
  <Words>1285</Words>
  <Characters>6693</Characters>
  <CharactersWithSpaces>7922</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2026-08-05T18:34:50Z</dcterms:created>
  <dc:creator>Un-named</dc:creator>
  <dc:description/>
  <dc:language>pt-BR</dc:language>
  <cp:lastModifiedBy/>
  <dcterms:modified xsi:type="dcterms:W3CDTF">2026-08-05T15:45:17Z</dcterms:modified>
  <cp:revision>5</cp:revision>
  <dc:subject/>
  <dc:title/>
</cp:coreProperties>
</file>