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2.9 (Apache licensed) using REFERENCE JAXB in Azul Systems, Inc. Java 11.0.11 on Mac OS X -->
    <w:p>
      <w:pPr>
        <w:pStyle w:val="Title"/>
      </w:pPr>
      <w:r>
        <w:rPr/>
        <w:t/>
      </w:r>
      <w:r>
        <w:rPr/>
        <w:t xml:space="preserve"/>
      </w:r>
      <w:r>
        <w:rPr/>
        <w:t xml:space="preserve">Table 1</w:t>
      </w:r>
    </w:p>
    <w:tbl>
      <w:tblPr>
        <w:tblStyle w:val="TableGrid-BR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 xml:space="preserve"/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 xml:space="preserve">Violations_eGARP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 xml:space="preserve">Violations_frac_eGARP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 xml:space="preserve">Violations_eWGARP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 xml:space="preserve">Violations_frac_eWGARP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 xml:space="preserve">Violations_eSARP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 xml:space="preserve">Violations_frac_eSARP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 xml:space="preserve">Violations_eWARP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 xml:space="preserve">Violations_frac_eWARP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 xml:space="preserve">Violations_eSGARP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 xml:space="preserve">Violations_frac_eSGARP</w:t>
            </w:r>
          </w:p>
        </w:tc>
      </w:tr>
      <w:tr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 xml:space="preserve">3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>       2.000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>       0.036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>       1.000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>       0.036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>       4.000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>       0.071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>       1.000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 xml:space="preserve">.0357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 xml:space="preserve">31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 xml:space="preserve">.4844</w:t>
            </w:r>
          </w:p>
        </w:tc>
      </w:tr>
      <w:tr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 xml:space="preserve">38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>       8.000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>       0.143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>       2.000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>       0.071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>       9.000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>       0.161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>       2.000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 xml:space="preserve">.0714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 xml:space="preserve">10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 xml:space="preserve">.1562</w:t>
            </w:r>
          </w:p>
        </w:tc>
      </w:tr>
      <w:tr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 xml:space="preserve">40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>       8.000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>       0.143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>       3.000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>       0.107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>      11.000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>       0.196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>       3.000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 xml:space="preserve">.1071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 xml:space="preserve">29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 xml:space="preserve">.4531</w:t>
            </w:r>
          </w:p>
        </w:tc>
      </w:tr>
      <w:tr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 xml:space="preserve">41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>       1.000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>       0.018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>       1.000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>       0.036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>       2.000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>       0.036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>       1.000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 xml:space="preserve">.0357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 xml:space="preserve">4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 xml:space="preserve">.0625</w:t>
            </w:r>
          </w:p>
        </w:tc>
      </w:tr>
      <w:tr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 xml:space="preserve">47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>       1.000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>       0.018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>       1.000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>       0.036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>       2.000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>       0.036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>       1.000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 xml:space="preserve">.0357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 xml:space="preserve">36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 xml:space="preserve">.5625</w:t>
            </w:r>
          </w:p>
        </w:tc>
      </w:tr>
      <w:tr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 xml:space="preserve">61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>       4.000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>       0.071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>       1.000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>       0.036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>       5.000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>       0.089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>       1.000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 xml:space="preserve">.0357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 xml:space="preserve">34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 xml:space="preserve">.5312</w:t>
            </w:r>
          </w:p>
        </w:tc>
      </w:tr>
      <w:tr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 xml:space="preserve">72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>       1.000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>       0.018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>       1.000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>       0.036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>       2.000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>       0.036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>       1.000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 xml:space="preserve">.0357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 xml:space="preserve">4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 xml:space="preserve">.0625</w:t>
            </w:r>
          </w:p>
        </w:tc>
      </w:tr>
      <w:tr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 xml:space="preserve">87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>       1.000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>       0.018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>       1.000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>       0.036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>       2.000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>       0.036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>       1.000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 xml:space="preserve">.0357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 xml:space="preserve">5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 xml:space="preserve">.0781</w:t>
            </w:r>
          </w:p>
        </w:tc>
      </w:tr>
      <w:tr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 xml:space="preserve">90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>       2.000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>       0.036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>       1.000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>       0.036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>       2.000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>       0.036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>       1.000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 xml:space="preserve">.0357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 xml:space="preserve">9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 xml:space="preserve">.1406</w:t>
            </w:r>
          </w:p>
        </w:tc>
      </w:tr>
      <w:tr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 xml:space="preserve">104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>       1.000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>       0.018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>       1.000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>       0.036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>       3.000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>       0.054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>       1.000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 xml:space="preserve">.0357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 xml:space="preserve">2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 xml:space="preserve">.0312</w:t>
            </w:r>
          </w:p>
        </w:tc>
      </w:tr>
      <w:tr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 xml:space="preserve">126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>       1.000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>       0.018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>       1.000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>       0.036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>       4.000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>       0.071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>       1.000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 xml:space="preserve">.0357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 xml:space="preserve">28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 xml:space="preserve">.4375</w:t>
            </w:r>
          </w:p>
        </w:tc>
      </w:tr>
      <w:tr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 xml:space="preserve">137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>       1.000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>       0.018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>       1.000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>       0.036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>       2.000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>       0.036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>       1.000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 xml:space="preserve">.0357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 xml:space="preserve">3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 xml:space="preserve">.0469</w:t>
            </w:r>
          </w:p>
        </w:tc>
      </w:tr>
      <w:tr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 xml:space="preserve">139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>       1.000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>       0.018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>       1.000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>       0.036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>       2.000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>       0.036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>       1.000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 xml:space="preserve">.0357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 xml:space="preserve">8</w:t>
            </w:r>
          </w:p>
        </w:tc>
        <w:tc>
          <w:tcPr>
            <w:tcW w:w="850" w:type="dxa"/>
          </w:tcPr>
          <w:p>
            <w:pPr>
              <w:pStyle w:val="Normal"/>
              <w:spacing w:after="0"/>
            </w:pPr>
            <w:r>
              <w:rPr/>
              <w:t xml:space="preserve">.125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  <w:sectPr>
          <w:type w:val="continuous"/>
          <w:pgSz w:w="12240" w:h="15840" w:code="1"/>
          <w:pgMar w:top="1440" w:right="1440" w:bottom="1440" w:left="1440"/>
          <w:pgNumType w:fmt="decimal"/>
        </w:sectPr>
      </w:pPr>
    </w:p>
    <w:tbl>
      <w:tblPr>
        <w:tblStyle w:val="TableGrid-BR1"/>
      </w:tblPr>
      <w:tblGrid>
        <w:gridCol w:w="4680"/>
        <w:gridCol w:w="4680"/>
      </w:tblGrid>
      <w:tr>
        <w:tc>
          <w:tcPr>
            <w:tcW w:w="4680" w:type="dxa"/>
          </w:tcPr>
          <w:p>
            <w:pPr>
              <w:pStyle w:val="Normal"/>
              <w:spacing w:after="0"/>
            </w:pPr>
            <w:r>
              <w:rPr/>
              <w:t xml:space="preserve"/>
            </w:r>
          </w:p>
        </w:tc>
        <w:tc>
          <w:tcPr>
            <w:tcW w:w="4680" w:type="dxa"/>
          </w:tcPr>
          <w:p>
            <w:pPr>
              <w:pStyle w:val="Normal"/>
              <w:spacing w:after="0"/>
            </w:pPr>
            <w:r>
              <w:rPr/>
              <w:t xml:space="preserve">AEI_eGARP</w:t>
            </w:r>
          </w:p>
        </w:tc>
      </w:tr>
      <w:tr>
        <w:tc>
          <w:tcPr>
            <w:tcW w:w="4680" w:type="dxa"/>
          </w:tcPr>
          <w:p>
            <w:pPr>
              <w:pStyle w:val="Normal"/>
              <w:spacing w:after="0"/>
            </w:pPr>
            <w:r>
              <w:rPr/>
              <w:t xml:space="preserve">3</w:t>
            </w:r>
          </w:p>
        </w:tc>
        <w:tc>
          <w:tcPr>
            <w:tcW w:w="4680" w:type="dxa"/>
          </w:tcPr>
          <w:p>
            <w:pPr>
              <w:pStyle w:val="Normal"/>
              <w:spacing w:after="0"/>
            </w:pPr>
            <w:r>
              <w:rPr/>
              <w:t>       1.000</w:t>
            </w:r>
          </w:p>
        </w:tc>
      </w:tr>
      <w:tr>
        <w:tc>
          <w:tcPr>
            <w:tcW w:w="4680" w:type="dxa"/>
          </w:tcPr>
          <w:p>
            <w:pPr>
              <w:pStyle w:val="Normal"/>
              <w:spacing w:after="0"/>
            </w:pPr>
            <w:r>
              <w:rPr/>
              <w:t xml:space="preserve">38</w:t>
            </w:r>
          </w:p>
        </w:tc>
        <w:tc>
          <w:tcPr>
            <w:tcW w:w="4680" w:type="dxa"/>
          </w:tcPr>
          <w:p>
            <w:pPr>
              <w:pStyle w:val="Normal"/>
              <w:spacing w:after="0"/>
            </w:pPr>
            <w:r>
              <w:rPr/>
              <w:t>       0.917</w:t>
            </w:r>
          </w:p>
        </w:tc>
      </w:tr>
      <w:tr>
        <w:tc>
          <w:tcPr>
            <w:tcW w:w="4680" w:type="dxa"/>
          </w:tcPr>
          <w:p>
            <w:pPr>
              <w:pStyle w:val="Normal"/>
              <w:spacing w:after="0"/>
            </w:pPr>
            <w:r>
              <w:rPr/>
              <w:t xml:space="preserve">40</w:t>
            </w:r>
          </w:p>
        </w:tc>
        <w:tc>
          <w:tcPr>
            <w:tcW w:w="4680" w:type="dxa"/>
          </w:tcPr>
          <w:p>
            <w:pPr>
              <w:pStyle w:val="Normal"/>
              <w:spacing w:after="0"/>
            </w:pPr>
            <w:r>
              <w:rPr/>
              <w:t>       0.833</w:t>
            </w:r>
          </w:p>
        </w:tc>
      </w:tr>
      <w:tr>
        <w:tc>
          <w:tcPr>
            <w:tcW w:w="4680" w:type="dxa"/>
          </w:tcPr>
          <w:p>
            <w:pPr>
              <w:pStyle w:val="Normal"/>
              <w:spacing w:after="0"/>
            </w:pPr>
            <w:r>
              <w:rPr/>
              <w:t xml:space="preserve">41</w:t>
            </w:r>
          </w:p>
        </w:tc>
        <w:tc>
          <w:tcPr>
            <w:tcW w:w="4680" w:type="dxa"/>
          </w:tcPr>
          <w:p>
            <w:pPr>
              <w:pStyle w:val="Normal"/>
              <w:spacing w:after="0"/>
            </w:pPr>
            <w:r>
              <w:rPr/>
              <w:t>       1.000</w:t>
            </w:r>
          </w:p>
        </w:tc>
      </w:tr>
      <w:tr>
        <w:tc>
          <w:tcPr>
            <w:tcW w:w="4680" w:type="dxa"/>
          </w:tcPr>
          <w:p>
            <w:pPr>
              <w:pStyle w:val="Normal"/>
              <w:spacing w:after="0"/>
            </w:pPr>
            <w:r>
              <w:rPr/>
              <w:t xml:space="preserve">47</w:t>
            </w:r>
          </w:p>
        </w:tc>
        <w:tc>
          <w:tcPr>
            <w:tcW w:w="4680" w:type="dxa"/>
          </w:tcPr>
          <w:p>
            <w:pPr>
              <w:pStyle w:val="Normal"/>
              <w:spacing w:after="0"/>
            </w:pPr>
            <w:r>
              <w:rPr/>
              <w:t>       1.000</w:t>
            </w:r>
          </w:p>
        </w:tc>
      </w:tr>
      <w:tr>
        <w:tc>
          <w:tcPr>
            <w:tcW w:w="4680" w:type="dxa"/>
          </w:tcPr>
          <w:p>
            <w:pPr>
              <w:pStyle w:val="Normal"/>
              <w:spacing w:after="0"/>
            </w:pPr>
            <w:r>
              <w:rPr/>
              <w:t xml:space="preserve">61</w:t>
            </w:r>
          </w:p>
        </w:tc>
        <w:tc>
          <w:tcPr>
            <w:tcW w:w="4680" w:type="dxa"/>
          </w:tcPr>
          <w:p>
            <w:pPr>
              <w:pStyle w:val="Normal"/>
              <w:spacing w:after="0"/>
            </w:pPr>
            <w:r>
              <w:rPr/>
              <w:t>       0.917</w:t>
            </w:r>
          </w:p>
        </w:tc>
      </w:tr>
      <w:tr>
        <w:tc>
          <w:tcPr>
            <w:tcW w:w="4680" w:type="dxa"/>
          </w:tcPr>
          <w:p>
            <w:pPr>
              <w:pStyle w:val="Normal"/>
              <w:spacing w:after="0"/>
            </w:pPr>
            <w:r>
              <w:rPr/>
              <w:t xml:space="preserve">72</w:t>
            </w:r>
          </w:p>
        </w:tc>
        <w:tc>
          <w:tcPr>
            <w:tcW w:w="4680" w:type="dxa"/>
          </w:tcPr>
          <w:p>
            <w:pPr>
              <w:pStyle w:val="Normal"/>
              <w:spacing w:after="0"/>
            </w:pPr>
            <w:r>
              <w:rPr/>
              <w:t>       1.000</w:t>
            </w:r>
          </w:p>
        </w:tc>
      </w:tr>
      <w:tr>
        <w:tc>
          <w:tcPr>
            <w:tcW w:w="4680" w:type="dxa"/>
          </w:tcPr>
          <w:p>
            <w:pPr>
              <w:pStyle w:val="Normal"/>
              <w:spacing w:after="0"/>
            </w:pPr>
            <w:r>
              <w:rPr/>
              <w:t xml:space="preserve">87</w:t>
            </w:r>
          </w:p>
        </w:tc>
        <w:tc>
          <w:tcPr>
            <w:tcW w:w="4680" w:type="dxa"/>
          </w:tcPr>
          <w:p>
            <w:pPr>
              <w:pStyle w:val="Normal"/>
              <w:spacing w:after="0"/>
            </w:pPr>
            <w:r>
              <w:rPr/>
              <w:t>       1.000</w:t>
            </w:r>
          </w:p>
        </w:tc>
      </w:tr>
      <w:tr>
        <w:tc>
          <w:tcPr>
            <w:tcW w:w="4680" w:type="dxa"/>
          </w:tcPr>
          <w:p>
            <w:pPr>
              <w:pStyle w:val="Normal"/>
              <w:spacing w:after="0"/>
            </w:pPr>
            <w:r>
              <w:rPr/>
              <w:t xml:space="preserve">90</w:t>
            </w:r>
          </w:p>
        </w:tc>
        <w:tc>
          <w:tcPr>
            <w:tcW w:w="4680" w:type="dxa"/>
          </w:tcPr>
          <w:p>
            <w:pPr>
              <w:pStyle w:val="Normal"/>
              <w:spacing w:after="0"/>
            </w:pPr>
            <w:r>
              <w:rPr/>
              <w:t>       0.975</w:t>
            </w:r>
          </w:p>
        </w:tc>
      </w:tr>
      <w:tr>
        <w:tc>
          <w:tcPr>
            <w:tcW w:w="4680" w:type="dxa"/>
          </w:tcPr>
          <w:p>
            <w:pPr>
              <w:pStyle w:val="Normal"/>
              <w:spacing w:after="0"/>
            </w:pPr>
            <w:r>
              <w:rPr/>
              <w:t xml:space="preserve">104</w:t>
            </w:r>
          </w:p>
        </w:tc>
        <w:tc>
          <w:tcPr>
            <w:tcW w:w="4680" w:type="dxa"/>
          </w:tcPr>
          <w:p>
            <w:pPr>
              <w:pStyle w:val="Normal"/>
              <w:spacing w:after="0"/>
            </w:pPr>
            <w:r>
              <w:rPr/>
              <w:t>       1.000</w:t>
            </w:r>
          </w:p>
        </w:tc>
      </w:tr>
      <w:tr>
        <w:tc>
          <w:tcPr>
            <w:tcW w:w="4680" w:type="dxa"/>
          </w:tcPr>
          <w:p>
            <w:pPr>
              <w:pStyle w:val="Normal"/>
              <w:spacing w:after="0"/>
            </w:pPr>
            <w:r>
              <w:rPr/>
              <w:t xml:space="preserve">126</w:t>
            </w:r>
          </w:p>
        </w:tc>
        <w:tc>
          <w:tcPr>
            <w:tcW w:w="4680" w:type="dxa"/>
          </w:tcPr>
          <w:p>
            <w:pPr>
              <w:pStyle w:val="Normal"/>
              <w:spacing w:after="0"/>
            </w:pPr>
            <w:r>
              <w:rPr/>
              <w:t>       1.000</w:t>
            </w:r>
          </w:p>
        </w:tc>
      </w:tr>
      <w:tr>
        <w:tc>
          <w:tcPr>
            <w:tcW w:w="4680" w:type="dxa"/>
          </w:tcPr>
          <w:p>
            <w:pPr>
              <w:pStyle w:val="Normal"/>
              <w:spacing w:after="0"/>
            </w:pPr>
            <w:r>
              <w:rPr/>
              <w:t xml:space="preserve">137</w:t>
            </w:r>
          </w:p>
        </w:tc>
        <w:tc>
          <w:tcPr>
            <w:tcW w:w="4680" w:type="dxa"/>
          </w:tcPr>
          <w:p>
            <w:pPr>
              <w:pStyle w:val="Normal"/>
              <w:spacing w:after="0"/>
            </w:pPr>
            <w:r>
              <w:rPr/>
              <w:t>       1.000</w:t>
            </w:r>
          </w:p>
        </w:tc>
      </w:tr>
      <w:tr>
        <w:tc>
          <w:tcPr>
            <w:tcW w:w="4680" w:type="dxa"/>
          </w:tcPr>
          <w:p>
            <w:pPr>
              <w:pStyle w:val="Normal"/>
              <w:spacing w:after="0"/>
            </w:pPr>
            <w:r>
              <w:rPr/>
              <w:t xml:space="preserve">139</w:t>
            </w:r>
          </w:p>
        </w:tc>
        <w:tc>
          <w:tcPr>
            <w:tcW w:w="4680" w:type="dxa"/>
          </w:tcPr>
          <w:p>
            <w:pPr>
              <w:pStyle w:val="Normal"/>
              <w:spacing w:after="0"/>
            </w:pPr>
            <w:r>
              <w:rPr/>
              <w:t>       1.000</w:t>
            </w:r>
          </w:p>
        </w:tc>
      </w:tr>
    </w:tbl>
    <w:p>
      <w:pPr>
        <w:pStyle w:val="Normal"/>
      </w:pPr>
      <w:r>
        <w:rPr/>
        <w:t/>
      </w:r>
    </w:p>
    <w:sectPr>
      <w:type w:val="continuous"/>
      <w:pgSz w:w="12240" w:h="15840" w:code="1"/>
      <w:pgMar w:top="1440" w:right="1440" w:bottom="1440" w:left="1440"/>
      <w:pgNumType w:fmt="decimal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fals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fals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-BR1">
    <w:name w:val="Table Grid"/>
    <w:basedOn w:val="TableNormal-BR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-BR1" w:default="fals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-BR2">
    <w:name w:val="TableGrid-BR2"/>
    <w:basedOn w:val="TableNormal-BR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
<Relationships xmlns="http://schemas.openxmlformats.org/package/2006/relationships">
    <Relationship Target="settings.xml" Type="http://schemas.openxmlformats.org/officeDocument/2006/relationships/settings" Id="rId1"/>
    <Relationship Target="styles.xml" Type="http://schemas.openxmlformats.org/officeDocument/2006/relationships/style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