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39286FAB" w14:paraId="4680266B" w14:textId="77777777">
        <w:tc>
          <w:tcPr>
            <w:tcW w:w="2822" w:type="dxa"/>
            <w:tcBorders>
              <w:top w:val="nil"/>
              <w:left w:val="nil"/>
              <w:bottom w:val="nil"/>
              <w:right w:val="nil"/>
            </w:tcBorders>
            <w:shd w:val="clear" w:color="auto" w:fill="auto"/>
            <w:hideMark/>
          </w:tcPr>
          <w:p w:rsidR="00264107" w:rsidP="00FD470E"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shd w:val="clear" w:color="auto" w:fill="auto"/>
            <w:hideMark/>
          </w:tcPr>
          <w:p w:rsidR="00264107" w:rsidP="39286FA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rsidR="00264107" w:rsidP="00FD470E"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Tribunal de Justiça do Distrito Federal e dos Territórios</w:t>
            </w:r>
            <w:r>
              <w:rPr>
                <w:rStyle w:val="eop"/>
                <w:rFonts w:ascii="Calibri" w:hAnsi="Calibri" w:cs="Calibri"/>
                <w:color w:val="595959"/>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773BBDE1" w14:paraId="39579C6E" w14:textId="77777777">
        <w:trPr>
          <w:cantSplit/>
          <w:trHeight w:val="397"/>
        </w:trPr>
        <w:tc>
          <w:tcPr>
            <w:tcW w:w="3686" w:type="dxa"/>
            <w:shd w:val="clear" w:color="auto" w:fill="auto"/>
            <w:tcMar/>
            <w:vAlign w:val="center"/>
          </w:tcPr>
          <w:p w:rsidRPr="009F36E1" w:rsidR="00770E7F" w:rsidP="00B34ADF" w:rsidRDefault="79304B6F" w14:paraId="0E990AE5" w14:textId="77777777" w14:noSpellErr="1">
            <w:pPr>
              <w:rPr>
                <w:rFonts w:ascii="Arial" w:hAnsi="Arial" w:cs="Arial"/>
                <w:sz w:val="28"/>
                <w:szCs w:val="28"/>
              </w:rPr>
            </w:pPr>
            <w:commentRangeStart w:id="0"/>
            <w:commentRangeStart w:id="1548154177"/>
            <w:r w:rsidRPr="773BBDE1" w:rsidR="79304B6F">
              <w:rPr>
                <w:rFonts w:ascii="Arial" w:hAnsi="Arial" w:cs="Arial"/>
                <w:sz w:val="28"/>
                <w:szCs w:val="28"/>
              </w:rPr>
              <w:t>Ór</w:t>
            </w:r>
            <w:commentRangeEnd w:id="0"/>
            <w:r>
              <w:rPr>
                <w:rStyle w:val="CommentReference"/>
              </w:rPr>
              <w:commentReference w:id="0"/>
            </w:r>
            <w:commentRangeEnd w:id="1548154177"/>
            <w:r>
              <w:rPr>
                <w:rStyle w:val="CommentReference"/>
              </w:rPr>
              <w:commentReference w:id="1548154177"/>
            </w:r>
            <w:r w:rsidRPr="773BBDE1" w:rsidR="79304B6F">
              <w:rPr>
                <w:rFonts w:ascii="Arial" w:hAnsi="Arial" w:cs="Arial"/>
                <w:sz w:val="28"/>
                <w:szCs w:val="28"/>
              </w:rPr>
              <w:t>gão</w:t>
            </w:r>
          </w:p>
        </w:tc>
        <w:tc>
          <w:tcPr>
            <w:tcW w:w="447" w:type="dxa"/>
            <w:shd w:val="clear" w:color="auto" w:fill="auto"/>
            <w:tcMar/>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773BBDE1" w14:paraId="1234CB9C" w14:textId="77777777">
        <w:trPr>
          <w:cantSplit/>
          <w:trHeight w:val="397"/>
        </w:trPr>
        <w:tc>
          <w:tcPr>
            <w:tcW w:w="3686" w:type="dxa"/>
            <w:shd w:val="clear" w:color="auto" w:fill="auto"/>
            <w:tcMar/>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shd w:val="clear" w:color="auto" w:fill="auto"/>
            <w:tcMar/>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sdt>
            <w:sdt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Embargos de Declaração</w:t>
                </w:r>
              </w:p>
            </w:sdtContent>
            <w:sdtEndPr>
              <w:rPr>
                <w:rFonts w:cs="Arial"/>
                <w:i w:val="0"/>
                <w:iCs w:val="0"/>
                <w:sz w:val="28"/>
                <w:szCs w:val="28"/>
              </w:rPr>
            </w:sdtEndPr>
          </w:sdt>
        </w:tc>
      </w:tr>
      <w:tr w:rsidRPr="009F36E1" w:rsidR="00770E7F" w:rsidTr="773BBDE1" w14:paraId="32B00EA9" w14:textId="77777777">
        <w:trPr>
          <w:cantSplit/>
          <w:trHeight w:val="397"/>
        </w:trPr>
        <w:tc>
          <w:tcPr>
            <w:tcW w:w="3686" w:type="dxa"/>
            <w:shd w:val="clear" w:color="auto" w:fill="auto"/>
            <w:tcMar/>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shd w:val="clear" w:color="auto" w:fill="auto"/>
            <w:tcMar/>
            <w:vAlign w:val="center"/>
          </w:tcPr>
          <w:p w:rsidRPr="009F36E1" w:rsidR="00770E7F" w:rsidP="00B34ADF" w:rsidRDefault="00770E7F" w14:paraId="10327F8B"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7C53B768" w14:textId="5A7ECA41">
            <w:pPr>
              <w:ind w:right="-675"/>
              <w:rPr>
                <w:rFonts w:ascii="Arial" w:hAnsi="Arial" w:cs="Arial"/>
                <w:sz w:val="28"/>
                <w:szCs w:val="28"/>
              </w:rPr>
            </w:pPr>
            <w:r w:rsidRPr="001C16FB">
              <w:rPr>
                <w:rFonts w:ascii="Arial" w:hAnsi="Arial" w:cs="Arial"/>
                <w:sz w:val="28"/>
                <w:szCs w:val="28"/>
              </w:rPr>
              <w:t>0756248-02.2025.8.07.0000</w:t>
            </w:r>
          </w:p>
        </w:tc>
      </w:tr>
      <w:tr w:rsidRPr="009F36E1" w:rsidR="00770E7F" w:rsidTr="773BBDE1" w14:paraId="48ED7BFE" w14:textId="77777777">
        <w:trPr>
          <w:cantSplit/>
          <w:trHeight w:val="397"/>
        </w:trPr>
        <w:tc>
          <w:tcPr>
            <w:tcW w:w="3686" w:type="dxa"/>
            <w:shd w:val="clear" w:color="auto" w:fill="auto"/>
            <w:tcMar/>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Embargante (s)</w:t>
                </w:r>
              </w:sdtContent>
            </w:sdt>
            <w:r w:rsidRPr="00F63CDB" w:rsidR="00770E7F">
              <w:rPr>
                <w:rFonts w:ascii="Arial" w:hAnsi="Arial" w:cs="Arial"/>
                <w:sz w:val="28"/>
                <w:szCs w:val="28"/>
              </w:rPr>
              <w:t xml:space="preserve"/>
            </w:r>
          </w:p>
        </w:tc>
        <w:tc>
          <w:tcPr>
            <w:tcW w:w="447" w:type="dxa"/>
            <w:shd w:val="clear" w:color="auto" w:fill="auto"/>
            <w:tcMar/>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B66EC2" w:rsidR="00770E7F" w:rsidP="00B34ADF" w:rsidRDefault="001C16FB" w14:paraId="4A58BA3C" w14:textId="4331C501">
            <w:pPr>
              <w:rPr>
                <w:rFonts w:ascii="Arial" w:hAnsi="Arial" w:cs="Arial"/>
                <w:sz w:val="28"/>
                <w:szCs w:val="28"/>
              </w:rPr>
            </w:pPr>
            <w:r w:rsidRPr="06571051">
              <w:rPr>
                <w:rFonts w:ascii="Arial" w:hAnsi="Arial" w:cs="Arial"/>
                <w:sz w:val="28"/>
                <w:szCs w:val="28"/>
              </w:rPr>
              <w:t>ABC I FUNDO DE INVESTIMENTO EM DIREITOS CREDITÓRIOS</w:t>
            </w:r>
            <w:commentRangeStart w:id="1"/>
            <w:commentRangeStart w:id="2"/>
            <w:commentRangeStart w:id="3"/>
            <w:r w:rsidRPr="06571051">
              <w:rPr>
                <w:rFonts w:ascii="Arial" w:hAnsi="Arial" w:cs="Arial"/>
                <w:sz w:val="28"/>
                <w:szCs w:val="28"/>
              </w:rPr>
            </w:r>
            <w:commentRangeEnd w:id="1"/>
            <w:r/>
            <w:commentRangeEnd w:id="2"/>
            <w:r/>
            <w:commentRangeEnd w:id="3"/>
            <w:r w:rsidR="00555B54">
              <w:rPr>
                <w:rStyle w:val="Refdecomentrio"/>
                <w:rFonts w:ascii="Verdana" w:hAnsi="Verdana" w:eastAsia="Times New Roman" w:cs="Times New Roman"/>
                <w:lang w:val="x-none" w:eastAsia="x-none"/>
              </w:rPr>
            </w:r>
            <w:r w:rsidRPr="06571051">
              <w:rPr>
                <w:rFonts w:ascii="Arial" w:hAnsi="Arial" w:cs="Arial"/>
                <w:sz w:val="28"/>
                <w:szCs w:val="28"/>
              </w:rPr>
            </w:r>
          </w:p>
        </w:tc>
      </w:tr>
      <w:tr w:rsidRPr="009F36E1" w:rsidR="00770E7F" w:rsidTr="773BBDE1" w14:paraId="55763F2D" w14:textId="77777777">
        <w:trPr>
          <w:cantSplit/>
          <w:trHeight w:val="397"/>
        </w:trPr>
        <w:tc>
          <w:tcPr>
            <w:tcW w:w="3686" w:type="dxa"/>
            <w:shd w:val="clear" w:color="auto" w:fill="auto"/>
            <w:tcMar/>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Embargado (a)(s)</w:t>
                </w:r>
              </w:sdtContent>
            </w:sdt>
            <w:r w:rsidRPr="009F36E1" w:rsidR="00770E7F">
              <w:rPr>
                <w:rFonts w:ascii="Arial" w:hAnsi="Arial" w:cs="Arial"/>
                <w:sz w:val="28"/>
                <w:szCs w:val="28"/>
              </w:rPr>
              <w:t xml:space="preserve"/>
            </w:r>
            <w:r w:rsidR="009F36E1">
              <w:rPr>
                <w:rFonts w:ascii="Arial" w:hAnsi="Arial" w:cs="Arial"/>
                <w:sz w:val="28"/>
                <w:szCs w:val="28"/>
              </w:rPr>
              <w:t/>
            </w:r>
            <w:r w:rsidRPr="009F36E1" w:rsidR="00770E7F">
              <w:rPr>
                <w:rFonts w:ascii="Arial" w:hAnsi="Arial" w:cs="Arial"/>
                <w:sz w:val="28"/>
                <w:szCs w:val="28"/>
              </w:rPr>
              <w:t/>
            </w:r>
          </w:p>
        </w:tc>
        <w:tc>
          <w:tcPr>
            <w:tcW w:w="447" w:type="dxa"/>
            <w:shd w:val="clear" w:color="auto" w:fill="auto"/>
            <w:tcMar/>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1AB96577" w14:textId="6F3149F0">
            <w:pPr>
              <w:ind w:right="-74"/>
              <w:rPr>
                <w:rFonts w:ascii="Arial" w:hAnsi="Arial" w:cs="Arial"/>
                <w:sz w:val="28"/>
                <w:szCs w:val="28"/>
              </w:rPr>
            </w:pPr>
            <w:r w:rsidRPr="001C16FB">
              <w:rPr>
                <w:rFonts w:ascii="Arial" w:hAnsi="Arial" w:cs="Arial"/>
                <w:sz w:val="28"/>
                <w:szCs w:val="28"/>
              </w:rPr>
              <w:t>LANDIM E OLIVEIRA COMERCIAL DE ALIMENTOS LTDA</w:t>
            </w:r>
            <w:r>
              <w:rPr>
                <w:rFonts w:ascii="Arial" w:hAnsi="Arial" w:cs="Arial"/>
                <w:sz w:val="28"/>
                <w:szCs w:val="28"/>
              </w:rPr>
            </w:r>
          </w:p>
        </w:tc>
      </w:tr>
      <w:tr w:rsidRPr="009F36E1" w:rsidR="00770E7F" w:rsidTr="773BBDE1" w14:paraId="640EA867" w14:textId="77777777">
        <w:trPr>
          <w:cantSplit/>
          <w:trHeight w:val="397"/>
        </w:trPr>
        <w:tc>
          <w:tcPr>
            <w:tcW w:w="3686" w:type="dxa"/>
            <w:shd w:val="clear" w:color="auto" w:fill="auto"/>
            <w:tcMar/>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shd w:val="clear" w:color="auto" w:fill="auto"/>
            <w:tcMar/>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DB1301" w:rsidP="00DB1301" w:rsidRDefault="00DB1301" w14:paraId="215F61BE" w14:textId="77777777">
      <w:pPr>
        <w:spacing w:after="0" w:line="360" w:lineRule="auto"/>
        <w:rPr>
          <w:rFonts w:ascii="Arial" w:hAnsi="Arial" w:cs="Arial"/>
          <w:sz w:val="28"/>
          <w:szCs w:val="28"/>
        </w:rPr>
      </w:pPr>
    </w:p>
    <w:p>
      <w:pPr>
        <w:spacing w:line="360" w:lineRule="auto" w:after="0" w:before="0"/>
        <w:jc w:val="left"/>
      </w:pPr>
      <w:commentRangeStart w:id="0"/>
      <w:r>
        <w:rPr>
          <w:rFonts w:ascii="Arial" w:hAnsi="Arial" w:cs="Arial"/>
          <w:b/>
          <w:i w:val="0"/>
          <w:sz w:val="28"/>
        </w:rPr>
        <w:t xml:space="preserve">EMENTA</w:t>
      </w:r>
      <w:commentRangeEnd w:id="0"/>
      <w:r>
        <w:rPr>
          <w:rStyle w:val="CommentReference"/>
        </w:rPr>
        <w:commentReference w:id="0"/>
      </w:r>
    </w:p>
    <w:p>
      <w:pPr>
        <w:spacing w:line="360" w:lineRule="auto" w:after="0" w:before="0"/>
        <w:jc w:val="both"/>
      </w:pPr>
      <w:r>
        <w:rPr>
          <w:rFonts w:ascii="Arial" w:hAnsi="Arial" w:cs="Arial"/>
          <w:b w:val="0"/>
          <w:i w:val="0"/>
          <w:sz w:val="28"/>
        </w:rPr>
        <w:t xml:space="preserve">EMBARGOS DE DECLARAÇÃO. DIREITO PROCESSUAL CIVIL. ALEGADA OMISSÃO E CONTRADIÇÃO. INEXISTÊNCIA. REDISCUSSÃO DO MÉRITO. PREQUESTIONAMENTO. EMBARGOS NÃO PROVIDOS.</w:t>
      </w:r>
    </w:p>
    <w:p>
      <w:pPr>
        <w:spacing w:line="360" w:lineRule="auto" w:after="0" w:before="0"/>
        <w:jc w:val="both"/>
      </w:pPr>
      <w:r>
        <w:rPr>
          <w:rFonts w:ascii="Arial" w:hAnsi="Arial" w:cs="Arial"/>
          <w:b/>
          <w:i w:val="0"/>
          <w:sz w:val="28"/>
        </w:rPr>
        <w:t xml:space="preserve">I. Caso em exame</w:t>
      </w:r>
    </w:p>
    <w:p>
      <w:pPr>
        <w:spacing w:line="360" w:lineRule="auto" w:after="0" w:before="0"/>
        <w:jc w:val="both"/>
      </w:pPr>
      <w:r>
        <w:rPr>
          <w:rFonts w:ascii="Arial" w:hAnsi="Arial" w:cs="Arial"/>
          <w:b w:val="0"/>
          <w:i w:val="0"/>
          <w:sz w:val="28"/>
        </w:rPr>
        <w:t xml:space="preserve">1. Embargos de declaração opostos por ABC I Fundo de Investimento em Direitos Creditórios, exequente, contra acórdão que deu provimento ao agravo de instrumento de Landim e Oliveira Comercial de Alimentos Ltda., para indeferir a desconsideração da personalidade jurídica por alegada sucessão empresarial e excluí-la do polo passivo do cumprimento de sentença proposto contra TBB Alimentos Brasília Ltda.-ME.</w:t>
      </w:r>
    </w:p>
    <w:p>
      <w:pPr>
        <w:spacing w:line="360" w:lineRule="auto" w:after="0" w:before="0"/>
        <w:jc w:val="both"/>
      </w:pPr>
      <w:r>
        <w:rPr>
          <w:rFonts w:ascii="Arial" w:hAnsi="Arial" w:cs="Arial"/>
          <w:b w:val="0"/>
          <w:i w:val="0"/>
          <w:sz w:val="28"/>
        </w:rPr>
        <w:t xml:space="preserve">2. O acórdão embargado entendeu que a continuidade da exploração da marca no mesmo endereço, em contrato regular de franquia, não configura, por si só, sucessão empresarial, ausentes prova de trespasse, assunção de passivos, identidade societária, confusão patrimonial e desvio de finalidade, e fixou honorários sucumbenciais de 10% do valor da execução em desfavor da exequente.</w:t>
      </w:r>
    </w:p>
    <w:p>
      <w:pPr>
        <w:spacing w:line="360" w:lineRule="auto" w:after="0" w:before="0"/>
        <w:jc w:val="both"/>
      </w:pPr>
      <w:r>
        <w:rPr>
          <w:rFonts w:ascii="Arial" w:hAnsi="Arial" w:cs="Arial"/>
          <w:b w:val="0"/>
          <w:i w:val="0"/>
          <w:sz w:val="28"/>
        </w:rPr>
        <w:t xml:space="preserve">3. A embargante sustenta omissão quanto à distinção entre sucessão empresarial e desconsideração da personalidade jurídica, à sucessão de fato pela continuidade da atividade e ao hiato temporal, e contradição por ter o acórdão julgado a sucessão pelos requisitos da desconsideração, e requer efeitos infringentes e prequestionamento.</w:t>
      </w:r>
    </w:p>
    <w:p>
      <w:pPr>
        <w:spacing w:line="360" w:lineRule="auto" w:after="0" w:before="0"/>
        <w:jc w:val="both"/>
      </w:pPr>
      <w:r>
        <w:rPr>
          <w:rFonts w:ascii="Arial" w:hAnsi="Arial" w:cs="Arial"/>
          <w:b/>
          <w:i w:val="0"/>
          <w:sz w:val="28"/>
        </w:rPr>
        <w:t xml:space="preserve">II. Questão em discussão</w:t>
      </w:r>
    </w:p>
    <w:p>
      <w:pPr>
        <w:spacing w:line="360" w:lineRule="auto" w:after="0" w:before="0"/>
        <w:jc w:val="both"/>
      </w:pPr>
      <w:r>
        <w:rPr>
          <w:rFonts w:ascii="Arial" w:hAnsi="Arial" w:cs="Arial"/>
          <w:b w:val="0"/>
          <w:i w:val="0"/>
          <w:sz w:val="28"/>
        </w:rPr>
        <w:t xml:space="preserve">4. Há duas questões em discussão: (i) saber se o acórdão incorreu em omissão ou contradição quanto à distinção entre sucessão empresarial e desconsideração da personalidade jurídica, à sucessão de fato pela continuidade da atividade, ao contrato de franquia e ao hiato temporal entre o débito e a operação franqueada; e (ii) saber se é necessária manifestação expressa sobre dispositivos, para fins de prequestionamento.</w:t>
      </w:r>
    </w:p>
    <w:p>
      <w:pPr>
        <w:spacing w:line="360" w:lineRule="auto" w:after="0" w:before="0"/>
        <w:jc w:val="both"/>
      </w:pPr>
      <w:r>
        <w:rPr>
          <w:rFonts w:ascii="Arial" w:hAnsi="Arial" w:cs="Arial"/>
          <w:b/>
          <w:i w:val="0"/>
          <w:sz w:val="28"/>
        </w:rPr>
        <w:t xml:space="preserve">III. Razões de decidir</w:t>
      </w:r>
    </w:p>
    <w:p>
      <w:pPr>
        <w:spacing w:line="360" w:lineRule="auto" w:after="0" w:before="0"/>
        <w:jc w:val="both"/>
      </w:pPr>
      <w:r>
        <w:rPr>
          <w:rFonts w:ascii="Arial" w:hAnsi="Arial" w:cs="Arial"/>
          <w:b w:val="0"/>
          <w:i w:val="0"/>
          <w:sz w:val="28"/>
        </w:rPr>
        <w:t xml:space="preserve">5. Inexiste omissão quando o acórdão enfrenta, de modo suficiente e fundamentado, as questões relevantes para o julgamento.</w:t>
      </w:r>
    </w:p>
    <w:p>
      <w:pPr>
        <w:spacing w:line="360" w:lineRule="auto" w:after="0" w:before="0"/>
        <w:jc w:val="both"/>
      </w:pPr>
      <w:r>
        <w:rPr>
          <w:rFonts w:ascii="Arial" w:hAnsi="Arial" w:cs="Arial"/>
          <w:b w:val="0"/>
          <w:i w:val="0"/>
          <w:sz w:val="28"/>
        </w:rPr>
        <w:t xml:space="preserve">6. Contradição apta a ensejar embargos de declaração é apenas a interna, entre as premissas e a conclusão do julgado.</w:t>
      </w:r>
    </w:p>
    <w:p>
      <w:pPr>
        <w:spacing w:line="360" w:lineRule="auto" w:after="0" w:before="0"/>
        <w:jc w:val="both"/>
      </w:pPr>
      <w:r>
        <w:rPr>
          <w:rFonts w:ascii="Arial" w:hAnsi="Arial" w:cs="Arial"/>
          <w:b w:val="0"/>
          <w:i w:val="0"/>
          <w:sz w:val="28"/>
        </w:rPr>
        <w:t xml:space="preserve">7. O acórdão embargado examinou a sucessão empresarial e a afastou porque a continuidade da marca e do ponto comercial, em contrato regular de franquia, não a configura por si só, sem vínculo entre os sócios, transferência do estabelecimento, assunção de passivos, confusão patrimonial ou desvio de finalidade, de modo que a embargante apenas busca a rediscussão do mérito.</w:t>
      </w:r>
    </w:p>
    <w:p>
      <w:pPr>
        <w:spacing w:line="360" w:lineRule="auto" w:after="0" w:before="0"/>
        <w:jc w:val="both"/>
      </w:pPr>
      <w:r>
        <w:rPr>
          <w:rFonts w:ascii="Arial" w:hAnsi="Arial" w:cs="Arial"/>
          <w:b w:val="0"/>
          <w:i w:val="0"/>
          <w:sz w:val="28"/>
        </w:rPr>
        <w:t xml:space="preserve">8. O acórdão embargado analisou, no mesmo capítulo, os requisitos da sucessão empresarial e da desconsideração da personalidade jurídica, de modo que inexiste contradição interna e a embargante apenas diverge da conclusão adotada.</w:t>
      </w:r>
    </w:p>
    <w:p>
      <w:pPr>
        <w:spacing w:line="360" w:lineRule="auto" w:after="0" w:before="0"/>
        <w:jc w:val="both"/>
      </w:pPr>
      <w:r>
        <w:rPr>
          <w:rFonts w:ascii="Arial" w:hAnsi="Arial" w:cs="Arial"/>
          <w:b w:val="0"/>
          <w:i w:val="0"/>
          <w:sz w:val="28"/>
        </w:rPr>
        <w:t xml:space="preserve">9. O acórdão embargado valorou o hiato entre a constituição do débito (2019 e 2020) e a estruturação da operação franqueada na localidade como incompatível com a tese de mera substituição formal de CNPJ, de modo que a embargante apenas busca a rediscussão do mérito.</w:t>
      </w:r>
    </w:p>
    <w:p>
      <w:pPr>
        <w:spacing w:line="360" w:lineRule="auto" w:after="0" w:before="0"/>
        <w:jc w:val="both"/>
      </w:pPr>
      <w:r>
        <w:rPr>
          <w:rFonts w:ascii="Arial" w:hAnsi="Arial" w:cs="Arial"/>
          <w:b w:val="0"/>
          <w:i w:val="0"/>
          <w:sz w:val="28"/>
        </w:rPr>
        <w:t xml:space="preserve">10. O julgador não está obrigado a enfrentar individualmente todos os argumentos e dispositivos legais suscitados pelas partes quando decide a controvérsia com fundamentação suficiente (CPC 489 § 1º IV).</w:t>
      </w:r>
    </w:p>
    <w:p>
      <w:pPr>
        <w:spacing w:line="360" w:lineRule="auto" w:after="0" w:before="0"/>
        <w:jc w:val="both"/>
      </w:pPr>
      <w:r>
        <w:rPr>
          <w:rFonts w:ascii="Arial" w:hAnsi="Arial" w:cs="Arial"/>
          <w:b w:val="0"/>
          <w:i w:val="0"/>
          <w:sz w:val="28"/>
        </w:rPr>
        <w:t xml:space="preserve">11. Suscitada a matéria nos embargos de declaração, consideram-se incluídos no acórdão os elementos para fins de prequestionamento, ainda que os embargos sejam rejeitados, caso o tribunal superior considere existentes erro, omissão, contradição ou obscuridade (CPC 1025).</w:t>
      </w:r>
    </w:p>
    <w:p>
      <w:pPr>
        <w:spacing w:line="360" w:lineRule="auto" w:after="0" w:before="0"/>
        <w:jc w:val="both"/>
      </w:pPr>
      <w:r>
        <w:rPr>
          <w:rFonts w:ascii="Arial" w:hAnsi="Arial" w:cs="Arial"/>
          <w:b/>
          <w:i w:val="0"/>
          <w:sz w:val="28"/>
        </w:rPr>
        <w:t xml:space="preserve">IV. Dispositivo</w:t>
      </w:r>
    </w:p>
    <w:p>
      <w:pPr>
        <w:spacing w:line="360" w:lineRule="auto" w:after="0" w:before="0"/>
        <w:jc w:val="both"/>
      </w:pPr>
      <w:r>
        <w:rPr>
          <w:rFonts w:ascii="Arial" w:hAnsi="Arial" w:cs="Arial"/>
          <w:b w:val="0"/>
          <w:i w:val="0"/>
          <w:sz w:val="28"/>
        </w:rPr>
        <w:t xml:space="preserve">12. Negou-se provimento aos embargos de declaração da exequente.</w:t>
      </w:r>
    </w:p>
    <w:p>
      <w:pPr>
        <w:spacing w:line="360" w:lineRule="auto" w:after="0" w:before="0"/>
        <w:jc w:val="both"/>
      </w:pPr>
      <w:r>
        <w:rPr>
          <w:rFonts w:ascii="Arial" w:hAnsi="Arial" w:cs="Arial"/>
          <w:b w:val="0"/>
          <w:i w:val="0"/>
          <w:sz w:val="26"/>
          <w:u w:val="single"/>
        </w:rPr>
        <w:t>_</w:t>
      </w:r>
      <w:r>
        <w:rPr>
          <w:rFonts w:ascii="Arial" w:hAnsi="Arial" w:cs="Arial"/>
          <w:b w:val="0"/>
          <w:i w:val="0"/>
          <w:sz w:val="26"/>
        </w:rPr>
        <w:t>_</w:t>
      </w:r>
    </w:p>
    <w:p>
      <w:pPr>
        <w:spacing w:line="360" w:lineRule="auto" w:after="0" w:before="0"/>
        <w:jc w:val="both"/>
      </w:pPr>
      <w:commentRangeStart w:id="1"/>
      <w:r>
        <w:rPr>
          <w:rFonts w:ascii="Arial" w:hAnsi="Arial" w:cs="Arial"/>
          <w:b w:val="0"/>
          <w:i/>
          <w:sz w:val="26"/>
        </w:rPr>
        <w:t xml:space="preserve">Dispositivos relevantes citados:</w:t>
      </w:r>
      <w:r>
        <w:rPr>
          <w:rFonts w:ascii="Arial" w:hAnsi="Arial" w:cs="Arial"/>
          <w:b w:val="0"/>
          <w:i w:val="0"/>
          <w:sz w:val="26"/>
        </w:rPr>
        <w:t xml:space="preserve"> CPC, arts. 489, § 1º, IV, 1.022 e 1.025.</w:t>
      </w:r>
      <w:commentRangeEnd w:id="1"/>
      <w:r>
        <w:rPr>
          <w:rStyle w:val="CommentReference"/>
        </w:rPr>
        <w:commentReference w:id="1"/>
      </w:r>
    </w:p>
    <w:p>
      <w:pPr>
        <w:spacing w:line="360" w:lineRule="auto" w:after="0" w:before="0"/>
        <w:jc w:val="both"/>
      </w:pPr>
      <w:commentRangeStart w:id="2"/>
      <w:r>
        <w:rPr>
          <w:rFonts w:ascii="Arial" w:hAnsi="Arial" w:cs="Arial"/>
          <w:b w:val="0"/>
          <w:i/>
          <w:sz w:val="26"/>
        </w:rPr>
        <w:t xml:space="preserve">Jurisprudência relevante citada:</w:t>
      </w:r>
      <w:r>
        <w:rPr>
          <w:rFonts w:ascii="Arial" w:hAnsi="Arial" w:cs="Arial"/>
          <w:b w:val="0"/>
          <w:i w:val="0"/>
          <w:sz w:val="26"/>
        </w:rPr>
        <w:t xml:space="preserve"> TJDFT, Processo nº 0735951-05.2024.8.07.0001, Rel. Des. Jansen Fialho de Almeida, 4ª Turma Cível, j. 03/07/2025.</w:t>
      </w:r>
      <w:commentRangeEnd w:id="2"/>
      <w:r>
        <w:rPr>
          <w:rStyle w:val="CommentReference"/>
        </w:rPr>
        <w:commentReference w:id="2"/>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r>
        <w:rPr>
          <w:rFonts w:ascii="Arial" w:hAnsi="Arial" w:cs="Arial"/>
          <w:b/>
          <w:i w:val="0"/>
          <w:color w:val="EE0000"/>
          <w:sz w:val="28"/>
          <w:highlight w:val="yellow"/>
        </w:rPr>
        <w:t xml:space="preserve">RESUMO DOS EMBARGOS EM SENTIDO CONTRÁRIO AO VOTO</w:t>
      </w:r>
    </w:p>
    <w:p>
      <w:pPr>
        <w:spacing w:line="360" w:lineRule="auto" w:after="0" w:before="0"/>
        <w:jc w:val="both"/>
      </w:pPr>
      <w:r>
        <w:rPr>
          <w:rFonts w:ascii="Arial" w:hAnsi="Arial" w:cs="Arial"/>
          <w:b/>
          <w:i w:val="0"/>
          <w:color w:val="EE0000"/>
          <w:sz w:val="28"/>
        </w:rPr>
        <w:t xml:space="preserve">I. RAZÕES RECURSAIS</w:t>
      </w:r>
    </w:p>
    <w:p>
      <w:pPr>
        <w:spacing w:line="360" w:lineRule="auto" w:after="0" w:before="0"/>
        <w:jc w:val="both"/>
      </w:pPr>
      <w:r>
        <w:rPr>
          <w:rFonts w:ascii="Arial" w:hAnsi="Arial" w:cs="Arial"/>
          <w:b/>
          <w:i w:val="0"/>
          <w:color w:val="EE0000"/>
          <w:sz w:val="28"/>
        </w:rPr>
        <w:t xml:space="preserve">Omissão quanto à distinção entre sucessão empresarial e desconsideração da personalidade jurídica</w:t>
      </w:r>
    </w:p>
    <w:p>
      <w:pPr>
        <w:spacing w:line="360" w:lineRule="auto" w:after="0" w:before="0"/>
        <w:ind w:hanging="357" w:left="720"/>
        <w:jc w:val="both"/>
      </w:pPr>
      <w:r>
        <w:rPr>
          <w:rFonts w:ascii="Arial" w:hAnsi="Arial" w:cs="Arial"/>
          <w:b w:val="0"/>
          <w:i w:val="0"/>
          <w:color w:val="EE0000"/>
          <w:sz w:val="28"/>
        </w:rPr>
        <w:t xml:space="preserve">1. A embargante sustenta que a tese do exequente era de sucessão empresarial irregular, figura autônoma que não se confunde com a desconsideração da personalidade jurídica (CC 50), mas o acórdão a examinou predominantemente pelos requisitos desta e deixou de enfrentar o enquadramento jurídico dos fatos já delineados na origem.</w:t>
      </w:r>
    </w:p>
    <w:p>
      <w:pPr>
        <w:spacing w:line="360" w:lineRule="auto" w:after="0" w:before="0"/>
        <w:jc w:val="both"/>
      </w:pPr>
      <w:r>
        <w:rPr>
          <w:rFonts w:ascii="Arial" w:hAnsi="Arial" w:cs="Arial"/>
          <w:b/>
          <w:i w:val="0"/>
          <w:color w:val="EE0000"/>
          <w:sz w:val="28"/>
        </w:rPr>
        <w:t xml:space="preserve">Omissão quanto à sucessão de fato e à franquia</w:t>
      </w:r>
    </w:p>
    <w:p>
      <w:pPr>
        <w:spacing w:line="360" w:lineRule="auto" w:after="0" w:before="0"/>
        <w:ind w:hanging="357" w:left="720"/>
        <w:jc w:val="both"/>
      </w:pPr>
      <w:r>
        <w:rPr>
          <w:rFonts w:ascii="Arial" w:hAnsi="Arial" w:cs="Arial"/>
          <w:b w:val="0"/>
          <w:i w:val="0"/>
          <w:color w:val="EE0000"/>
          <w:sz w:val="28"/>
        </w:rPr>
        <w:t xml:space="preserve">2. Alega que a sucessão de fato dispensa trespasse formal, assunção de passivos, identidade societária, confusão patrimonial e desvio de finalidade, e pode ser presumida quando há prosseguimento da mesma atividade, no mesmo endereço e com o mesmo objeto social (CC 1.142, 1.143 e 1.146; AgInt no REsp n. 1.837.435/SP), e que a franquia não a afasta, pois o acórdão deixou de examinar a conjugação dos fatores de continuidade reconhecidos na origem.</w:t>
      </w:r>
    </w:p>
    <w:p>
      <w:pPr>
        <w:spacing w:line="360" w:lineRule="auto" w:after="0" w:before="0"/>
        <w:jc w:val="both"/>
      </w:pPr>
      <w:r>
        <w:rPr>
          <w:rFonts w:ascii="Arial" w:hAnsi="Arial" w:cs="Arial"/>
          <w:b/>
          <w:i w:val="0"/>
          <w:color w:val="EE0000"/>
          <w:sz w:val="28"/>
        </w:rPr>
        <w:t xml:space="preserve">Contradição</w:t>
      </w:r>
    </w:p>
    <w:p>
      <w:pPr>
        <w:spacing w:line="360" w:lineRule="auto" w:after="0" w:before="0"/>
        <w:ind w:hanging="357" w:left="720"/>
        <w:jc w:val="both"/>
      </w:pPr>
      <w:r>
        <w:rPr>
          <w:rFonts w:ascii="Arial" w:hAnsi="Arial" w:cs="Arial"/>
          <w:b w:val="0"/>
          <w:i w:val="0"/>
          <w:color w:val="EE0000"/>
          <w:sz w:val="28"/>
        </w:rPr>
        <w:t xml:space="preserve">3. Afirma que o acórdão reconheceu que a controvérsia era de sucessão empresarial, mas condicionou a responsabilidade da agravante a requisitos próprios da desconsideração da personalidade jurídica.</w:t>
      </w:r>
    </w:p>
    <w:p>
      <w:pPr>
        <w:spacing w:line="360" w:lineRule="auto" w:after="0" w:before="0"/>
        <w:jc w:val="both"/>
      </w:pPr>
      <w:r>
        <w:rPr>
          <w:rFonts w:ascii="Arial" w:hAnsi="Arial" w:cs="Arial"/>
          <w:b/>
          <w:i w:val="0"/>
          <w:color w:val="EE0000"/>
          <w:sz w:val="28"/>
        </w:rPr>
        <w:t xml:space="preserve">Omissão quanto ao hiato temporal</w:t>
      </w:r>
    </w:p>
    <w:p>
      <w:pPr>
        <w:spacing w:line="360" w:lineRule="auto" w:after="0" w:before="0"/>
        <w:ind w:hanging="357" w:left="720"/>
        <w:jc w:val="both"/>
      </w:pPr>
      <w:r>
        <w:rPr>
          <w:rFonts w:ascii="Arial" w:hAnsi="Arial" w:cs="Arial"/>
          <w:b w:val="0"/>
          <w:i w:val="0"/>
          <w:color w:val="EE0000"/>
          <w:sz w:val="28"/>
        </w:rPr>
        <w:t xml:space="preserve">4. Sustenta que o marco relevante não é a data de formação do crédito, mas o momento em que, em curso a execução, a devedora deixa de ser localizada e outra pessoa jurídica passa a explorar o mesmo ponto, e que o hiato temporal deveria ter sido examinado com os demais elementos de continuidade.</w:t>
      </w:r>
    </w:p>
    <w:p>
      <w:pPr>
        <w:spacing w:line="360" w:lineRule="auto" w:after="0" w:before="0"/>
        <w:jc w:val="both"/>
      </w:pPr>
      <w:r>
        <w:rPr>
          <w:rFonts w:ascii="Arial" w:hAnsi="Arial" w:cs="Arial"/>
          <w:b/>
          <w:i w:val="0"/>
          <w:color w:val="EE0000"/>
          <w:sz w:val="28"/>
        </w:rPr>
        <w:t xml:space="preserve">Efeitos infringentes e prequestionamento</w:t>
      </w:r>
    </w:p>
    <w:p>
      <w:pPr>
        <w:spacing w:line="360" w:lineRule="auto" w:after="0" w:before="0"/>
        <w:ind w:hanging="357" w:left="720"/>
        <w:jc w:val="both"/>
      </w:pPr>
      <w:r>
        <w:rPr>
          <w:rFonts w:ascii="Arial" w:hAnsi="Arial" w:cs="Arial"/>
          <w:b w:val="0"/>
          <w:i w:val="0"/>
          <w:color w:val="EE0000"/>
          <w:sz w:val="28"/>
        </w:rPr>
        <w:t xml:space="preserve">5. Requer efeitos infringentes para manter a decisão de origem ou, ao menos, o enfrentamento expresso dos pontos suscitados e dos dispositivos indicados, para fins de prequestionamento.</w:t>
      </w:r>
    </w:p>
    <w:p>
      <w:pPr>
        <w:spacing w:line="360" w:lineRule="auto" w:after="0" w:before="0"/>
        <w:jc w:val="both"/>
      </w:pPr>
      <w:r>
        <w:rPr>
          <w:rFonts w:ascii="Arial" w:hAnsi="Arial" w:cs="Arial"/>
          <w:b/>
          <w:i w:val="0"/>
          <w:color w:val="EE0000"/>
          <w:sz w:val="28"/>
        </w:rPr>
        <w:t xml:space="preserve">II. PEDIDO</w:t>
      </w:r>
    </w:p>
    <w:p>
      <w:pPr>
        <w:spacing w:line="360" w:lineRule="auto" w:after="0" w:before="0"/>
        <w:ind w:hanging="357" w:left="720"/>
        <w:jc w:val="both"/>
      </w:pPr>
      <w:r>
        <w:rPr>
          <w:rFonts w:ascii="Arial" w:hAnsi="Arial" w:cs="Arial"/>
          <w:b w:val="0"/>
          <w:i w:val="0"/>
          <w:color w:val="EE0000"/>
          <w:sz w:val="28"/>
        </w:rPr>
        <w:t xml:space="preserve">Requer o provimento dos embargos de declaração, com efeitos infringentes, para negar provimento ao agravo de instrumento e manter a decisão de origem, ou, ao menos, para sanar as omissões e contradições apontadas, inclusive para fins de prequestionamento.</w:t>
      </w:r>
    </w:p>
    <w:p>
      <w:pPr>
        <w:pageBreakBefore/>
        <w:spacing w:line="360" w:lineRule="auto" w:after="0" w:before="0"/>
        <w:jc w:val="center"/>
      </w:pPr>
      <w:r>
        <w:rPr>
          <w:rFonts w:ascii="Arial" w:hAnsi="Arial" w:cs="Arial"/>
          <w:b/>
          <w:i w:val="0"/>
          <w:sz w:val="28"/>
        </w:rPr>
        <w:t xml:space="preserve">RELATÓRIO</w:t>
      </w:r>
    </w:p>
    <w:p>
      <w:pPr>
        <w:spacing w:line="360" w:lineRule="auto" w:after="0"/>
        <w:ind w:firstLine="2268"/>
      </w:pPr>
      <w:r>
        <w:rPr>
          <w:sz w:val="28"/>
        </w:rPr>
      </w:r>
    </w:p>
    <w:p>
      <w:pPr>
        <w:spacing w:line="360" w:lineRule="auto" w:after="0" w:before="0"/>
        <w:ind w:firstLine="2268"/>
        <w:jc w:val="both"/>
      </w:pPr>
      <w:commentRangeStart w:id="3"/>
      <w:r>
        <w:rPr>
          <w:rFonts w:ascii="Arial" w:hAnsi="Arial" w:cs="Arial"/>
          <w:b w:val="0"/>
          <w:i w:val="0"/>
          <w:sz w:val="28"/>
        </w:rPr>
        <w:t xml:space="preserve">A exequente, ABC I Fundo de Investimento em Direitos Creditórios, opõe embargos de declaração contra o v. acórdão que rejeitou a preliminar e deu provimento ao agravo de instrumento e ostenta a seguinte ementa:</w:t>
      </w:r>
      <w:commentRangeEnd w:id="3"/>
      <w:r>
        <w:rPr>
          <w:rStyle w:val="CommentReference"/>
        </w:rPr>
        <w:commentReference w:id="3"/>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“AGRAVO DE INSTRUMENTO. DIREITO PROCESSUAL CIVIL E EMPRESARIAL. CUMPRIMENTO DE SENTENÇA. INCIDENTE DE DESCONSIDERAÇÃO DA PERSONALIDADE JURÍDICA. SUCESSÃO EMPRESARIAL. FRANQUIA. AUSÊNCIA DE CONFUSÃO PATRIMONIAL E DE DESVIO DE FINALIDADE. REFORMA DA DECISÃO. PROVIMENTO.</w:t>
      </w:r>
    </w:p>
    <w:p>
      <w:pPr>
        <w:spacing w:line="360" w:lineRule="auto" w:after="0" w:before="0"/>
        <w:ind w:left="2268"/>
        <w:jc w:val="both"/>
      </w:pPr>
      <w:r>
        <w:rPr>
          <w:rFonts w:ascii="Arial" w:hAnsi="Arial" w:cs="Arial"/>
          <w:b w:val="0"/>
          <w:i/>
          <w:sz w:val="26"/>
        </w:rPr>
        <w:t xml:space="preserve">I. Caso em exame</w:t>
      </w:r>
    </w:p>
    <w:p>
      <w:pPr>
        <w:spacing w:line="360" w:lineRule="auto" w:after="0" w:before="0"/>
        <w:ind w:left="2268"/>
        <w:jc w:val="both"/>
      </w:pPr>
      <w:r>
        <w:rPr>
          <w:rFonts w:ascii="Arial" w:hAnsi="Arial" w:cs="Arial"/>
          <w:b w:val="0"/>
          <w:i/>
          <w:sz w:val="26"/>
        </w:rPr>
        <w:t xml:space="preserve">1. Cumprimento de sentença proposto por ABC I Fundo de Investimento em Direitos Creditórios contra TBB Alimentos Brasília Ltda.-ME, visando à satisfação de crédito oriundo de contratação celebrada em 16/08/2019 e renegociada em 20/05/2020.</w:t>
      </w:r>
    </w:p>
    <w:p>
      <w:pPr>
        <w:spacing w:line="360" w:lineRule="auto" w:after="0" w:before="0"/>
        <w:ind w:left="2268"/>
        <w:jc w:val="both"/>
      </w:pPr>
      <w:r>
        <w:rPr>
          <w:rFonts w:ascii="Arial" w:hAnsi="Arial" w:cs="Arial"/>
          <w:b w:val="0"/>
          <w:i/>
          <w:sz w:val="26"/>
        </w:rPr>
        <w:t xml:space="preserve">2. A decisão agravada acolheu incidente de desconsideração da personalidade jurídica por suposta sucessão empresarial, reconheceu a existência de empresa espelho e determinou a inclusão de Landim e Oliveira Comercial de Alimentos Ltda. no polo passivo da execução, com extensão dos atos constritivos.</w:t>
      </w:r>
    </w:p>
    <w:p>
      <w:pPr>
        <w:spacing w:line="360" w:lineRule="auto" w:after="0" w:before="0"/>
        <w:ind w:left="2268"/>
        <w:jc w:val="both"/>
      </w:pPr>
      <w:r>
        <w:rPr>
          <w:rFonts w:ascii="Arial" w:hAnsi="Arial" w:cs="Arial"/>
          <w:b w:val="0"/>
          <w:i/>
          <w:sz w:val="26"/>
        </w:rPr>
        <w:t xml:space="preserve">3. A empresa incluída agravou, requerendo a suspensão dos atos executivos e, no mérito, a reforma da decisão para afastar o reconhecimento de sucessão empresarial e a desconsideração da personalidade jurídica.</w:t>
      </w:r>
    </w:p>
    <w:p>
      <w:pPr>
        <w:spacing w:line="360" w:lineRule="auto" w:after="0" w:before="0"/>
        <w:ind w:left="2268"/>
        <w:jc w:val="both"/>
      </w:pPr>
      <w:r>
        <w:rPr>
          <w:rFonts w:ascii="Arial" w:hAnsi="Arial" w:cs="Arial"/>
          <w:b w:val="0"/>
          <w:i/>
          <w:sz w:val="26"/>
        </w:rPr>
        <w:t xml:space="preserve">II. Questão em discussão</w:t>
      </w:r>
    </w:p>
    <w:p>
      <w:pPr>
        <w:spacing w:line="360" w:lineRule="auto" w:after="0" w:before="0"/>
        <w:ind w:left="2268"/>
        <w:jc w:val="both"/>
      </w:pPr>
      <w:r>
        <w:rPr>
          <w:rFonts w:ascii="Arial" w:hAnsi="Arial" w:cs="Arial"/>
          <w:b w:val="0"/>
          <w:i/>
          <w:sz w:val="26"/>
        </w:rPr>
        <w:t xml:space="preserve">4. Há duas questões em discussão: (i) saber se o agravo de instrumento observa o dever de impugnação específica; e (ii) saber se a continuidade da atividade empresarial no mesmo ponto comercial, com uso da mesma marca em contexto de franquia, autoriza o reconhecimento de sucessão empresarial e a desconsideração da personalidade jurídica, nos termos do art. 50 do Código Civil.</w:t>
      </w:r>
    </w:p>
    <w:p>
      <w:pPr>
        <w:spacing w:line="360" w:lineRule="auto" w:after="0" w:before="0"/>
        <w:ind w:left="2268"/>
        <w:jc w:val="both"/>
      </w:pPr>
      <w:r>
        <w:rPr>
          <w:rFonts w:ascii="Arial" w:hAnsi="Arial" w:cs="Arial"/>
          <w:b w:val="0"/>
          <w:i/>
          <w:sz w:val="26"/>
        </w:rPr>
        <w:t xml:space="preserve">III. Razões de decidir</w:t>
      </w:r>
    </w:p>
    <w:p>
      <w:pPr>
        <w:spacing w:line="360" w:lineRule="auto" w:after="0" w:before="0"/>
        <w:ind w:left="2268"/>
        <w:jc w:val="both"/>
      </w:pPr>
      <w:r>
        <w:rPr>
          <w:rFonts w:ascii="Arial" w:hAnsi="Arial" w:cs="Arial"/>
          <w:b w:val="0"/>
          <w:i/>
          <w:sz w:val="26"/>
        </w:rPr>
        <w:t xml:space="preserve">5. O agravo impugnou de forma direta os fundamentos da decisão agravada, ao sustentar inexistência de sucessão, de confusão patrimonial e de desvio de finalidade, bem como ao destacar as particularidades do contrato de franquia, o que satisfaz o princípio da dialeticidade e afasta a preliminar de inadmissibilidade.</w:t>
      </w:r>
    </w:p>
    <w:p>
      <w:pPr>
        <w:spacing w:line="360" w:lineRule="auto" w:after="0" w:before="0"/>
        <w:ind w:left="2268"/>
        <w:jc w:val="both"/>
      </w:pPr>
      <w:r>
        <w:rPr>
          <w:rFonts w:ascii="Arial" w:hAnsi="Arial" w:cs="Arial"/>
          <w:b w:val="0"/>
          <w:i/>
          <w:sz w:val="26"/>
        </w:rPr>
        <w:t xml:space="preserve">6. A mera continuidade da exploração da marca no mesmo endereço, quando decorrente de contrato regular de franquia, não configura, por si só, sucessão empresarial nem autoriza a desconsideração da personalidade jurídica, ausente prova de trespasse, assunção de passivos, identidade societária, confusão patrimonial ou desvio de finalidade.</w:t>
      </w:r>
    </w:p>
    <w:p>
      <w:pPr>
        <w:spacing w:line="360" w:lineRule="auto" w:after="0" w:before="0"/>
        <w:ind w:left="2268"/>
        <w:jc w:val="both"/>
      </w:pPr>
      <w:r>
        <w:rPr>
          <w:rFonts w:ascii="Arial" w:hAnsi="Arial" w:cs="Arial"/>
          <w:b w:val="0"/>
          <w:i/>
          <w:sz w:val="26"/>
        </w:rPr>
        <w:t xml:space="preserve">7. O crédito exequendo originou-se de relação jurídica firmada em 2019 e 2020 com a devedora originária, havendo hiato temporal relevante até a posterior instalação da operação franqueada pela agravante, circunstância incompatível com a tese de mera substituição formal de CNPJ para blindagem patrimonial.</w:t>
      </w:r>
    </w:p>
    <w:p>
      <w:pPr>
        <w:spacing w:line="360" w:lineRule="auto" w:after="0" w:before="0"/>
        <w:ind w:left="2268"/>
        <w:jc w:val="both"/>
      </w:pPr>
      <w:r>
        <w:rPr>
          <w:rFonts w:ascii="Arial" w:hAnsi="Arial" w:cs="Arial"/>
          <w:b w:val="0"/>
          <w:i/>
          <w:sz w:val="26"/>
        </w:rPr>
        <w:t xml:space="preserve">8. O indeferimento do incidente de desconsideração da personalidade jurídica impõe a exclusão da empresa indevidamente incluída no polo passivo e autoriza a fixação de honorários sucumbenciais em favor de seu patrono.</w:t>
      </w:r>
    </w:p>
    <w:p>
      <w:pPr>
        <w:spacing w:line="360" w:lineRule="auto" w:after="0" w:before="0"/>
        <w:ind w:left="2268"/>
        <w:jc w:val="both"/>
      </w:pPr>
      <w:r>
        <w:rPr>
          <w:rFonts w:ascii="Arial" w:hAnsi="Arial" w:cs="Arial"/>
          <w:b w:val="0"/>
          <w:i/>
          <w:sz w:val="26"/>
        </w:rPr>
        <w:t xml:space="preserve">IV. Dispositivo</w:t>
      </w:r>
    </w:p>
    <w:p>
      <w:pPr>
        <w:spacing w:line="360" w:lineRule="auto" w:after="0" w:before="0"/>
        <w:ind w:left="2268"/>
        <w:jc w:val="both"/>
      </w:pPr>
      <w:r>
        <w:rPr>
          <w:rFonts w:ascii="Arial" w:hAnsi="Arial" w:cs="Arial"/>
          <w:b w:val="0"/>
          <w:i/>
          <w:sz w:val="26"/>
        </w:rPr>
        <w:t xml:space="preserve">9. Deu-se provimento ao agravo de instrumento interposto por Landim e Oliveira Comercial de Alimentos Ltda. para reformar a decisão agravada, indeferir a desconsideração da personalidade jurídica por alegada sucessão empresarial, determinar a exclusão da agravante do polo passivo do cumprimento de sentença nº 0706622-16.2022.8.07.0001 e fixar honorários sucumbenciais em desfavor do exequente/agravado em 10% do valor da execução. (...).” (ID 84207902)</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embargante alega a existência de omissão e de contradição no acórdão.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Contrarrazões em que a embargada, Landim e Oliveira Comercial de Alimentos Ltda., alega que: </w:t>
      </w:r>
      <w:r>
        <w:rPr>
          <w:rFonts w:ascii="Arial" w:hAnsi="Arial" w:cs="Arial"/>
          <w:b/>
          <w:i w:val="0"/>
          <w:sz w:val="28"/>
        </w:rPr>
        <w:t xml:space="preserve">1)</w:t>
      </w:r>
      <w:r>
        <w:rPr>
          <w:rFonts w:ascii="Arial" w:hAnsi="Arial" w:cs="Arial"/>
          <w:b w:val="0"/>
          <w:i w:val="0"/>
          <w:sz w:val="28"/>
        </w:rPr>
        <w:t xml:space="preserve"> não há omissão, contradição ou obscuridade, pois o acórdão enfrentou todos os pontos da demanda; </w:t>
      </w:r>
      <w:r>
        <w:rPr>
          <w:rFonts w:ascii="Arial" w:hAnsi="Arial" w:cs="Arial"/>
          <w:b/>
          <w:i w:val="0"/>
          <w:sz w:val="28"/>
        </w:rPr>
        <w:t xml:space="preserve">2)</w:t>
      </w:r>
      <w:r>
        <w:rPr>
          <w:rFonts w:ascii="Arial" w:hAnsi="Arial" w:cs="Arial"/>
          <w:b w:val="0"/>
          <w:i w:val="0"/>
          <w:sz w:val="28"/>
        </w:rPr>
        <w:t xml:space="preserve"> o crédito foi contraído anos antes do início da atividade da embargada, que contratou diretamente com a franqueadora e não tem relação com a devedora originária; </w:t>
      </w:r>
      <w:r>
        <w:rPr>
          <w:rFonts w:ascii="Arial" w:hAnsi="Arial" w:cs="Arial"/>
          <w:b/>
          <w:i w:val="0"/>
          <w:sz w:val="28"/>
        </w:rPr>
        <w:t xml:space="preserve">3)</w:t>
      </w:r>
      <w:r>
        <w:rPr>
          <w:rFonts w:ascii="Arial" w:hAnsi="Arial" w:cs="Arial"/>
          <w:b w:val="0"/>
          <w:i w:val="0"/>
          <w:sz w:val="28"/>
        </w:rPr>
        <w:t xml:space="preserve"> não houve trespasse, mas apenas a locação do espaço e o contrato de franquia, e não há dolo de lesar credores, grupo econômico nem os requisitos do CC 50; </w:t>
      </w:r>
      <w:r>
        <w:rPr>
          <w:rFonts w:ascii="Arial" w:hAnsi="Arial" w:cs="Arial"/>
          <w:b/>
          <w:i w:val="0"/>
          <w:sz w:val="28"/>
        </w:rPr>
        <w:t xml:space="preserve">4)</w:t>
      </w:r>
      <w:r>
        <w:rPr>
          <w:rFonts w:ascii="Arial" w:hAnsi="Arial" w:cs="Arial"/>
          <w:b w:val="0"/>
          <w:i w:val="0"/>
          <w:sz w:val="28"/>
        </w:rPr>
        <w:t xml:space="preserve"> a pretensão dos embargos exige recurso próprio (ID 87719647).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É o relatório.</w:t>
      </w:r>
    </w:p>
    <w:p>
      <w:pPr>
        <w:spacing w:line="360" w:lineRule="auto" w:after="0"/>
        <w:ind w:firstLine="2268"/>
      </w:pPr>
      <w:r>
        <w:rPr>
          <w:sz w:val="28"/>
        </w:rPr>
      </w:r>
    </w:p>
    <w:p>
      <w:pPr>
        <w:pageBreakBefore/>
        <w:spacing w:line="360" w:lineRule="auto" w:after="0" w:before="0"/>
        <w:jc w:val="center"/>
      </w:pPr>
      <w:r>
        <w:rPr>
          <w:rFonts w:ascii="Arial" w:hAnsi="Arial" w:cs="Arial"/>
          <w:b/>
          <w:i w:val="0"/>
          <w:sz w:val="28"/>
        </w:rPr>
        <w:t xml:space="preserve">VOTO</w:t>
      </w:r>
    </w:p>
    <w:p>
      <w:pPr>
        <w:spacing w:line="360" w:lineRule="auto" w:after="0"/>
        <w:ind w:firstLine="2268"/>
      </w:pPr>
      <w:r>
        <w:rPr>
          <w:sz w:val="28"/>
        </w:rPr>
      </w:r>
    </w:p>
    <w:p>
      <w:pPr>
        <w:spacing w:line="360" w:lineRule="auto" w:after="0" w:before="0"/>
        <w:jc w:val="both"/>
      </w:pPr>
      <w:r>
        <w:rPr>
          <w:rFonts w:ascii="Arial" w:hAnsi="Arial" w:cs="Arial"/>
          <w:b/>
          <w:i w:val="0"/>
          <w:sz w:val="28"/>
        </w:rPr>
        <w:t xml:space="preserve">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sz w:val="28"/>
        </w:rPr>
        <w:t xml:space="preserve">EMBARGOS DE DECLARAÇÃO OPOSTOS PELA EXEQUENTE, ABC I FUNDO DE INVESTIMENTO EM DIREITOS CREDITÓRIOS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Presentes os pressupostos de admissibilidade, conheço dos embargos de declaração.</w:t>
      </w:r>
    </w:p>
    <w:p>
      <w:pPr>
        <w:spacing w:line="360" w:lineRule="auto" w:after="0"/>
        <w:ind w:firstLine="2268"/>
      </w:pPr>
      <w:r>
        <w:rPr>
          <w:sz w:val="28"/>
        </w:rPr>
      </w:r>
    </w:p>
    <w:p>
      <w:pPr>
        <w:keepNext/>
        <w:spacing w:line="360" w:lineRule="auto" w:after="0" w:before="0"/>
        <w:jc w:val="center"/>
      </w:pPr>
      <w:r>
        <w:rPr>
          <w:rFonts w:ascii="Arial" w:hAnsi="Arial" w:cs="Arial"/>
          <w:b w:val="0"/>
          <w:i w:val="0"/>
          <w:sz w:val="28"/>
          <w:highlight w:val="yellow"/>
        </w:rPr>
        <w:t xml:space="preserve">DA INEXISTÊNCIA DE OMISSÃO QUANTO À SUCESSÃO EMPRESARIAL DE FATO E À FRANQUIA</w:t>
      </w:r>
    </w:p>
    <w:p>
      <w:pPr>
        <w:spacing w:line="360" w:lineRule="auto" w:after="0"/>
        <w:ind w:firstLine="2268"/>
      </w:pPr>
      <w:r>
        <w:rPr>
          <w:sz w:val="28"/>
        </w:rPr>
      </w:r>
    </w:p>
    <w:p>
      <w:pPr>
        <w:spacing w:line="360" w:lineRule="auto" w:after="0" w:before="0"/>
        <w:ind w:firstLine="2268"/>
        <w:jc w:val="both"/>
      </w:pPr>
      <w:commentRangeStart w:id="4"/>
      <w:r>
        <w:rPr>
          <w:rFonts w:ascii="Arial" w:hAnsi="Arial" w:cs="Arial"/>
          <w:b w:val="0"/>
          <w:i w:val="0"/>
          <w:sz w:val="28"/>
        </w:rPr>
        <w:t xml:space="preserve">A embargante alega que: </w:t>
      </w:r>
      <w:r>
        <w:rPr>
          <w:rFonts w:ascii="Arial" w:hAnsi="Arial" w:cs="Arial"/>
          <w:b/>
          <w:i w:val="0"/>
          <w:sz w:val="28"/>
        </w:rPr>
        <w:t xml:space="preserve">1)</w:t>
      </w:r>
      <w:r>
        <w:rPr>
          <w:rFonts w:ascii="Arial" w:hAnsi="Arial" w:cs="Arial"/>
          <w:b w:val="0"/>
          <w:i w:val="0"/>
          <w:sz w:val="28"/>
        </w:rPr>
        <w:t xml:space="preserve"> a tese do exequente era de sucessão empresarial irregular, figura autônoma que não se confunde com a desconsideração da personalidade jurídica (CC 50), mas o acórdão a examinou predominantemente pelos requisitos desta; </w:t>
      </w:r>
      <w:r>
        <w:rPr>
          <w:rFonts w:ascii="Arial" w:hAnsi="Arial" w:cs="Arial"/>
          <w:b/>
          <w:i w:val="0"/>
          <w:sz w:val="28"/>
        </w:rPr>
        <w:t xml:space="preserve">2)</w:t>
      </w:r>
      <w:r>
        <w:rPr>
          <w:rFonts w:ascii="Arial" w:hAnsi="Arial" w:cs="Arial"/>
          <w:b w:val="0"/>
          <w:i w:val="0"/>
          <w:sz w:val="28"/>
        </w:rPr>
        <w:t xml:space="preserve"> a sucessão de fato dispensa trespasse formal, assunção de passivos, identidade societária, confusão patrimonial e desvio de finalidade, e pode ser presumida quando há prosseguimento da mesma atividade, no mesmo endereço e com o mesmo objeto social (CC 1.142, 1.143 e 1.146; AgInt no REsp n. 1.837.435/SP); </w:t>
      </w:r>
      <w:r>
        <w:rPr>
          <w:rFonts w:ascii="Arial" w:hAnsi="Arial" w:cs="Arial"/>
          <w:b/>
          <w:i w:val="0"/>
          <w:sz w:val="28"/>
        </w:rPr>
        <w:t xml:space="preserve">3)</w:t>
      </w:r>
      <w:r>
        <w:rPr>
          <w:rFonts w:ascii="Arial" w:hAnsi="Arial" w:cs="Arial"/>
          <w:b w:val="0"/>
          <w:i w:val="0"/>
          <w:sz w:val="28"/>
        </w:rPr>
        <w:t xml:space="preserve"> a franquia não afasta a sucessão, e o acórdão não enfrentou a conjugação dos fatores de continuidade reconhecidos na origem (inaptidão da executada, frustração da diligência, mesmo ponto, mesma marca e mesma clientela) (ID 86624534).</w:t>
      </w:r>
      <w:commentRangeEnd w:id="4"/>
      <w:r>
        <w:rPr>
          <w:rStyle w:val="CommentReference"/>
        </w:rPr>
        <w:commentReference w:id="4"/>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Requer o provimento dos embargos de declaração para que seja sanada a omissão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 xml:space="preserve">Sem razão a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xml:space="preserve">“(...) Mantenho as razões expostas na decisão liminar:</w:t>
      </w:r>
    </w:p>
    <w:p>
      <w:pPr>
        <w:spacing w:line="360" w:lineRule="auto" w:after="0" w:before="0"/>
        <w:ind w:left="3402"/>
        <w:jc w:val="both"/>
      </w:pPr>
      <w:r>
        <w:rPr>
          <w:rFonts w:ascii="Arial" w:hAnsi="Arial" w:cs="Arial"/>
          <w:b w:val="0"/>
          <w:i/>
          <w:sz w:val="26"/>
        </w:rPr>
        <w:t xml:space="preserve">‘(...) a continuidade da atividade econômica no mesmo ponto comercial, com preservação do nome fantasia, da clientela e da estrutura operacional não necessariamente configura confusão patrimonial apta à desconsideração da personalidade jurídica. Isso porque a atividade desenvolvida pela agravante pode realmente decorrer de um novo contrato de franquia regular, no qual houve a indicação, pela franqueadora, do mesmo espaço já por ela aprovado para as atividades da executada originária. Assim, ainda que haja continuidade do ponto comercial e manutenção do mesmo operador de franquia, não está demonstrado qualquer vínculo de parentesco entre os sócios da agravante e da executada originária, muito menos assunção expressa de dívidas ou pagamento direto de obrigações em nome desta (...)’</w:t>
      </w:r>
    </w:p>
    <w:p>
      <w:pPr>
        <w:spacing w:line="360" w:lineRule="auto" w:after="0" w:before="0"/>
        <w:ind w:firstLine="1134" w:left="2268"/>
        <w:jc w:val="both"/>
      </w:pPr>
      <w:r>
        <w:rPr>
          <w:rFonts w:ascii="Arial" w:hAnsi="Arial" w:cs="Arial"/>
          <w:b w:val="0"/>
          <w:i/>
          <w:sz w:val="26"/>
        </w:rPr>
        <w:t xml:space="preserve">(...) Assim, a prova constante dos autos aponta para a plausibilidade de que a agravante tenha ingressado na exploração da marca em momento posterior e sob relação jurídica própria (franquia), sem demonstração de transferência do estabelecimento do devedor originário, assunção de passivos, confusão patrimonial ou desvio de finalidade, circunstâncias que, à luz do art. 50 do CC supracitado, são determinantes para legitimar a extensão da responsabilidade a pessoa jurídica diversa.” (ID 84207907)</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sz w:val="28"/>
        </w:rPr>
        <w:t xml:space="preserve">No caso, o acórdão examinou a sucessão empresarial e a afastou porque a continuidade da marca e do ponto comercial, em contrato regular de franquia, não a configura por si só (ID 84207902 e 84207907).</w:t>
      </w:r>
      <w:commentRangeEnd w:id="5"/>
      <w:r>
        <w:rPr>
          <w:rStyle w:val="CommentReference"/>
        </w:rPr>
        <w:commentReference w:id="5"/>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Para o acórdão, estão ausentes vínculo entre os sócios, transferência do estabelecimento, assunção de passivos, confusão patrimonial e desvio de finalidade (ID 84207907).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mais, o precedente do STJ invocado pela embargante admite a presunção de sucessão empresarial quando os elementos indicam o prosseguimento da mesma atividade, no mesmo endereço e com o mesmo objeto social.</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Essa hipótese foi examinada e afastada no acórdão, diante do contrato de franquia e do hiato temporal entre o débito e a operação franqueada.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Decerto, o julgador não está obrigado a enfrentar individualmente todos os argumentos e dispositivos legais suscitados pelas partes quando decide a controvérsia com fundamentação suficiente.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Nesse sentido:</w:t>
      </w:r>
    </w:p>
    <w:p>
      <w:pPr>
        <w:spacing w:line="360" w:lineRule="auto" w:after="0"/>
        <w:ind w:firstLine="2268"/>
      </w:pPr>
      <w:r>
        <w:rPr>
          <w:sz w:val="28"/>
        </w:rPr>
      </w:r>
    </w:p>
    <w:p>
      <w:pPr>
        <w:spacing w:line="360" w:lineRule="auto" w:after="0" w:before="0"/>
        <w:ind w:left="2268"/>
        <w:jc w:val="both"/>
      </w:pPr>
      <w:commentRangeStart w:id="6"/>
      <w:r>
        <w:rPr>
          <w:rFonts w:ascii="Arial" w:hAnsi="Arial" w:cs="Arial"/>
          <w:b w:val="0"/>
          <w:i/>
          <w:sz w:val="26"/>
        </w:rPr>
        <w:t xml:space="preserve">“(...) 6. O julgador </w:t>
      </w:r>
      <w:r>
        <w:rPr>
          <w:rFonts w:ascii="Arial" w:hAnsi="Arial" w:cs="Arial"/>
          <w:b w:val="0"/>
          <w:i/>
          <w:sz w:val="26"/>
          <w:u w:val="single"/>
        </w:rPr>
        <w:t xml:space="preserve">não está obrigado a enfrentar cada argumento individualmente</w:t>
      </w:r>
      <w:r>
        <w:rPr>
          <w:rFonts w:ascii="Arial" w:hAnsi="Arial" w:cs="Arial"/>
          <w:b w:val="0"/>
          <w:i/>
          <w:sz w:val="26"/>
        </w:rPr>
        <w:t xml:space="preserve">, desde que a decisão contenha fundamentação idônea e suficiente (art. 489, § 1º, IV, do CPC). (...)” (Processo 0735951-05.2024.8.07.0001, Relator(a): JANSEN FIALHO DE ALMEIDA, 4ª TURMA CÍVEL, data de julgamento: 03/07/2025.) – Grifei</w:t>
      </w:r>
      <w:commentRangeEnd w:id="6"/>
      <w:r>
        <w:rPr>
          <w:rStyle w:val="CommentReference"/>
        </w:rPr>
        <w:commentReference w:id="6"/>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Dessa forma, conforme mencionado no v. acórdão embargado, a matéria relativa à sucessão empresarial e à franquia foi suficientemente abordada, não havendo omissão a ser sanada, mas apenas mero inconformismo meritório da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Na verdade, ao alegar omissão, a embargante pretende o reexame do agravo,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 xml:space="preserve">Nego provimento aos embargos de declaração, nesse ponto.</w:t>
      </w:r>
    </w:p>
    <w:p>
      <w:pPr>
        <w:spacing w:line="360" w:lineRule="auto" w:after="0"/>
        <w:ind w:firstLine="2268"/>
      </w:pPr>
      <w:r>
        <w:rPr>
          <w:sz w:val="28"/>
        </w:rPr>
      </w:r>
    </w:p>
    <w:p>
      <w:pPr>
        <w:keepNext/>
        <w:spacing w:line="360" w:lineRule="auto" w:after="0" w:before="0"/>
        <w:jc w:val="center"/>
      </w:pPr>
      <w:r>
        <w:rPr>
          <w:rFonts w:ascii="Arial" w:hAnsi="Arial" w:cs="Arial"/>
          <w:b w:val="0"/>
          <w:i w:val="0"/>
          <w:sz w:val="28"/>
          <w:highlight w:val="yellow"/>
        </w:rPr>
        <w:t xml:space="preserve">DA INEXISTÊNCIA DE CONTRADIÇÃO ENTRE A SUCESSÃO EMPRESARIAL E OS REQUISITOS DA DESCONSIDERAÇÃO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embargante alega que: </w:t>
      </w:r>
      <w:r>
        <w:rPr>
          <w:rFonts w:ascii="Arial" w:hAnsi="Arial" w:cs="Arial"/>
          <w:b/>
          <w:i w:val="0"/>
          <w:sz w:val="28"/>
        </w:rPr>
        <w:t xml:space="preserve">1)</w:t>
      </w:r>
      <w:r>
        <w:rPr>
          <w:rFonts w:ascii="Arial" w:hAnsi="Arial" w:cs="Arial"/>
          <w:b w:val="0"/>
          <w:i w:val="0"/>
          <w:sz w:val="28"/>
        </w:rPr>
        <w:t xml:space="preserve"> o acórdão delimitou a controvérsia como de sucessão empresarial, mas a julgou como se fosse mera hipótese de desconsideração da personalidade jurídica; </w:t>
      </w:r>
      <w:r>
        <w:rPr>
          <w:rFonts w:ascii="Arial" w:hAnsi="Arial" w:cs="Arial"/>
          <w:b/>
          <w:i w:val="0"/>
          <w:sz w:val="28"/>
        </w:rPr>
        <w:t xml:space="preserve">2)</w:t>
      </w:r>
      <w:r>
        <w:rPr>
          <w:rFonts w:ascii="Arial" w:hAnsi="Arial" w:cs="Arial"/>
          <w:b w:val="0"/>
          <w:i w:val="0"/>
          <w:sz w:val="28"/>
        </w:rPr>
        <w:t xml:space="preserve"> condicionou a responsabilidade da agravante a confusão patrimonial, desvio de finalidade, identidade societária e trespasse formal, requisitos que não seriam indispensáveis à sucessão de fato (ID 86624534).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Requer o provimento dos embargos de declaração para que seja sanada a contradição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 xml:space="preserve">Sem razão a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Registro que a contradição passível de ser alegada em embargos de declaração é a interna, ou seja, entre as premissas utilizadas e a conclusão do julgamento, o que não se verifica na hipótese, uma vez que a fundamentação e o dispositivo ostentam coerência lógica entre si.</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caso, o acórdão examinou, em um só capítulo, os requisitos da sucessão empresarial e da desconsideração da personalidade jurídica e concluiu pela ausência de transferência do estabelecimento, de assunção de passivos, de confusão patrimonial e de desvio de finalidade (ID 84207907).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Dessa forma, conforme mencionado no v. acórdão embargado, a matéria relativa ao enquadramento jurídico da sucessão empresarial foi suficientemente abordada, não havendo contradição a ser sanada, mas apenas mero inconformismo meritório da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Na verdade, ao alegar contradição, a embargante pretende o reexame do agravo,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 xml:space="preserve">Nego provimento aos embargos de declaração, nesse ponto.</w:t>
      </w:r>
    </w:p>
    <w:p>
      <w:pPr>
        <w:spacing w:line="360" w:lineRule="auto" w:after="0"/>
        <w:ind w:firstLine="2268"/>
      </w:pPr>
      <w:r>
        <w:rPr>
          <w:sz w:val="28"/>
        </w:rPr>
      </w:r>
    </w:p>
    <w:p>
      <w:pPr>
        <w:keepNext/>
        <w:spacing w:line="360" w:lineRule="auto" w:after="0" w:before="0"/>
        <w:jc w:val="center"/>
      </w:pPr>
      <w:r>
        <w:rPr>
          <w:rFonts w:ascii="Arial" w:hAnsi="Arial" w:cs="Arial"/>
          <w:b w:val="0"/>
          <w:i w:val="0"/>
          <w:sz w:val="28"/>
          <w:highlight w:val="yellow"/>
        </w:rPr>
        <w:t xml:space="preserve">DA INEXISTÊNCIA DE OMISSÃO QUANTO AO HIATO TEMPORAL ENTRE O DÉBITO E A OPERAÇÃO FRANQUEADA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embargante alega que: </w:t>
      </w:r>
      <w:r>
        <w:rPr>
          <w:rFonts w:ascii="Arial" w:hAnsi="Arial" w:cs="Arial"/>
          <w:b/>
          <w:i w:val="0"/>
          <w:sz w:val="28"/>
        </w:rPr>
        <w:t xml:space="preserve">1)</w:t>
      </w:r>
      <w:r>
        <w:rPr>
          <w:rFonts w:ascii="Arial" w:hAnsi="Arial" w:cs="Arial"/>
          <w:b w:val="0"/>
          <w:i w:val="0"/>
          <w:sz w:val="28"/>
        </w:rPr>
        <w:t xml:space="preserve"> o marco relevante para a sucessão empresarial não é a data de formação do crédito, mas o momento em que, em curso a execução, a devedora deixa de ser localizada e outra pessoa jurídica passa a explorar o mesmo ponto; </w:t>
      </w:r>
      <w:r>
        <w:rPr>
          <w:rFonts w:ascii="Arial" w:hAnsi="Arial" w:cs="Arial"/>
          <w:b/>
          <w:i w:val="0"/>
          <w:sz w:val="28"/>
        </w:rPr>
        <w:t xml:space="preserve">2)</w:t>
      </w:r>
      <w:r>
        <w:rPr>
          <w:rFonts w:ascii="Arial" w:hAnsi="Arial" w:cs="Arial"/>
          <w:b w:val="0"/>
          <w:i w:val="0"/>
          <w:sz w:val="28"/>
        </w:rPr>
        <w:t xml:space="preserve"> a sucessora quase sempre ingressa depois da dívida, de modo que o hiato temporal não afasta a sucessão e deveria ter sido examinado com os demais elementos de continuidade (ID 86624534).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Requer o provimento dos embargos de declaração para que seja sanada a omissão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 xml:space="preserve">Sem razão a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xml:space="preserve">“(...) Ademais, com a mais elevada vênia ao d. Juízo a quo, destaco o marco temporal da obrigação exequenda: o crédito que embasa o cumprimento de sentença decorre de contratação vinculada ao devedor originário TBB Alimentos Brasília Ltda. em 16/08/2019 (ID 116864730 do processo de referência), renegociada em 20/05/2020 (ID 116864731 do processo de referência), o que reforça a necessidade de demonstração concreta do nexo de continuidade entre a empresa devedora e a agravante, não bastando presunções extraídas apenas da exploração de marca e do ponto comercial.</w:t>
      </w:r>
    </w:p>
    <w:p>
      <w:pPr>
        <w:spacing w:line="360" w:lineRule="auto" w:after="0" w:before="0"/>
        <w:ind w:firstLine="1134" w:left="2268"/>
        <w:jc w:val="both"/>
      </w:pPr>
      <w:r>
        <w:rPr>
          <w:rFonts w:ascii="Arial" w:hAnsi="Arial" w:cs="Arial"/>
          <w:b w:val="0"/>
          <w:i/>
          <w:sz w:val="26"/>
        </w:rPr>
        <w:t xml:space="preserve">Nesse contexto, há elemento que enfraquece a narrativa de continuidade ininterrupta: o documento ID 253323736 p. 38 (do processo de referência) registra que, em agosto de 2021, não havia franqueado em Brasília, evidenciando um hiato temporal relevante entre o período de constituição do débito (2019/2020) e a posterior estruturação da operação franqueada na localidade, o que é incompatível com a ideia de mera ‘substituição formal de CNPJ’ como mecanismo contínuo de blindagem patrimonial. (...)” (ID 84207907)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caso, o acórdão valorou o hiato entre a constituição do débito (2019 e 2020) e a estruturação da operação franqueada na localidade, que considerou incompatível com a tese de mera substituição formal de CNPJ, ao lado da ausência de demonstração do nexo de continuidade (ID 84207907).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Dessa forma, conforme mencionado no v. acórdão embargado, a matéria relativa ao hiato temporal entre o débito e a operação franqueada foi suficientemente abordada, não havendo omissão a ser sanada, mas apenas mero inconformismo meritório da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Na verdade, ao alegar omissão, a embargante pretende o reexame do agravo,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 xml:space="preserve">Nego provimento aos embargos de declaração, nesse ponto.</w:t>
      </w:r>
    </w:p>
    <w:p>
      <w:pPr>
        <w:spacing w:line="360" w:lineRule="auto" w:after="0"/>
        <w:ind w:firstLine="2268"/>
      </w:pPr>
      <w:r>
        <w:rPr>
          <w:sz w:val="28"/>
        </w:rPr>
      </w:r>
    </w:p>
    <w:p>
      <w:pPr>
        <w:keepNext/>
        <w:spacing w:line="360" w:lineRule="auto" w:after="0" w:before="0"/>
        <w:jc w:val="center"/>
      </w:pPr>
      <w:r>
        <w:rPr>
          <w:rFonts w:ascii="Arial" w:hAnsi="Arial" w:cs="Arial"/>
          <w:b w:val="0"/>
          <w:i w:val="0"/>
          <w:sz w:val="28"/>
          <w:highlight w:val="yellow"/>
        </w:rPr>
        <w:t xml:space="preserve">DO PREQUESTIONAMENTO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embargante pede manifestação expressa sobre os dispositivos do CPC e do CC que indica e sobre os princípios que invoca, para fins de prequestionamento (CPC 1.022, 489 § 1º IV e VI e 1.025; CC 50, 1.142, 1.143 e 1.146; ID 86624534).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 xml:space="preserve">Sem razão a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Caso o acórdão tenha sido omisso, eivado de erro, contradição ou obscuridade, a arguição da matéria em embargos de declaração é suficiente para caracterizar o prequestionamento ficto.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Sobre o tema, dispõe o art. 1.025 do CPC:</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pPr>
        <w:spacing w:line="360" w:lineRule="auto" w:after="0"/>
        <w:ind w:firstLine="2268"/>
      </w:pPr>
      <w:r>
        <w:rPr>
          <w:sz w:val="28"/>
        </w:rPr>
      </w:r>
    </w:p>
    <w:p>
      <w:pPr>
        <w:spacing w:line="360" w:lineRule="auto" w:after="0" w:before="0"/>
        <w:jc w:val="center"/>
      </w:pPr>
      <w:r>
        <w:rPr>
          <w:rFonts w:ascii="Arial" w:hAnsi="Arial" w:cs="Arial"/>
          <w:b/>
          <w:i w:val="0"/>
          <w:sz w:val="28"/>
        </w:rPr>
        <w:t xml:space="preserve">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Ante o exposto, </w:t>
      </w:r>
      <w:r>
        <w:rPr>
          <w:rFonts w:ascii="Arial" w:hAnsi="Arial" w:cs="Arial"/>
          <w:b/>
          <w:i w:val="0"/>
          <w:sz w:val="28"/>
        </w:rPr>
        <w:t xml:space="preserve">nego provimento</w:t>
      </w:r>
      <w:r>
        <w:rPr>
          <w:rFonts w:ascii="Arial" w:hAnsi="Arial" w:cs="Arial"/>
          <w:b w:val="0"/>
          <w:i w:val="0"/>
          <w:sz w:val="28"/>
        </w:rPr>
        <w:t xml:space="preserve"> aos embargos de declaração opostos pela exequente, ABC I Fundo de Investimento em Direitos Creditórios.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É como voto.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B050"/>
          <w:sz w:val="27"/>
        </w:rPr>
        <w:t xml:space="preserve">DECISÃO RECORRIDA</w:t>
      </w:r>
    </w:p>
    <w:p>
      <w:pPr>
        <w:spacing w:line="360" w:lineRule="auto" w:after="0" w:before="0"/>
        <w:jc w:val="both"/>
      </w:pPr>
      <w:r>
        <w:rPr>
          <w:rFonts w:ascii="Arial" w:hAnsi="Arial" w:cs="Arial"/>
          <w:b w:val="0"/>
          <w:i w:val="0"/>
          <w:color w:val="00B050"/>
          <w:sz w:val="27"/>
        </w:rPr>
        <w:t xml:space="preserve">Relator Desembargador SÉRGIO ROCHA Acórdão Nº 2142173 EMENTA AGRAVO DE INSTRUMENTO. DIREITO PROCESSUAL CIVIL E EMPRESARIAL.</w:t>
      </w:r>
    </w:p>
    <w:p>
      <w:pPr>
        <w:spacing w:line="360" w:lineRule="auto" w:after="0" w:before="0"/>
        <w:jc w:val="both"/>
      </w:pPr>
      <w:r>
        <w:rPr>
          <w:rFonts w:ascii="Arial" w:hAnsi="Arial" w:cs="Arial"/>
          <w:b w:val="0"/>
          <w:i w:val="0"/>
          <w:color w:val="00B050"/>
          <w:sz w:val="27"/>
        </w:rPr>
        <w:t xml:space="preserve">CUMPRIMENTO DE SENTENÇA. INCIDENTE DE DESCONSIDERAÇÃO DA PERSONALIDADE JURÍDICA. SUCESSÃO EMPRESARIAL. FRANQUIA. AUSÊNCIA DE CONFUSÃO PATRIMONIAL E DE DESVIO DE FINALIDADE. REFORMA DA DECISÃO. PROVIMENTO.</w:t>
      </w:r>
    </w:p>
    <w:p>
      <w:pPr>
        <w:spacing w:line="360" w:lineRule="auto" w:after="0" w:before="0"/>
        <w:jc w:val="both"/>
      </w:pPr>
      <w:r>
        <w:rPr>
          <w:rFonts w:ascii="Arial" w:hAnsi="Arial" w:cs="Arial"/>
          <w:b w:val="0"/>
          <w:i w:val="0"/>
          <w:color w:val="00B050"/>
          <w:sz w:val="27"/>
        </w:rPr>
        <w:t xml:space="preserve">I. Caso em exame 1. Cumprimento de sentença proposto por ABC I Fundo de Investimento em Direitos Creditórios contra TBB Alimentos Brasília Ltda.-ME, visando à satisfação de crédito oriundo de contratação celebrada em 16/08/2019 e renegociada em 20/05/2020.</w:t>
      </w:r>
    </w:p>
    <w:p>
      <w:pPr>
        <w:spacing w:line="360" w:lineRule="auto" w:after="0" w:before="0"/>
        <w:jc w:val="both"/>
      </w:pPr>
      <w:r>
        <w:rPr>
          <w:rFonts w:ascii="Arial" w:hAnsi="Arial" w:cs="Arial"/>
          <w:b w:val="0"/>
          <w:i w:val="0"/>
          <w:color w:val="00B050"/>
          <w:sz w:val="27"/>
        </w:rPr>
        <w:t xml:space="preserve">2. A decisão agravada acolheu incidente de desconsideração da personalidade jurídica por suposta sucessão empresarial, reconheceu a existência de empresa espelho e determinou a inclusão de Landim e Oliveira Comercial de Alimentos Ltda. no polo passivo da execução, com extensão dos atos constritivos.</w:t>
      </w:r>
    </w:p>
    <w:p>
      <w:pPr>
        <w:spacing w:line="360" w:lineRule="auto" w:after="0" w:before="0"/>
        <w:jc w:val="both"/>
      </w:pPr>
      <w:r>
        <w:rPr>
          <w:rFonts w:ascii="Arial" w:hAnsi="Arial" w:cs="Arial"/>
          <w:b w:val="0"/>
          <w:i w:val="0"/>
          <w:color w:val="00B050"/>
          <w:sz w:val="27"/>
        </w:rPr>
        <w:t xml:space="preserve">3. A empresa incluída agravou, requerendo a suspensão dos atos executivos e, no mérito, a reforma da decisão para afastar o reconhecimento de sucessão empresarial e a desconsideração da personalidade jurídica.</w:t>
      </w:r>
    </w:p>
    <w:p>
      <w:pPr>
        <w:spacing w:line="360" w:lineRule="auto" w:after="0" w:before="0"/>
        <w:jc w:val="both"/>
      </w:pPr>
      <w:r>
        <w:rPr>
          <w:rFonts w:ascii="Arial" w:hAnsi="Arial" w:cs="Arial"/>
          <w:b w:val="0"/>
          <w:i w:val="0"/>
          <w:color w:val="00B050"/>
          <w:sz w:val="27"/>
        </w:rPr>
        <w:t xml:space="preserve">II. Questão em discussão 4. Há duas questões em discussão: (i) saber se o agravo de instrumento observa o dever de impugnação específica; e (ii) saber se a continuidade da atividade empresarial no mesmo ponto comercial, com uso da mesma marca em contexto de franquia, autoriza o reconhecimento de sucessão empresarial e a desconsideração da personalidade jurídica, nos termos do art. 50 do Código Civil.</w:t>
      </w:r>
    </w:p>
    <w:p>
      <w:pPr>
        <w:spacing w:line="360" w:lineRule="auto" w:after="0" w:before="0"/>
        <w:jc w:val="both"/>
      </w:pPr>
      <w:r>
        <w:rPr>
          <w:rFonts w:ascii="Arial" w:hAnsi="Arial" w:cs="Arial"/>
          <w:b w:val="0"/>
          <w:i w:val="0"/>
          <w:color w:val="00B050"/>
          <w:sz w:val="27"/>
        </w:rPr>
        <w:t xml:space="preserve">III. Razões de decidir 5. O agravo impugnou de forma direta os fundamentos da decisão agravada, ao sustentar inexistência de sucessão, de confusão patrimonial e de desvio de finalidade, bem como ao destacar as particularidades do contrato de franquia, o que satisfaz o princípio da dialeticidade e afasta a preliminar de inadmissibilidade.</w:t>
      </w:r>
    </w:p>
    <w:p>
      <w:pPr>
        <w:spacing w:line="360" w:lineRule="auto" w:after="0" w:before="0"/>
        <w:jc w:val="both"/>
      </w:pPr>
      <w:r>
        <w:rPr>
          <w:rFonts w:ascii="Arial" w:hAnsi="Arial" w:cs="Arial"/>
          <w:b w:val="0"/>
          <w:i w:val="0"/>
          <w:color w:val="00B050"/>
          <w:sz w:val="27"/>
        </w:rPr>
        <w:t xml:space="preserve">6. A mera continuidade da exploração da marca no mesmo endereço, quando decorrente de contrato regular de franquia, não configura, por si só, sucessão empresarial nem autoriza a desconsideração da personalidade jurídica, ausente prova de trespasse, assunção de passivos, identidade societária, confusão patrimonial ou desvio de finalidade.</w:t>
      </w:r>
    </w:p>
    <w:p>
      <w:pPr>
        <w:spacing w:line="360" w:lineRule="auto" w:after="0" w:before="0"/>
        <w:jc w:val="both"/>
      </w:pPr>
      <w:r>
        <w:rPr>
          <w:rFonts w:ascii="Arial" w:hAnsi="Arial" w:cs="Arial"/>
          <w:b w:val="0"/>
          <w:i w:val="0"/>
          <w:color w:val="00B050"/>
          <w:sz w:val="27"/>
        </w:rPr>
        <w:t xml:space="preserve">7. O crédito exequendo originou-se de relação jurídica firmada em 2019 e 2020 com a devedora originária, havendo hiato temporal relevante até a posterior instalação da operação franqueada pela agravante, circunstância incompatível com a tese de mera substituição formal de CNPJ para blindagem patrimonial.</w:t>
      </w:r>
    </w:p>
    <w:p>
      <w:pPr>
        <w:spacing w:line="360" w:lineRule="auto" w:after="0" w:before="0"/>
        <w:jc w:val="both"/>
      </w:pPr>
      <w:r>
        <w:rPr>
          <w:rFonts w:ascii="Arial" w:hAnsi="Arial" w:cs="Arial"/>
          <w:b w:val="0"/>
          <w:i w:val="0"/>
          <w:color w:val="00B050"/>
          <w:sz w:val="27"/>
        </w:rPr>
        <w:t xml:space="preserve">8. O indeferimento do incidente de desconsideração da personalidade jurídica impõe a exclusão da empresa indevidamente incluída no polo passivo e autoriza a fixação de honorários sucumbenciais em favor de seu patrono.</w:t>
      </w:r>
    </w:p>
    <w:p>
      <w:pPr>
        <w:spacing w:line="360" w:lineRule="auto" w:after="0" w:before="0"/>
        <w:jc w:val="both"/>
      </w:pPr>
      <w:r>
        <w:rPr>
          <w:rFonts w:ascii="Arial" w:hAnsi="Arial" w:cs="Arial"/>
          <w:b w:val="0"/>
          <w:i w:val="0"/>
          <w:color w:val="00B050"/>
          <w:sz w:val="27"/>
        </w:rPr>
        <w:t xml:space="preserve">IV. Dispositivo 9. Deu-se provimento ao agravo de instrumento interposto por Landim e Oliveira Comercial de Alimentos Ltda. para reformar a decisão agravada, indeferir a desconsideração da personalidade jurídica por alegada sucessão empresarial, determinar a exclusão da agravante do polo passivo do cumprimento de sentença nº 0706622-16.2022.8.07.0001 e fixar honorários sucumbenciais em desfavor do exequente/agravado em 10% do valor da execução. ________ Dispositivos relevantes citados: CC, art. 50, §§ 1º, 2º e 3º.</w:t>
      </w:r>
    </w:p>
    <w:p>
      <w:pPr>
        <w:spacing w:line="360" w:lineRule="auto" w:after="0" w:before="0"/>
        <w:jc w:val="both"/>
      </w:pPr>
      <w:r>
        <w:rPr>
          <w:rFonts w:ascii="Arial" w:hAnsi="Arial" w:cs="Arial"/>
          <w:b w:val="0"/>
          <w:i w:val="0"/>
          <w:color w:val="00B050"/>
          <w:sz w:val="27"/>
        </w:rPr>
        <w:t xml:space="preserve">Jurisprudência relevante citada: STJ, AREsp nº 2.743.276/PE, Rel. Min. Nancy Andrighi, Terceira Turma, j. 02/03/2026, DJEN 06/03/2026; STJ, REsp nº 2.072.206/SP, Rel. Min. Ricardo Villas Bôas Cueva, Corte Especial, j. 13/02/2025, DJEN 12/03/2025.</w:t>
      </w:r>
    </w:p>
    <w:p>
      <w:pPr>
        <w:spacing w:line="360" w:lineRule="auto" w:after="0" w:before="0"/>
        <w:jc w:val="both"/>
      </w:pPr>
      <w:r>
        <w:rPr>
          <w:rFonts w:ascii="Arial" w:hAnsi="Arial" w:cs="Arial"/>
          <w:b w:val="0"/>
          <w:i w:val="0"/>
          <w:color w:val="00B050"/>
          <w:sz w:val="27"/>
        </w:rPr>
        <w:t xml:space="preserve">ACÓRDÃO 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REJEITAR A PRELIMINAR. DAR PROVIMENTO AO RECURSO. UNÂNIME, de acordo com a ata do julgamento e notas taquigráficas.</w:t>
      </w:r>
    </w:p>
    <w:p>
      <w:pPr>
        <w:spacing w:line="360" w:lineRule="auto" w:after="0" w:before="0"/>
        <w:jc w:val="both"/>
      </w:pPr>
      <w:r>
        <w:rPr>
          <w:rFonts w:ascii="Arial" w:hAnsi="Arial" w:cs="Arial"/>
          <w:b w:val="0"/>
          <w:i w:val="0"/>
          <w:color w:val="00B050"/>
          <w:sz w:val="27"/>
        </w:rPr>
        <w:t xml:space="preserve">Brasília (DF), 30 de Junho de 2026 Desembargador SÉRGIO ROCHA Relator RELATÓRIO Trata-se de agravo de instrumento contra decisão que, em cumprimento de sentença, acolheu incidente de desconsideração da personalidade jurídica para reconhecer sucessão empresarial e determinar a inclusão da empresa agravante no polo passivo da execução, estendendo-lhe os atos constritivos, nos seguintes termos:</w:t>
      </w:r>
    </w:p>
    <w:p>
      <w:pPr>
        <w:spacing w:line="360" w:lineRule="auto" w:after="0" w:before="0"/>
        <w:jc w:val="both"/>
      </w:pPr>
      <w:r>
        <w:rPr>
          <w:rFonts w:ascii="Arial" w:hAnsi="Arial" w:cs="Arial"/>
          <w:b w:val="0"/>
          <w:i w:val="0"/>
          <w:color w:val="00B050"/>
          <w:sz w:val="27"/>
        </w:rPr>
        <w:t xml:space="preserve">“(...) Cuida-se de incidente de desconsideração da personalidade jurídica instaurado pelo exequente, sob o fundamento de sucessão empresarial fraudulenta (Teoria da Empresa Espelho) e encerramento irregular da executada, a fim de que a execução se estenda à empresa sucessora.</w:t>
      </w:r>
    </w:p>
    <w:p>
      <w:pPr>
        <w:spacing w:line="360" w:lineRule="auto" w:after="0" w:before="0"/>
        <w:jc w:val="both"/>
      </w:pPr>
      <w:r>
        <w:rPr>
          <w:rFonts w:ascii="Arial" w:hAnsi="Arial" w:cs="Arial"/>
          <w:b w:val="0"/>
          <w:i w:val="0"/>
          <w:color w:val="00B050"/>
          <w:sz w:val="27"/>
        </w:rPr>
        <w:t xml:space="preserve">(...)</w:t>
      </w:r>
    </w:p>
    <w:p>
      <w:pPr>
        <w:spacing w:line="360" w:lineRule="auto" w:after="0" w:before="0"/>
        <w:jc w:val="both"/>
      </w:pPr>
      <w:r>
        <w:rPr>
          <w:rFonts w:ascii="Arial" w:hAnsi="Arial" w:cs="Arial"/>
          <w:b w:val="0"/>
          <w:i w:val="0"/>
          <w:color w:val="00B050"/>
          <w:sz w:val="27"/>
        </w:rPr>
        <w:t xml:space="preserve">Conforme o artigo 50 do Código Civil, em caso de abuso da personalidade jurídica, caracterizado pelo desvio de finalidade, ou pela confusão patrimonial, pode o juiz decidir que os efeitos de certas e determinadas relações de obrigações sejam estendidos aos bens particulares dos administradores ou sócios da pessoa jurídica.</w:t>
      </w:r>
    </w:p>
    <w:p>
      <w:pPr>
        <w:spacing w:line="360" w:lineRule="auto" w:after="0" w:before="0"/>
        <w:jc w:val="both"/>
      </w:pPr>
      <w:r>
        <w:rPr>
          <w:rFonts w:ascii="Arial" w:hAnsi="Arial" w:cs="Arial"/>
          <w:b w:val="0"/>
          <w:i w:val="0"/>
          <w:color w:val="00B050"/>
          <w:sz w:val="27"/>
        </w:rPr>
        <w:t xml:space="preserve">No caso em apreço, a executada TBB ALIMENTOS BRASILIA LTDA - ME, CNPJ: 27.678.017/0001-59, nome de fantasia "THE BLACK BEEF", email: mauricio@theblackbeef.com.br, encontra-se inapta desde 31/10/2023, de acordo com o comprovante de inscrição e situação cadastral (ID. 248348740).</w:t>
      </w:r>
    </w:p>
    <w:p>
      <w:pPr>
        <w:spacing w:line="360" w:lineRule="auto" w:after="0" w:before="0"/>
        <w:jc w:val="both"/>
      </w:pPr>
      <w:r>
        <w:rPr>
          <w:rFonts w:ascii="Arial" w:hAnsi="Arial" w:cs="Arial"/>
          <w:b w:val="0"/>
          <w:i w:val="0"/>
          <w:color w:val="00B050"/>
          <w:sz w:val="27"/>
        </w:rPr>
        <w:t xml:space="preserve">A empresa que está ocupando o endereço da executada é a LANDIM E OLIVEIRA COMERCIAL DE ALIMENTOS LTDA, CNPJ 49.701.540/0001-85, email: theblackbeefasasul@hotmail.com, tendo como sócio administrador Maurício Paes Landim e possui o mesmo “ramo”, como nome de fantasia TBB Asa Sul (ID. 248351648).</w:t>
      </w:r>
    </w:p>
    <w:p>
      <w:pPr>
        <w:spacing w:line="360" w:lineRule="auto" w:after="0" w:before="0"/>
        <w:jc w:val="both"/>
      </w:pPr>
      <w:r>
        <w:rPr>
          <w:rFonts w:ascii="Arial" w:hAnsi="Arial" w:cs="Arial"/>
          <w:b w:val="0"/>
          <w:i w:val="0"/>
          <w:color w:val="00B050"/>
          <w:sz w:val="27"/>
        </w:rPr>
        <w:t xml:space="preserve">O nome fantasia "THE BLACK BEEF" é ostentado pela nova empresa em seu e-mail ("theblackbeefasasul@hotmail.com") e no comprovante de compra emitido no local, indicando a preservação da mesma clientela e do fundo de comércio.</w:t>
      </w:r>
    </w:p>
    <w:p>
      <w:pPr>
        <w:spacing w:line="360" w:lineRule="auto" w:after="0" w:before="0"/>
        <w:jc w:val="both"/>
      </w:pPr>
      <w:r>
        <w:rPr>
          <w:rFonts w:ascii="Arial" w:hAnsi="Arial" w:cs="Arial"/>
          <w:b w:val="0"/>
          <w:i w:val="0"/>
          <w:color w:val="00B050"/>
          <w:sz w:val="27"/>
        </w:rPr>
        <w:t xml:space="preserve">O nome do restaurante ""THE BLACK BEEF" ainda existe no endereço CLS 402, bloco B, loja 25, Asa Sul, Brasília/DF, onde houve a diligência do Oficial de Justiça.</w:t>
      </w:r>
    </w:p>
    <w:p>
      <w:pPr>
        <w:spacing w:line="360" w:lineRule="auto" w:after="0" w:before="0"/>
        <w:jc w:val="both"/>
      </w:pPr>
      <w:r>
        <w:rPr>
          <w:rFonts w:ascii="Arial" w:hAnsi="Arial" w:cs="Arial"/>
          <w:b w:val="0"/>
          <w:i w:val="0"/>
          <w:color w:val="00B050"/>
          <w:sz w:val="27"/>
        </w:rPr>
        <w:t xml:space="preserve">Tais elementos são característicos de sucessão empresarial, se revelando viável o avanço desta execução sobre o patrimônio da pessoa jurídica LANDIM E OLIVEIRA COMERCIAL DE ALIMENTOS LTDA, CNPJ 49.701.540/0001-85, nome de fantasia TBB Asa Sul, pois se trata da mesma franquia cuja atividade continua a ser exercida no mesmo ponto comercial, aproveitando-se da clientela e de toda a estrutura, o que afasta a alegação de inexistência de vínculo entre a executada e a nova empresa franqueada.</w:t>
      </w:r>
    </w:p>
    <w:p>
      <w:pPr>
        <w:spacing w:line="360" w:lineRule="auto" w:after="0" w:before="0"/>
        <w:jc w:val="both"/>
      </w:pPr>
      <w:r>
        <w:rPr>
          <w:rFonts w:ascii="Arial" w:hAnsi="Arial" w:cs="Arial"/>
          <w:b w:val="0"/>
          <w:i w:val="0"/>
          <w:color w:val="00B050"/>
          <w:sz w:val="27"/>
        </w:rPr>
        <w:t xml:space="preserve">Acresça-se, ainda, que a executada sequer foi encerrada, constando tão somente como inapta perante a Receita Federal em face da omissão de declarações.</w:t>
      </w:r>
    </w:p>
    <w:p>
      <w:pPr>
        <w:spacing w:line="360" w:lineRule="auto" w:after="0" w:before="0"/>
        <w:jc w:val="both"/>
      </w:pPr>
      <w:r>
        <w:rPr>
          <w:rFonts w:ascii="Arial" w:hAnsi="Arial" w:cs="Arial"/>
          <w:b w:val="0"/>
          <w:i w:val="0"/>
          <w:color w:val="00B050"/>
          <w:sz w:val="27"/>
        </w:rPr>
        <w:t xml:space="preserve">(...)</w:t>
      </w:r>
    </w:p>
    <w:p>
      <w:pPr>
        <w:spacing w:line="360" w:lineRule="auto" w:after="0" w:before="0"/>
        <w:jc w:val="both"/>
      </w:pPr>
      <w:r>
        <w:rPr>
          <w:rFonts w:ascii="Arial" w:hAnsi="Arial" w:cs="Arial"/>
          <w:b w:val="0"/>
          <w:i w:val="0"/>
          <w:color w:val="00B050"/>
          <w:sz w:val="27"/>
        </w:rPr>
        <w:t xml:space="preserve">ANTE O EXPOSTO, acolho o pedido de desconsideração da personalidade jurídica para que o cumprimento de sentença se estenda aos bens da empresa LANDIM E OLIVEIRA COMERCIAL DE ALIMENTOS LTDA e do CNPJ 49.701.540/0001-85.</w:t>
      </w:r>
    </w:p>
    <w:p>
      <w:pPr>
        <w:spacing w:line="360" w:lineRule="auto" w:after="0" w:before="0"/>
        <w:jc w:val="both"/>
      </w:pPr>
      <w:r>
        <w:rPr>
          <w:rFonts w:ascii="Arial" w:hAnsi="Arial" w:cs="Arial"/>
          <w:b w:val="0"/>
          <w:i w:val="0"/>
          <w:color w:val="00B050"/>
          <w:sz w:val="27"/>
        </w:rPr>
        <w:t xml:space="preserve">Proceda-se à inclusão da LANDIM E OLIVEIRA COMERCIAL DE ALIMENTOS LTDA (CNPJ 49.701.540/0001-85) no polo passivo da execução.</w:t>
      </w:r>
    </w:p>
    <w:p>
      <w:pPr>
        <w:spacing w:line="360" w:lineRule="auto" w:after="0" w:before="0"/>
        <w:jc w:val="both"/>
      </w:pPr>
      <w:r>
        <w:rPr>
          <w:rFonts w:ascii="Arial" w:hAnsi="Arial" w:cs="Arial"/>
          <w:b w:val="0"/>
          <w:i w:val="0"/>
          <w:color w:val="00B050"/>
          <w:sz w:val="27"/>
        </w:rPr>
        <w:t xml:space="preserve">Promova-se à penhora, por meio do SISBAJUD, de ativos financeiros de LANDIM E OLIVEIRA COMERCIAL DE ALIMENTOS LTDA e do CNPJ 49.701.540/0001-85. (...)” (ID 256840672 do processo de referência)</w:t>
      </w:r>
    </w:p>
    <w:p>
      <w:pPr>
        <w:spacing w:line="360" w:lineRule="auto" w:after="0" w:before="0"/>
        <w:jc w:val="both"/>
      </w:pPr>
      <w:r>
        <w:rPr>
          <w:rFonts w:ascii="Arial" w:hAnsi="Arial" w:cs="Arial"/>
          <w:b w:val="0"/>
          <w:i w:val="0"/>
          <w:color w:val="00B050"/>
          <w:sz w:val="27"/>
        </w:rPr>
        <w:t xml:space="preserve">A agravante, Landim e Oliveira Comercial de Alimentos Ltda., alega que: 1) não há identidade societária ou vínculo jurídico com a empresa executada TBB Alimentos Brasília Ltda.-ME, cujos sócios sequer conhece; 2) a utilização do mesmo nome fantasia decorre exclusivamente de contrato regular de franquia, pelo qual foi indicado o mesmo espaço já aprovado pela franqueadora para exercício da atividade econômica pela franqueada, circunstância que não pode, por si só, caracterizar sucessão empresarial; 3) inexiste trespasse, confusão patrimonial ou desvio de finalidade, requisitos indispensáveis à configuração da sucessão e à aplicação do art. 50 do CC; 4) a decisão agravada presumiu fraude apenas pela continuidade da atividade no mesmo endereço, em afronta à autonomia patrimonial da pessoa jurídica; e 5) a manutenção dos atos executivos poderá causar grave dano à empresa, com risco de inviabilização de suas atividades.</w:t>
      </w:r>
    </w:p>
    <w:p>
      <w:pPr>
        <w:spacing w:line="360" w:lineRule="auto" w:after="0" w:before="0"/>
        <w:jc w:val="both"/>
      </w:pPr>
      <w:r>
        <w:rPr>
          <w:rFonts w:ascii="Arial" w:hAnsi="Arial" w:cs="Arial"/>
          <w:b w:val="0"/>
          <w:i w:val="0"/>
          <w:color w:val="00B050"/>
          <w:sz w:val="27"/>
        </w:rPr>
        <w:t xml:space="preserve">Requer a suspensão dos atos executivos e das medidas constritivas determinadas na origem até o julgamento definitivo do recurso, e, no mérito, a reforma da decisão que reconheceu a sucessão empresarial e a desconsideração da personalidade jurídica.</w:t>
      </w:r>
    </w:p>
    <w:p>
      <w:pPr>
        <w:spacing w:line="360" w:lineRule="auto" w:after="0" w:before="0"/>
        <w:jc w:val="both"/>
      </w:pPr>
      <w:r>
        <w:rPr>
          <w:rFonts w:ascii="Arial" w:hAnsi="Arial" w:cs="Arial"/>
          <w:b w:val="0"/>
          <w:i w:val="0"/>
          <w:color w:val="00B050"/>
          <w:sz w:val="27"/>
        </w:rPr>
        <w:t xml:space="preserve">Deferi o efeito suspensivo (ID 79823671).</w:t>
      </w:r>
    </w:p>
    <w:p>
      <w:pPr>
        <w:spacing w:line="360" w:lineRule="auto" w:after="0" w:before="0"/>
        <w:jc w:val="both"/>
      </w:pPr>
      <w:r>
        <w:rPr>
          <w:rFonts w:ascii="Arial" w:hAnsi="Arial" w:cs="Arial"/>
          <w:b w:val="0"/>
          <w:i w:val="0"/>
          <w:color w:val="00B050"/>
          <w:sz w:val="27"/>
        </w:rPr>
        <w:t xml:space="preserve">Em contrarrazões, o agravado, ABC I Fundo de Investimento em Direitos Creditórios, sustenta que: 1) o agravo é inadmissível por ausência de impugnação específica, pois o recorrente apenas reproduz argumentos já examinados na decisão agravada; 2) a decisão deve ser mantida porque os elementos dos autos demonstram continuidade da atividade empresarial da devedora pela agravante, caracterizando sucessão empresarial e formação de empresa espelho; 3) a reorganização societária configura fraude à execução, evidenciando a transferência fática da atividade econômica para novo CNPJ, com manutenção de marca, clientela e ponto comercial (ID 81106332).</w:t>
      </w:r>
    </w:p>
    <w:p>
      <w:pPr>
        <w:spacing w:line="360" w:lineRule="auto" w:after="0" w:before="0"/>
        <w:jc w:val="both"/>
      </w:pPr>
      <w:r>
        <w:rPr>
          <w:rFonts w:ascii="Arial" w:hAnsi="Arial" w:cs="Arial"/>
          <w:b w:val="0"/>
          <w:i w:val="0"/>
          <w:color w:val="00B050"/>
          <w:sz w:val="27"/>
        </w:rPr>
        <w:t xml:space="preserve">É o relatório.</w:t>
      </w:r>
    </w:p>
    <w:p>
      <w:pPr>
        <w:spacing w:line="360" w:lineRule="auto" w:after="0" w:before="0"/>
        <w:jc w:val="both"/>
      </w:pPr>
      <w:r>
        <w:rPr>
          <w:rFonts w:ascii="Arial" w:hAnsi="Arial" w:cs="Arial"/>
          <w:b w:val="0"/>
          <w:i w:val="0"/>
          <w:color w:val="00B050"/>
          <w:sz w:val="27"/>
        </w:rPr>
        <w:t xml:space="preserve">VOTOS O Senhor Desembargador SÉRGIO ROCHA - Relator DO AGRAVO DE INSTRUMENTO DA EXECUTADA, LANDIM E OLIVEIRA COMERCIAL DE ALIMENTOS LTDA.</w:t>
      </w:r>
    </w:p>
    <w:p>
      <w:pPr>
        <w:spacing w:line="360" w:lineRule="auto" w:after="0" w:before="0"/>
        <w:jc w:val="both"/>
      </w:pPr>
      <w:r>
        <w:rPr>
          <w:rFonts w:ascii="Arial" w:hAnsi="Arial" w:cs="Arial"/>
          <w:b w:val="0"/>
          <w:i w:val="0"/>
          <w:color w:val="00B050"/>
          <w:sz w:val="27"/>
        </w:rPr>
        <w:t xml:space="preserve">DA OCORRÊNCIA DE IMPUGNAÇÃO ESPECÍFICA Em contrarrazões, o agravado, ABC I Fundo de Investimento em Direitos Creditórios, sustenta que o agravo é inadmissível por ausência de impugnação específica, pois o recorrente apenas reproduz argumentos já examinados na decisão agravada.</w:t>
      </w:r>
    </w:p>
    <w:p>
      <w:pPr>
        <w:spacing w:line="360" w:lineRule="auto" w:after="0" w:before="0"/>
        <w:jc w:val="both"/>
      </w:pPr>
      <w:r>
        <w:rPr>
          <w:rFonts w:ascii="Arial" w:hAnsi="Arial" w:cs="Arial"/>
          <w:b w:val="0"/>
          <w:i w:val="0"/>
          <w:color w:val="00B050"/>
          <w:sz w:val="27"/>
        </w:rPr>
        <w:t xml:space="preserve">Sem razão.</w:t>
      </w:r>
    </w:p>
    <w:p>
      <w:pPr>
        <w:spacing w:line="360" w:lineRule="auto" w:after="0" w:before="0"/>
        <w:jc w:val="both"/>
      </w:pPr>
      <w:r>
        <w:rPr>
          <w:rFonts w:ascii="Arial" w:hAnsi="Arial" w:cs="Arial"/>
          <w:b w:val="0"/>
          <w:i w:val="0"/>
          <w:color w:val="00B050"/>
          <w:sz w:val="27"/>
        </w:rPr>
        <w:t xml:space="preserve">Verifica-se que o agravo ataca, de modo direto e suficiente, o núcleo decisório que embasou a inclusão da agravante no polo passivo, contrapondo-se a esses fundamentos com tese jurídica delimitada (inexistência de sucessão/trespasse, inexistência de confusão patrimonial e particularidades do sistema de franquia), o que satisfaz o dever de dialeticidade.</w:t>
      </w:r>
    </w:p>
    <w:p>
      <w:pPr>
        <w:spacing w:line="360" w:lineRule="auto" w:after="0" w:before="0"/>
        <w:jc w:val="both"/>
      </w:pPr>
      <w:r>
        <w:rPr>
          <w:rFonts w:ascii="Arial" w:hAnsi="Arial" w:cs="Arial"/>
          <w:b w:val="0"/>
          <w:i w:val="0"/>
          <w:color w:val="00B050"/>
          <w:sz w:val="27"/>
        </w:rPr>
        <w:t xml:space="preserve">Assim, rejeito a preliminar suscitada.</w:t>
      </w:r>
    </w:p>
    <w:p>
      <w:pPr>
        <w:spacing w:line="360" w:lineRule="auto" w:after="0" w:before="0"/>
        <w:jc w:val="both"/>
      </w:pPr>
      <w:r>
        <w:rPr>
          <w:rFonts w:ascii="Arial" w:hAnsi="Arial" w:cs="Arial"/>
          <w:b w:val="0"/>
          <w:i w:val="0"/>
          <w:color w:val="00B050"/>
          <w:sz w:val="27"/>
        </w:rPr>
        <w:t xml:space="preserve">Presentes os pressupostos de admissibilidade, conheço do agravo de instrumento.</w:t>
      </w:r>
    </w:p>
    <w:p>
      <w:pPr>
        <w:spacing w:line="360" w:lineRule="auto" w:after="0" w:before="0"/>
        <w:jc w:val="both"/>
      </w:pPr>
      <w:r>
        <w:rPr>
          <w:rFonts w:ascii="Arial" w:hAnsi="Arial" w:cs="Arial"/>
          <w:b w:val="0"/>
          <w:i w:val="0"/>
          <w:color w:val="00B050"/>
          <w:sz w:val="27"/>
        </w:rPr>
        <w:t xml:space="preserve">DA AUSÊNCIA DE DEMONSTRAÇÃO DOS REQUISITOS DA SUCESSÃO EMPRESARIAL E DA DESCONSIDERAÇÃO DA PERSONALIDADE JURÍDICA A agravante, Landim e Oliveira Comercial de Alimentos Ltda., alega que:</w:t>
      </w:r>
    </w:p>
    <w:p>
      <w:pPr>
        <w:spacing w:line="360" w:lineRule="auto" w:after="0" w:before="0"/>
        <w:jc w:val="both"/>
      </w:pPr>
      <w:r>
        <w:rPr>
          <w:rFonts w:ascii="Arial" w:hAnsi="Arial" w:cs="Arial"/>
          <w:b w:val="0"/>
          <w:i w:val="0"/>
          <w:color w:val="00B050"/>
          <w:sz w:val="27"/>
        </w:rPr>
        <w:t xml:space="preserve">1) não há identidade societária ou vínculo jurídico com a empresa executada TBB Alimentos Brasília Ltda.-ME, cujos sócios sequer conhece; 2) a utilização do mesmo nome fantasia decorre exclusivamente de contrato regular de franquia, pelo qual foi indicado o mesmo espaço já aprovado pela franqueadora para exercício da atividade econômica pela franqueada, circunstância que não pode, por si só, caracterizar sucessão empresarial; 3) inexiste trespasse, confusão patrimonial ou desvio de finalidade, requisitos indispensáveis à configuração da sucessão e à aplicação do art. 50 do CC; 4) a decisão agravada presumiu fraude apenas pela continuidade da atividade no mesmo endereço, em afronta à autonomia patrimonial da pessoa jurídica; e 5) a manutenção dos atos executivos poderá causar grave dano à empresa, com risco de inviabilização de suas atividades.</w:t>
      </w:r>
    </w:p>
    <w:p>
      <w:pPr>
        <w:spacing w:line="360" w:lineRule="auto" w:after="0" w:before="0"/>
        <w:jc w:val="both"/>
      </w:pPr>
      <w:r>
        <w:rPr>
          <w:rFonts w:ascii="Arial" w:hAnsi="Arial" w:cs="Arial"/>
          <w:b w:val="0"/>
          <w:i w:val="0"/>
          <w:color w:val="00B050"/>
          <w:sz w:val="27"/>
        </w:rPr>
        <w:t xml:space="preserve">Requer a suspensão dos atos executivos e das medidas constritivas determinadas na origem até o julgamento definitivo do recurso, e, no mérito, a reforma da decisão que reconheceu a sucessão empresarial e a desconsideração da personalidade jurídica.</w:t>
      </w:r>
    </w:p>
    <w:p>
      <w:pPr>
        <w:spacing w:line="360" w:lineRule="auto" w:after="0" w:before="0"/>
        <w:jc w:val="both"/>
      </w:pPr>
      <w:r>
        <w:rPr>
          <w:rFonts w:ascii="Arial" w:hAnsi="Arial" w:cs="Arial"/>
          <w:b w:val="0"/>
          <w:i w:val="0"/>
          <w:color w:val="00B050"/>
          <w:sz w:val="27"/>
        </w:rPr>
        <w:t xml:space="preserve">Com razão.</w:t>
      </w:r>
    </w:p>
    <w:p>
      <w:pPr>
        <w:spacing w:line="360" w:lineRule="auto" w:after="0" w:before="0"/>
        <w:jc w:val="both"/>
      </w:pPr>
      <w:r>
        <w:rPr>
          <w:rFonts w:ascii="Arial" w:hAnsi="Arial" w:cs="Arial"/>
          <w:b w:val="0"/>
          <w:i w:val="0"/>
          <w:color w:val="00B050"/>
          <w:sz w:val="27"/>
        </w:rPr>
        <w:t xml:space="preserve">Mantenho as razões expostas na decisão liminar:</w:t>
      </w:r>
    </w:p>
    <w:p>
      <w:pPr>
        <w:spacing w:line="360" w:lineRule="auto" w:after="0" w:before="0"/>
        <w:jc w:val="both"/>
      </w:pPr>
      <w:r>
        <w:rPr>
          <w:rFonts w:ascii="Arial" w:hAnsi="Arial" w:cs="Arial"/>
          <w:b w:val="0"/>
          <w:i w:val="0"/>
          <w:color w:val="00B050"/>
          <w:sz w:val="27"/>
        </w:rPr>
        <w:t xml:space="preserve">“(...) a continuidade da atividade econômica no mesmo ponto comercial, com preservação do nome fantasia, da clientela e da estrutura operacional não necessariamente configura confusão patrimonial apta à desconsideração da personalidade jurídica.</w:t>
      </w:r>
    </w:p>
    <w:p>
      <w:pPr>
        <w:spacing w:line="360" w:lineRule="auto" w:after="0" w:before="0"/>
        <w:jc w:val="both"/>
      </w:pPr>
      <w:r>
        <w:rPr>
          <w:rFonts w:ascii="Arial" w:hAnsi="Arial" w:cs="Arial"/>
          <w:b w:val="0"/>
          <w:i w:val="0"/>
          <w:color w:val="00B050"/>
          <w:sz w:val="27"/>
        </w:rPr>
        <w:t xml:space="preserve">Isso porque a atividade desenvolvida pela agravante pode realmente decorrer de um novo contrato de franquia regular, no qual houve a indicação, pela franqueadora, do mesmo espaço já por ela aprovado para as atividades da executada originária.</w:t>
      </w:r>
    </w:p>
    <w:p>
      <w:pPr>
        <w:spacing w:line="360" w:lineRule="auto" w:after="0" w:before="0"/>
        <w:jc w:val="both"/>
      </w:pPr>
      <w:r>
        <w:rPr>
          <w:rFonts w:ascii="Arial" w:hAnsi="Arial" w:cs="Arial"/>
          <w:b w:val="0"/>
          <w:i w:val="0"/>
          <w:color w:val="00B050"/>
          <w:sz w:val="27"/>
        </w:rPr>
        <w:t xml:space="preserve">Assim, ainda que haja continuidade do ponto comercial e manutenção do mesmo operador de franquia, não está demonstrado qualquer vínculo de parentesco entre os sócios da agravante e da executada originária, muito menos assunção expressa de dívidas ou pagamento direto de obrigações em nome desta, a justificar a desconsideração da personalidade jurídica de que trata o art. 50, §§ 2º e 3º, do CC, in verbis: ‘Art. 50.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 § 1º Para os fins do disposto neste artigo, desvio de finalidade é a utilização da pessoa jurídica com o propósito de lesar credores e para a prática de atos ilícitos de qualquer natureza. § 2º Entende-se por confusão patrimonial a ausência de separação de fato entre os patrimônios, caracterizada por:</w:t>
      </w:r>
    </w:p>
    <w:p>
      <w:pPr>
        <w:spacing w:line="360" w:lineRule="auto" w:after="0" w:before="0"/>
        <w:jc w:val="both"/>
      </w:pPr>
      <w:r>
        <w:rPr>
          <w:rFonts w:ascii="Arial" w:hAnsi="Arial" w:cs="Arial"/>
          <w:b w:val="0"/>
          <w:i w:val="0"/>
          <w:color w:val="00B050"/>
          <w:sz w:val="27"/>
        </w:rPr>
        <w:t xml:space="preserve">I - cumprimento repetitivo pela sociedade de obrigações do sócio ou do administrador ou vice-versa;</w:t>
      </w:r>
    </w:p>
    <w:p>
      <w:pPr>
        <w:spacing w:line="360" w:lineRule="auto" w:after="0" w:before="0"/>
        <w:jc w:val="both"/>
      </w:pPr>
      <w:r>
        <w:rPr>
          <w:rFonts w:ascii="Arial" w:hAnsi="Arial" w:cs="Arial"/>
          <w:b w:val="0"/>
          <w:i w:val="0"/>
          <w:color w:val="00B050"/>
          <w:sz w:val="27"/>
        </w:rPr>
        <w:t xml:space="preserve">II - transferência de ativos ou de passivos sem efetivas contraprestações, exceto os de valor proporcionalmente insignificante; e III - outros atos de descumprimento da autonomia patrimonial. § 3º O disposto no caput e nos §§ 1º e 2º deste artigo também se aplica à extensão das obrigações de sócios ou de administradores à pessoa jurídica’. (...)” (Destaquei)</w:t>
      </w:r>
    </w:p>
    <w:p>
      <w:pPr>
        <w:spacing w:line="360" w:lineRule="auto" w:after="0" w:before="0"/>
        <w:jc w:val="both"/>
      </w:pPr>
      <w:r>
        <w:rPr>
          <w:rFonts w:ascii="Arial" w:hAnsi="Arial" w:cs="Arial"/>
          <w:b w:val="0"/>
          <w:i w:val="0"/>
          <w:color w:val="00B050"/>
          <w:sz w:val="27"/>
        </w:rPr>
        <w:t xml:space="preserve">Ademais, com a mais elevada vênia ao d. Juízo a quo, destaco o marco temporal da obrigação exequenda: o crédito que embasa o cumprimento de sentença decorre de contratação vinculada ao devedor originário TBB Alimentos Brasília Ltda. em 16/08/2019 (ID 116864730 do processo de referência), renegociada em 20/05/2020 (ID 116864731 do processo de referência), o que reforça a necessidade de demonstração concreta do nexo de continuidade entre a empresa devedora e a agravante, não bastando presunções extraídas apenas da exploração de marca e do ponto comercial.</w:t>
      </w:r>
    </w:p>
    <w:p>
      <w:pPr>
        <w:spacing w:line="360" w:lineRule="auto" w:after="0" w:before="0"/>
        <w:jc w:val="both"/>
      </w:pPr>
      <w:r>
        <w:rPr>
          <w:rFonts w:ascii="Arial" w:hAnsi="Arial" w:cs="Arial"/>
          <w:b w:val="0"/>
          <w:i w:val="0"/>
          <w:color w:val="00B050"/>
          <w:sz w:val="27"/>
        </w:rPr>
        <w:t xml:space="preserve">Nesse contexto, há elemento que enfraquece a narrativa de continuidade ininterrupta: o documento ID 253323736 p. 38 (do processo de referência) registra que, em agosto de 2021, não havia franqueado em Brasília, evidenciando um hiato temporal relevante entre o período de constituição do débito (2019/2020) e a posterior estruturação da operação franqueada na localidade, o que é incompatível com a ideia de mera “substituição formal de CNPJ” como mecanismo contínuo de blindagem patrimonial.</w:t>
      </w:r>
    </w:p>
    <w:p>
      <w:pPr>
        <w:spacing w:line="360" w:lineRule="auto" w:after="0" w:before="0"/>
        <w:jc w:val="both"/>
      </w:pPr>
      <w:r>
        <w:rPr>
          <w:rFonts w:ascii="Arial" w:hAnsi="Arial" w:cs="Arial"/>
          <w:b w:val="0"/>
          <w:i w:val="0"/>
          <w:color w:val="00B050"/>
          <w:sz w:val="27"/>
        </w:rPr>
        <w:t xml:space="preserve">Assim, a prova constante dos autos aponta para a plausibilidade de que a agravante tenha ingressado na exploração da marca em momento posterior e sob relação jurídica própria (franquia), sem demonstração de transferência do estabelecimento do devedor originário, assunção de passivos, confusão patrimonial ou desvio de finalidade, circunstâncias que, à luz do art. 50 do CC supracitado, são determinantes para legitimar a extensão da responsabilidade a pessoa jurídica diversa.</w:t>
      </w:r>
    </w:p>
    <w:p>
      <w:pPr>
        <w:spacing w:line="360" w:lineRule="auto" w:after="0" w:before="0"/>
        <w:jc w:val="both"/>
      </w:pPr>
      <w:r>
        <w:rPr>
          <w:rFonts w:ascii="Arial" w:hAnsi="Arial" w:cs="Arial"/>
          <w:b w:val="0"/>
          <w:i w:val="0"/>
          <w:color w:val="00B050"/>
          <w:sz w:val="27"/>
        </w:rPr>
        <w:t xml:space="preserve">Por fim, ressalto que o indeferimento do incidente de desconsideração da personalidade jurídica, seja na modalidade direta ou inversa, implica a condenação do requerente ao pagamento de honorários sucumbenciais, em favor do advogado da parte indevidamente chamada a integrar a lide.</w:t>
      </w:r>
    </w:p>
    <w:p>
      <w:pPr>
        <w:spacing w:line="360" w:lineRule="auto" w:after="0" w:before="0"/>
        <w:jc w:val="both"/>
      </w:pPr>
      <w:r>
        <w:rPr>
          <w:rFonts w:ascii="Arial" w:hAnsi="Arial" w:cs="Arial"/>
          <w:b w:val="0"/>
          <w:i w:val="0"/>
          <w:color w:val="00B050"/>
          <w:sz w:val="27"/>
        </w:rPr>
        <w:t xml:space="preserve">Nesse sentido:</w:t>
      </w:r>
    </w:p>
    <w:p>
      <w:pPr>
        <w:spacing w:line="360" w:lineRule="auto" w:after="0" w:before="0"/>
        <w:jc w:val="both"/>
      </w:pPr>
      <w:r>
        <w:rPr>
          <w:rFonts w:ascii="Arial" w:hAnsi="Arial" w:cs="Arial"/>
          <w:b w:val="0"/>
          <w:i w:val="0"/>
          <w:color w:val="00B050"/>
          <w:sz w:val="27"/>
        </w:rPr>
        <w:t xml:space="preserve">“(...) 3. Segundo a jurisprudência dominante desta Corte Superior, o indeferimento do pedido de desconsideração da personalidade jurídica, tendo como resultado a não inclusão do sócio (ou da empresa) no polo passivo da lide, autoriza a estipulação de verba honorária em favor do advogado da parte que foi indevidamente demandada.</w:t>
      </w:r>
    </w:p>
    <w:p>
      <w:pPr>
        <w:spacing w:line="360" w:lineRule="auto" w:after="0" w:before="0"/>
        <w:jc w:val="both"/>
      </w:pPr>
      <w:r>
        <w:rPr>
          <w:rFonts w:ascii="Arial" w:hAnsi="Arial" w:cs="Arial"/>
          <w:b w:val="0"/>
          <w:i w:val="0"/>
          <w:color w:val="00B050"/>
          <w:sz w:val="27"/>
        </w:rPr>
        <w:t xml:space="preserve">4. Recurso especial parcialmente provido.”</w:t>
      </w:r>
    </w:p>
    <w:p>
      <w:pPr>
        <w:spacing w:line="360" w:lineRule="auto" w:after="0" w:before="0"/>
        <w:jc w:val="both"/>
      </w:pPr>
      <w:r>
        <w:rPr>
          <w:rFonts w:ascii="Arial" w:hAnsi="Arial" w:cs="Arial"/>
          <w:b w:val="0"/>
          <w:i w:val="0"/>
          <w:color w:val="00B050"/>
          <w:sz w:val="27"/>
        </w:rPr>
        <w:t xml:space="preserve">(AREsp n. 2.743.276/PE, relatora Ministra Nancy Andrighi, Terceira Turma, julgado em 2/3/2026, DJEN de 6/3/2026.)</w:t>
      </w:r>
    </w:p>
    <w:p>
      <w:pPr>
        <w:spacing w:line="360" w:lineRule="auto" w:after="0" w:before="0"/>
        <w:jc w:val="both"/>
      </w:pPr>
      <w:r>
        <w:rPr>
          <w:rFonts w:ascii="Arial" w:hAnsi="Arial" w:cs="Arial"/>
          <w:b w:val="0"/>
          <w:i w:val="0"/>
          <w:color w:val="00B050"/>
          <w:sz w:val="27"/>
        </w:rPr>
        <w:t xml:space="preserve">“(...) 3. O indeferimento do pedido de desconsideração da personalidade jurídica, tendo como resultado a não inclusão do sócio (ou da empresa) no polo passivo da lide, dá ensejo à fixação de verba honorária em favor do advogado de quem foi indevidamente chamado a litigar em juízo.</w:t>
      </w:r>
    </w:p>
    <w:p>
      <w:pPr>
        <w:spacing w:line="360" w:lineRule="auto" w:after="0" w:before="0"/>
        <w:jc w:val="both"/>
      </w:pPr>
      <w:r>
        <w:rPr>
          <w:rFonts w:ascii="Arial" w:hAnsi="Arial" w:cs="Arial"/>
          <w:b w:val="0"/>
          <w:i w:val="0"/>
          <w:color w:val="00B050"/>
          <w:sz w:val="27"/>
        </w:rPr>
        <w:t xml:space="preserve">4. Recurso especial não provido.”</w:t>
      </w:r>
    </w:p>
    <w:p>
      <w:pPr>
        <w:spacing w:line="360" w:lineRule="auto" w:after="0" w:before="0"/>
        <w:jc w:val="both"/>
      </w:pPr>
      <w:r>
        <w:rPr>
          <w:rFonts w:ascii="Arial" w:hAnsi="Arial" w:cs="Arial"/>
          <w:b w:val="0"/>
          <w:i w:val="0"/>
          <w:color w:val="00B050"/>
          <w:sz w:val="27"/>
        </w:rPr>
        <w:t xml:space="preserve">(REsp n. 2.072.206/SP, relator Ministro Ricardo Villas Bôas Cueva, Corte Especial, julgado em 13/2/2025, DJEN de 12/3/2025.)</w:t>
      </w:r>
    </w:p>
    <w:p>
      <w:pPr>
        <w:spacing w:line="360" w:lineRule="auto" w:after="0" w:before="0"/>
        <w:jc w:val="both"/>
      </w:pPr>
      <w:r>
        <w:rPr>
          <w:rFonts w:ascii="Arial" w:hAnsi="Arial" w:cs="Arial"/>
          <w:b w:val="0"/>
          <w:i w:val="0"/>
          <w:color w:val="00B050"/>
          <w:sz w:val="27"/>
        </w:rPr>
        <w:t xml:space="preserve">DISPOSITIVO Ante o exposto, reiteradas as vênias, rejeito a preliminar e dou provimento ao agravo de instrumento interposto por Landim e Oliveira Comercial de Alimentos Ltda., para reformar a r. decisão agravada a fim de indeferir a desconsideração/extensão por alegada sucessão empresarial e determinar a exclusão da agravante do polo passivo do cumprimento de sentença nº 0706622-16.2022.8.07.0001.</w:t>
      </w:r>
    </w:p>
    <w:p>
      <w:pPr>
        <w:spacing w:line="360" w:lineRule="auto" w:after="0" w:before="0"/>
        <w:jc w:val="both"/>
      </w:pPr>
      <w:r>
        <w:rPr>
          <w:rFonts w:ascii="Arial" w:hAnsi="Arial" w:cs="Arial"/>
          <w:b w:val="0"/>
          <w:i w:val="0"/>
          <w:color w:val="00B050"/>
          <w:sz w:val="27"/>
        </w:rPr>
        <w:t xml:space="preserve">Fixo os honorários sucumbenciais em desfavor do exequente/agravado, ABC I Fundo de Investimento em Direitos Creditórios, em 10% do valor da execução.</w:t>
      </w:r>
    </w:p>
    <w:p>
      <w:pPr>
        <w:spacing w:line="360" w:lineRule="auto" w:after="0" w:before="0"/>
        <w:jc w:val="both"/>
      </w:pPr>
      <w:r>
        <w:rPr>
          <w:rFonts w:ascii="Arial" w:hAnsi="Arial" w:cs="Arial"/>
          <w:b w:val="0"/>
          <w:i w:val="0"/>
          <w:color w:val="00B050"/>
          <w:sz w:val="27"/>
        </w:rPr>
        <w:t xml:space="preserve">É como voto.</w:t>
      </w:r>
    </w:p>
    <w:p>
      <w:pPr>
        <w:spacing w:line="360" w:lineRule="auto" w:after="0" w:before="0"/>
        <w:jc w:val="both"/>
      </w:pPr>
      <w:r>
        <w:rPr>
          <w:rFonts w:ascii="Arial" w:hAnsi="Arial" w:cs="Arial"/>
          <w:b w:val="0"/>
          <w:i w:val="0"/>
          <w:color w:val="00B050"/>
          <w:sz w:val="27"/>
        </w:rPr>
        <w:t xml:space="preserve">O Senhor Desembargador MARIO-ZAM BELMIRO - 1º Vogal Com o(a) relator(a)</w:t>
      </w:r>
    </w:p>
    <w:p>
      <w:pPr>
        <w:spacing w:line="360" w:lineRule="auto" w:after="0" w:before="0"/>
        <w:jc w:val="both"/>
      </w:pPr>
      <w:r>
        <w:rPr>
          <w:rFonts w:ascii="Arial" w:hAnsi="Arial" w:cs="Arial"/>
          <w:b w:val="0"/>
          <w:i w:val="0"/>
          <w:color w:val="00B050"/>
          <w:sz w:val="27"/>
        </w:rPr>
        <w:t xml:space="preserve">O Senhor Desembargador ROBERVAL CASEMIRO BELINATI - 2º Vogal Com o(a) relator(a)</w:t>
      </w:r>
    </w:p>
    <w:p>
      <w:pPr>
        <w:spacing w:line="360" w:lineRule="auto" w:after="0" w:before="0"/>
        <w:jc w:val="both"/>
      </w:pPr>
      <w:r>
        <w:rPr>
          <w:rFonts w:ascii="Arial" w:hAnsi="Arial" w:cs="Arial"/>
          <w:b w:val="0"/>
          <w:i w:val="0"/>
          <w:color w:val="00B050"/>
          <w:sz w:val="27"/>
        </w:rPr>
        <w:t xml:space="preserve">DECISÃO REJEITAR A PRELIMINAR. DAR PROVIMENTO AO RECURSO. UNÂNIME</w:t>
      </w:r>
    </w:p>
    <w:sectPr w:rsidRPr="0079792E" w:rsidR="0079792E">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initials="MG" w:date="2026-10-30T16:43:29Z">
    <w:p>
      <w:pPr>
        <w:pStyle w:val="CommentText"/>
      </w:pPr>
      <w:r>
        <w:rPr>
          <w:rStyle w:val="CommentReference"/>
        </w:rPr>
        <w:annotationRef/>
      </w:r>
      <w:r>
        <w:t>MINUTA GDSXSR — Voto do zero de EMD (NP), na forma do perfil EMD e de C-3H, C-3I, C-3J e C-3K, com o voto do zero aceito por Marcos (EMD 0703926-84) como molde de estrutura e de formatação; os demais modelos do índice (49 EMD) não foram lidos (C-73: EMD sem tese nova). Qualidade única da embargante: “exequente” (C-27 e; C-3D v20), pois quem executa é o exequente; no corpo, “a embargante”. Não há parecer da Procuradoria de Justiça nos autos recebidos.</w:t>
      </w:r>
    </w:p>
  </w:comment>
  <w:comment w:id="1" w:author="Minuta GDSXSR" w:initials="MG" w:date="2026-10-30T16:43:29Z">
    <w:p>
      <w:pPr>
        <w:pStyle w:val="CommentText"/>
      </w:pPr>
      <w:r>
        <w:rPr>
          <w:rStyle w:val="CommentReference"/>
        </w:rPr>
        <w:annotationRef/>
      </w:r>
      <w:r>
        <w:t>MINUTA GDSXSR — Texto literal (C-63): CPC, art. 1.022: “Cabem embargos de declaração contra qualquer decisão judicial para: I - esclarecer obscuridade ou eliminar contradição; II - suprir omissão de ponto ou questão sobre o qual devia se pronunciar o juiz de ofício ou a requerimento; III - corrigir erro material. Parágrafo único. Considera-se omissa a decisão que: I - deixe de se manifestar sobre tese firmada em julgamento de casos repetitivos ou em incidente de assunção de competência aplicável ao caso sob julgamento; II - incorra em qualquer das condutas descritas no art. 489, § 1º.” CPC, art. 489, § 1º: “Não se considera fundamentada qualquer decisão judicial, seja ela interlocutória, sentença ou acórdão, que: (...) IV - não enfrentar todos os argumentos deduzidos no processo capazes de, em tese, infirmar a conclusão adotada pelo julgador; (...) VI - deixar de seguir enunciado de súmula, jurisprudência ou precedente invocado pela parte, sem demonstrar a existência de distinção no caso em julgamento ou a superação do entendimento.” (fonte: Planalto). O art. 1.025 do CPC está transcrito no corpo.</w:t>
      </w:r>
    </w:p>
  </w:comment>
  <w:comment w:id="2" w:author="Minuta GDSXSR" w:initials="MG" w:date="2026-10-30T16:43:29Z">
    <w:p>
      <w:pPr>
        <w:pStyle w:val="CommentText"/>
      </w:pPr>
      <w:r>
        <w:rPr>
          <w:rStyle w:val="CommentReference"/>
        </w:rPr>
        <w:annotationRef/>
      </w:r>
      <w:r>
        <w:t>MINUTA GDSXSR — Pendência (C-52, C-67 v47): o iajus devolveu a ementa e o relator, mas não o número do acórdão nem o DJe. Busca feita no iajus (pesquisar_decisoes, híbrida, 4ª Turma, 2025 em diante). Link: https://jurisdf.tjdft.jus.br/acordaos/89225cb6-5e4d-41e3-b769-fb7d677e06c0 . Completar “Acórdão nº …” e o DJe no JurisDF; a ementa está literal no corpo.</w:t>
      </w:r>
    </w:p>
  </w:comment>
  <w:comment w:id="3" w:author="Minuta GDSXSR" w:initials="MG" w:date="2026-10-30T16:43:29Z">
    <w:p>
      <w:pPr>
        <w:pStyle w:val="CommentText"/>
      </w:pPr>
      <w:r>
        <w:rPr>
          <w:rStyle w:val="CommentReference"/>
        </w:rPr>
        <w:annotationRef/>
      </w:r>
      <w:r>
        <w:t>MINUTA GDSXSR — IDs do acórdão embargado no PJe: ementa 84207902, relatório 84207905, voto 84207907 e acórdão consolidado 86262064. A ementa vai completa no relatório (C-62, exceção dos EMD), com o rodapé substituído por “(...)”.</w:t>
      </w:r>
    </w:p>
  </w:comment>
  <w:comment w:id="4" w:author="Minuta GDSXSR" w:initials="MG" w:date="2026-10-30T16:43:29Z">
    <w:p>
      <w:pPr>
        <w:pStyle w:val="CommentText"/>
      </w:pPr>
      <w:r>
        <w:rPr>
          <w:rStyle w:val="CommentReference"/>
        </w:rPr>
        <w:annotationRef/>
      </w:r>
      <w:r>
        <w:t>MINUTA GDSXSR — Texto literal (C-63): CC, art. 50, caput: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 (redação da Lei 13.874/2019, vigente). CC, art. 1.142: “Considera-se estabelecimento todo complexo de bens organizado, para exercício da empresa, por empresário, ou por sociedade empresária.” CC, art. 1.143: “Pode o estabelecimento ser objeto unitário de direitos e de negócios jurídicos, translativos ou constitutivos, que sejam compatíveis com a sua natureza.” CC, art. 1.146: “O adquirente do estabelecimento responde pelo pagamento dos débitos anteriores à transferência, desde que regularmente contabilizados, continuando o devedor primitivo solidariamente obrigado pelo prazo de um ano, a partir, quanto aos créditos vencidos, da publicação, e, quanto aos outros, da data do vencimento.” (fonte: Planalto, conferido no iajus).</w:t>
      </w:r>
    </w:p>
  </w:comment>
  <w:comment w:id="5" w:author="Minuta GDSXSR" w:initials="MG" w:date="2026-10-30T16:43:29Z">
    <w:p>
      <w:pPr>
        <w:pStyle w:val="CommentText"/>
      </w:pPr>
      <w:r>
        <w:rPr>
          <w:rStyle w:val="CommentReference"/>
        </w:rPr>
        <w:annotationRef/>
      </w:r>
      <w:r>
        <w:t>MINUTA GDSXSR — Resultado NP e ponto mais próximo de omissão: o AgInt no REsp n. 1.837.435/SP, invocado pela embargante, existe (Rel. Min. Luis Felipe Salomão, Quarta Turma, j. 10/05/2022; registro STJ 201902172709; conferido no iajus) e traz na ementa, item 2: “A caracterização da sucessão empresarial não exige a comprovação formal da transferência de bens, direitos e obrigações à nova sociedade, admitindo-se sua presunção quando os elementos indiquem que houve o prosseguimento na exploração da mesma atividade econômica, no mesmo endereço e com o mesmo objeto social.” O acórdão não o cita, mas examinou e afastou a sucessão (franquia, ausência de transferência do estabelecimento e de assunção de passivos, hiato temporal); por isso o voto trata o ponto como enfrentado, e não como omissão (perfil EMD, item 5.1: regra é o não provimento). O parágrafo seguinte responde ao precedente da parte em bloco (C-53). Interpretação adotada.</w:t>
      </w:r>
    </w:p>
  </w:comment>
  <w:comment w:id="6" w:author="Minuta GDSXSR" w:initials="MG" w:date="2026-10-30T16:43:29Z">
    <w:p>
      <w:pPr>
        <w:pStyle w:val="CommentText"/>
      </w:pPr>
      <w:r>
        <w:rPr>
          <w:rStyle w:val="CommentReference"/>
        </w:rPr>
        <w:annotationRef/>
      </w:r>
      <w:r>
        <w:t>MINUTA GDSXSR — Citação conferida no iajus (TJDFT, 4ª Turma Cível, Rel. Des. Jansen Fialho de Almeida, j. 03/07/2025, ementa item 6, literal). Pendência (C-52, C-67 v47): número do acórdão e DJe não vieram do iajus; completar no JurisDF (link: https://jurisdf.tjdft.jus.br/acordaos/89225cb6-5e4d-41e3-b769-fb7d677e06c0). Julgado de 2025, fora dos últimos 12 meses: não localizei, nas buscas feitas, julgado mais recente da Turma com o mesmo item (C-67).</w:t>
      </w:r>
    </w:p>
  </w:comment>
</w:comments>
</file>

<file path=word/commentsExtended.xml><?xml version="1.0" encoding="utf-8"?>
<w15:commentsEx xmlns:mc="http://schemas.openxmlformats.org/markup-compatibility/2006" xmlns:w15="http://schemas.microsoft.com/office/word/2012/wordml" mc:Ignorable="w15">
  <w15:commentEx w15:done="0" w15:paraId="53946126"/>
  <w15:commentEx w15:done="0" w15:paraId="1617252E"/>
  <w15:commentEx w15:done="0" w15:paraId="1D8DCDBF" w15:paraIdParent="1617252E"/>
  <w15:commentEx w15:done="0" w15:paraId="6029EBB5" w15:paraIdParent="1617252E"/>
  <w15:commentEx w15:done="0" w15:paraId="79AC0CEC"/>
  <w15:commentEx w15:done="0" w15:paraId="7D5E3CA3"/>
  <w15:commentEx w15:done="0" w15:paraId="09ED36C1"/>
  <w15:commentEx w15:done="0" w15:paraId="664BFDE5"/>
  <w15:commentEx w15:done="0" w15:paraId="76C8CC23"/>
  <w15:commentEx w15:done="0" w15:paraId="0E1AF305" w15:paraIdParent="5394612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E13722" w16cex:dateUtc="2025-01-15T20:45:00Z"/>
  <w16cex:commentExtensible w16cex:durableId="62876044" w16cex:dateUtc="2025-02-13T20:01:00Z"/>
  <w16cex:commentExtensible w16cex:durableId="107D5E84" w16cex:dateUtc="2025-02-16T14:29:00Z"/>
  <w16cex:commentExtensible w16cex:durableId="12372489" w16cex:dateUtc="2025-02-17T22:51:00Z"/>
  <w16cex:commentExtensible w16cex:durableId="598CE646" w16cex:dateUtc="2025-01-15T20:43:00Z"/>
  <w16cex:commentExtensible w16cex:durableId="5212C952" w16cex:dateUtc="2025-02-17T21:31:00Z"/>
  <w16cex:commentExtensible w16cex:durableId="429EEF6A" w16cex:dateUtc="2025-02-17T22:01:00Z"/>
  <w16cex:commentExtensible w16cex:durableId="1BF6874C" w16cex:dateUtc="2025-02-13T18:55:00Z"/>
  <w16cex:commentExtensible w16cex:durableId="52619A33" w16cex:dateUtc="2025-02-17T22:15:00Z"/>
  <w16cex:commentExtensible w16cex:durableId="5040A6A6" w16cex:dateUtc="2025-02-18T01:02:48.802Z"/>
</w16cex:commentsExtensible>
</file>

<file path=word/commentsIds.xml><?xml version="1.0" encoding="utf-8"?>
<w16cid:commentsIds xmlns:mc="http://schemas.openxmlformats.org/markup-compatibility/2006" xmlns:w16cid="http://schemas.microsoft.com/office/word/2016/wordml/cid" mc:Ignorable="w16cid">
  <w16cid:commentId w16cid:paraId="53946126" w16cid:durableId="3FE13722"/>
  <w16cid:commentId w16cid:paraId="1617252E" w16cid:durableId="62876044"/>
  <w16cid:commentId w16cid:paraId="1D8DCDBF" w16cid:durableId="107D5E84"/>
  <w16cid:commentId w16cid:paraId="6029EBB5" w16cid:durableId="12372489"/>
  <w16cid:commentId w16cid:paraId="79AC0CEC" w16cid:durableId="598CE646"/>
  <w16cid:commentId w16cid:paraId="7D5E3CA3" w16cid:durableId="5212C952"/>
  <w16cid:commentId w16cid:paraId="09ED36C1" w16cid:durableId="429EEF6A"/>
  <w16cid:commentId w16cid:paraId="664BFDE5" w16cid:durableId="1BF6874C"/>
  <w16cid:commentId w16cid:paraId="76C8CC23" w16cid:durableId="52619A33"/>
  <w16cid:commentId w16cid:paraId="0E1AF305" w16cid:durableId="5040A6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AF" w:rsidP="003A42DE" w:rsidRDefault="00B668AF" w14:paraId="6BE09AEB" w14:textId="77777777">
      <w:pPr>
        <w:spacing w:after="0" w:line="240" w:lineRule="auto"/>
      </w:pPr>
      <w:r>
        <w:separator/>
      </w:r>
    </w:p>
  </w:endnote>
  <w:endnote w:type="continuationSeparator" w:id="0">
    <w:p w:rsidR="00B668AF" w:rsidP="003A42DE" w:rsidRDefault="00B668AF" w14:paraId="0B1BA9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AF" w:rsidP="003A42DE" w:rsidRDefault="00B668AF" w14:paraId="50D828C8" w14:textId="77777777">
      <w:pPr>
        <w:spacing w:after="0" w:line="240" w:lineRule="auto"/>
      </w:pPr>
      <w:r>
        <w:separator/>
      </w:r>
    </w:p>
  </w:footnote>
  <w:footnote w:type="continuationSeparator" w:id="0">
    <w:p w:rsidR="00B668AF" w:rsidP="003A42DE" w:rsidRDefault="00B668AF" w14:paraId="3C41CA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rsidTr="496E6D5C" w14:paraId="420F8C7D" w14:textId="77777777">
      <w:trPr>
        <w:trHeight w:val="300"/>
      </w:trPr>
      <w:tc>
        <w:tcPr>
          <w:tcW w:w="2830" w:type="dxa"/>
        </w:tcPr>
        <w:p w:rsidR="496E6D5C" w:rsidP="496E6D5C" w:rsidRDefault="496E6D5C" w14:paraId="1741CB4D" w14:textId="2D02B1F1">
          <w:pPr>
            <w:pStyle w:val="Cabealho"/>
            <w:ind w:left="-115"/>
          </w:pPr>
        </w:p>
      </w:tc>
      <w:tc>
        <w:tcPr>
          <w:tcW w:w="2830" w:type="dxa"/>
        </w:tcPr>
        <w:p w:rsidR="496E6D5C" w:rsidP="496E6D5C" w:rsidRDefault="496E6D5C" w14:paraId="61B673DA" w14:textId="389F9BF1">
          <w:pPr>
            <w:pStyle w:val="Cabealho"/>
            <w:jc w:val="center"/>
          </w:pPr>
        </w:p>
      </w:tc>
      <w:tc>
        <w:tcPr>
          <w:tcW w:w="2830" w:type="dxa"/>
        </w:tcPr>
        <w:p w:rsidR="496E6D5C" w:rsidP="496E6D5C" w:rsidRDefault="496E6D5C" w14:paraId="1FA79708" w14:textId="116CB955">
          <w:pPr>
            <w:pStyle w:val="Cabealho"/>
            <w:ind w:right="-115"/>
            <w:jc w:val="right"/>
          </w:pPr>
        </w:p>
      </w:tc>
    </w:tr>
  </w:tbl>
  <w:p w:rsidR="496E6D5C" w:rsidP="496E6D5C" w:rsidRDefault="496E6D5C" w14:paraId="0F073285" w14:textId="259B3A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Des. Sérgio Rocha">
    <w15:presenceInfo w15:providerId="AD" w15:userId="S::m311808@tjdft.jus.br::b71dd344-4755-44dc-9b6a-e9ab916e2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854204"/>
    <w:rPr>
      <w:rFonts w:ascii="Times New Roman" w:hAnsi="Times New Roman" w:eastAsia="Times New Roman" w:cs="Times New Roman"/>
      <w:sz w:val="24"/>
      <w:szCs w:val="24"/>
      <w:lang w:eastAsia="pt-BR"/>
    </w:rPr>
  </w:style>
  <w:style w:type="character" w:styleId="dispositivo-publicacao" w:customStyle="1">
    <w:name w:val="dispositivo-publicacao"/>
    <w:basedOn w:val="Fontepargpadro"/>
    <w:rsid w:val="00EE15D3"/>
  </w:style>
  <w:style w:type="paragraph" w:styleId="pf0" w:customStyle="1">
    <w:name w:val="pf0"/>
    <w:basedOn w:val="Normal"/>
    <w:rsid w:val="005A45C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styleId="RecuodecorpodetextoChar" w:customStyle="1">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3.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GDSXSR</dc:creator>
  <keywords/>
  <dc:description/>
  <lastModifiedBy>Des. Sérgio Rocha</lastModifiedBy>
  <revision>15</revision>
  <dcterms:created xsi:type="dcterms:W3CDTF">2025-02-13T17:24:00.0000000Z</dcterms:created>
  <dcterms:modified xsi:type="dcterms:W3CDTF">2025-02-18T01:02:54.9783908Z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