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302A78A5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3D86837" w:rsidR="00264107" w:rsidRDefault="00264107" w:rsidP="302A78A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7D622764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302A78A5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DC4BB4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commentRangeStart w:id="1"/>
            <w:commentRangeStart w:id="2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="00370C48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commentRangeEnd w:id="1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1"/>
            </w:r>
            <w:commentRangeEnd w:id="2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2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DC4BB4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DC4BB4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163990" w:rsidP="00DC4BB4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770E7F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DC4BB4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="3757F389" w:rsidRPr="20EF520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14:paraId="7C53B768" w14:textId="4C4C9C8A" w:rsidR="00770E7F" w:rsidRPr="009F36E1" w:rsidRDefault="00744386" w:rsidP="00DC4BB4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744386">
              <w:rPr>
                <w:rFonts w:ascii="Arial" w:hAnsi="Arial" w:cs="Arial"/>
                <w:sz w:val="28"/>
                <w:szCs w:val="28"/>
              </w:rPr>
              <w:t>0725999-08.2025.8.07.0020</w:t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163990" w:rsidP="00DC4BB4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F63CDB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770E7F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2565585F" w:rsidR="00770E7F" w:rsidRPr="009F36E1" w:rsidRDefault="003B008D" w:rsidP="003B008D">
            <w:pPr>
              <w:rPr>
                <w:rFonts w:ascii="Arial" w:hAnsi="Arial" w:cs="Arial"/>
                <w:sz w:val="28"/>
                <w:szCs w:val="28"/>
              </w:rPr>
            </w:pPr>
            <w:r w:rsidRPr="00410E52">
              <w:rPr>
                <w:rFonts w:ascii="Arial" w:hAnsi="Arial" w:cs="Arial"/>
                <w:sz w:val="28"/>
                <w:szCs w:val="28"/>
              </w:rPr>
              <w:t>Associa</w:t>
            </w:r>
            <w:r w:rsidR="001E199D">
              <w:rPr>
                <w:rFonts w:ascii="Arial" w:hAnsi="Arial" w:cs="Arial"/>
                <w:sz w:val="28"/>
                <w:szCs w:val="28"/>
              </w:rPr>
              <w:t>çã</w:t>
            </w:r>
            <w:r w:rsidRPr="00410E52">
              <w:rPr>
                <w:rFonts w:ascii="Arial" w:hAnsi="Arial" w:cs="Arial"/>
                <w:sz w:val="28"/>
                <w:szCs w:val="28"/>
              </w:rPr>
              <w:t xml:space="preserve">o </w:t>
            </w:r>
            <w:r>
              <w:rPr>
                <w:rFonts w:ascii="Arial" w:hAnsi="Arial" w:cs="Arial"/>
                <w:sz w:val="28"/>
                <w:szCs w:val="28"/>
              </w:rPr>
              <w:t>C</w:t>
            </w:r>
            <w:r w:rsidRPr="00410E52">
              <w:rPr>
                <w:rFonts w:ascii="Arial" w:hAnsi="Arial" w:cs="Arial"/>
                <w:sz w:val="28"/>
                <w:szCs w:val="28"/>
              </w:rPr>
              <w:t xml:space="preserve">entro </w:t>
            </w:r>
            <w:r>
              <w:rPr>
                <w:rFonts w:ascii="Arial" w:hAnsi="Arial" w:cs="Arial"/>
                <w:sz w:val="28"/>
                <w:szCs w:val="28"/>
              </w:rPr>
              <w:t>E</w:t>
            </w:r>
            <w:r w:rsidRPr="00410E52">
              <w:rPr>
                <w:rFonts w:ascii="Arial" w:hAnsi="Arial" w:cs="Arial"/>
                <w:sz w:val="28"/>
                <w:szCs w:val="28"/>
              </w:rPr>
              <w:t xml:space="preserve">mpresarial </w:t>
            </w:r>
            <w:r>
              <w:rPr>
                <w:rFonts w:ascii="Arial" w:hAnsi="Arial" w:cs="Arial"/>
                <w:sz w:val="28"/>
                <w:szCs w:val="28"/>
              </w:rPr>
              <w:t>V</w:t>
            </w:r>
            <w:r w:rsidRPr="00410E52">
              <w:rPr>
                <w:rFonts w:ascii="Arial" w:hAnsi="Arial" w:cs="Arial"/>
                <w:sz w:val="28"/>
                <w:szCs w:val="28"/>
              </w:rPr>
              <w:t xml:space="preserve">icente </w:t>
            </w:r>
            <w:r>
              <w:rPr>
                <w:rFonts w:ascii="Arial" w:hAnsi="Arial" w:cs="Arial"/>
                <w:sz w:val="28"/>
                <w:szCs w:val="28"/>
              </w:rPr>
              <w:t>P</w:t>
            </w:r>
            <w:r w:rsidRPr="00410E52">
              <w:rPr>
                <w:rFonts w:ascii="Arial" w:hAnsi="Arial" w:cs="Arial"/>
                <w:sz w:val="28"/>
                <w:szCs w:val="28"/>
              </w:rPr>
              <w:t>ires -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410E52">
              <w:rPr>
                <w:rFonts w:ascii="Arial" w:hAnsi="Arial" w:cs="Arial"/>
                <w:sz w:val="28"/>
                <w:szCs w:val="28"/>
              </w:rPr>
              <w:t>ACEVP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163990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770E7F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="00770E7F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202588E5" w14:textId="77777777" w:rsidR="00770E7F" w:rsidRDefault="004E01CD" w:rsidP="00DC4BB4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 w:rsidRPr="004E01CD">
              <w:rPr>
                <w:rFonts w:ascii="Arial" w:hAnsi="Arial" w:cs="Arial"/>
                <w:sz w:val="28"/>
                <w:szCs w:val="28"/>
              </w:rPr>
              <w:t xml:space="preserve">Regina Marcia Rios </w:t>
            </w:r>
            <w:r>
              <w:rPr>
                <w:rFonts w:ascii="Arial" w:hAnsi="Arial" w:cs="Arial"/>
                <w:sz w:val="28"/>
                <w:szCs w:val="28"/>
              </w:rPr>
              <w:t>d</w:t>
            </w:r>
            <w:r w:rsidRPr="004E01CD">
              <w:rPr>
                <w:rFonts w:ascii="Arial" w:hAnsi="Arial" w:cs="Arial"/>
                <w:sz w:val="28"/>
                <w:szCs w:val="28"/>
              </w:rPr>
              <w:t>e Oliveira</w:t>
            </w:r>
          </w:p>
          <w:p w14:paraId="1AB96577" w14:textId="50EA060F" w:rsidR="00CB07B9" w:rsidRPr="009F36E1" w:rsidRDefault="00CB07B9" w:rsidP="00DC4BB4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DC4BB4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DC4BB4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5004760" w14:textId="77777777" w:rsidR="00886ABA" w:rsidRPr="007E1C8C" w:rsidRDefault="00886ABA" w:rsidP="00886ABA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45CC8256">
        <w:rPr>
          <w:rFonts w:ascii="Arial" w:hAnsi="Arial" w:cs="Arial"/>
          <w:b/>
          <w:bCs/>
          <w:sz w:val="28"/>
          <w:szCs w:val="28"/>
        </w:rPr>
        <w:t>EMENTA</w:t>
      </w:r>
    </w:p>
    <w:p w14:paraId="06BF179A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03C0032" w14:textId="1A350AC7" w:rsidR="006F36AC" w:rsidRPr="00E44D70" w:rsidRDefault="00886ABA" w:rsidP="525D804D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4"/>
      <w:r>
        <w:rPr>
          <w:rFonts w:ascii="Arial" w:hAnsi="Arial" w:cs="Arial"/>
          <w:sz w:val="28"/>
          <w:szCs w:val="28"/>
        </w:rPr>
        <w:t xml:space="preserve">APELAÇÃO CÍVEL.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DIREITO CIVIL E PROCESSUAL CIVIL. AÇÃO DE COBRANÇA. ASSOCIAÇÃO. DESPESAS CONDOMINIAIS. OMISSÃO DA SENTENÇA. </w:t>
      </w:r>
      <w:r>
        <w:rPr>
          <w:rFonts w:ascii="Arial" w:hAnsi="Arial" w:cs="Arial"/>
          <w:color w:val="808080"/>
          <w:sz w:val="28"/>
          <w:szCs w:val="28"/>
        </w:rPr>
        <w:t xml:space="preserve">SENTENÇA CASSADA EM PARTE. CAUSA MADURA. </w:t>
      </w:r>
      <w:r>
        <w:rPr>
          <w:rFonts w:ascii="Arial" w:hAnsi="Arial" w:cs="Arial"/>
          <w:sz w:val="28"/>
          <w:szCs w:val="28"/>
        </w:rPr>
        <w:t xml:space="preserve">MULTA MORATÓRIA DE 2%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ENCARGOS SOBRE AS PARCELAS VINCENDAS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RECURSO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PARCIALMENTE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PROVIDO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.</w:t>
      </w:r>
      <w:commentRangeEnd w:id="4"/>
      <w:r>
        <w:rPr>
          <w:rStyle w:val="CommentReference"/>
        </w:rPr>
        <w:commentReference w:id="4"/>
      </w:r>
    </w:p>
    <w:p w14:paraId="515C6761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60F6C53C" w14:textId="13425B4C" w:rsidR="00886ABA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Ação de cobrança </w:t>
      </w:r>
      <w:r>
        <w:rPr>
          <w:rFonts w:ascii="Arial" w:hAnsi="Arial" w:cs="Arial"/>
          <w:color w:val="808080"/>
          <w:sz w:val="28"/>
          <w:szCs w:val="28"/>
        </w:rPr>
        <w:t xml:space="preserve">de despesas condominiais </w:t>
      </w:r>
      <w:r>
        <w:rPr>
          <w:rFonts w:ascii="Arial" w:hAnsi="Arial" w:cs="Arial"/>
          <w:sz w:val="28"/>
          <w:szCs w:val="28"/>
        </w:rPr>
        <w:t xml:space="preserve">proposta </w:t>
      </w:r>
      <w:r>
        <w:rPr>
          <w:rFonts w:ascii="Arial" w:hAnsi="Arial" w:cs="Arial"/>
          <w:color w:val="808080"/>
          <w:sz w:val="28"/>
          <w:szCs w:val="28"/>
        </w:rPr>
        <w:t xml:space="preserve">pela</w:t>
      </w:r>
      <w:r>
        <w:rPr>
          <w:rFonts w:ascii="Arial" w:hAnsi="Arial" w:cs="Arial"/>
          <w:sz w:val="28"/>
          <w:szCs w:val="28"/>
        </w:rPr>
        <w:t xml:space="preserve"> Associação Centro Empresarial Vicente Pires – ACEVP contra pessoa natural</w:t>
      </w:r>
      <w:r>
        <w:rPr>
          <w:rFonts w:ascii="Arial" w:hAnsi="Arial" w:cs="Arial"/>
          <w:color w:val="808080"/>
          <w:sz w:val="28"/>
          <w:szCs w:val="28"/>
        </w:rPr>
        <w:t xml:space="preserve"> (R$ 7.071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color w:val="808080"/>
          <w:sz w:val="28"/>
          <w:szCs w:val="28"/>
        </w:rPr>
        <w:t xml:space="preserve">31)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7A5E7795" w14:textId="3EBAB745" w:rsidR="00511630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sentença julgou procedentes os pedidos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para condenar a ré </w:t>
      </w:r>
      <w:r>
        <w:rPr>
          <w:rFonts w:ascii="Arial" w:hAnsi="Arial" w:cs="Arial"/>
          <w:color w:val="808080"/>
          <w:sz w:val="28"/>
          <w:szCs w:val="28"/>
        </w:rPr>
        <w:t xml:space="preserve">às</w:t>
      </w:r>
      <w:r>
        <w:rPr>
          <w:rFonts w:ascii="Arial" w:hAnsi="Arial" w:cs="Arial"/>
          <w:sz w:val="28"/>
          <w:szCs w:val="28"/>
        </w:rPr>
        <w:t xml:space="preserve"> despesas vencidas, com correção</w:t>
      </w:r>
      <w:r>
        <w:rPr>
          <w:rFonts w:ascii="Arial" w:hAnsi="Arial" w:cs="Arial"/>
          <w:sz w:val="28"/>
          <w:szCs w:val="28"/>
        </w:rPr>
        <w:t xml:space="preserve"> pelo INPC, juros de mora de 1% ao mês e parcelas vincendas, sem </w:t>
      </w:r>
      <w:r>
        <w:rPr>
          <w:rFonts w:ascii="Arial" w:hAnsi="Arial" w:cs="Arial"/>
          <w:sz w:val="28"/>
          <w:szCs w:val="28"/>
        </w:rPr>
        <w:t xml:space="preserve">apreciar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multa moratória de 2%. Os embargos de declaração </w:t>
      </w:r>
      <w:r>
        <w:rPr>
          <w:rFonts w:ascii="Arial" w:hAnsi="Arial" w:cs="Arial"/>
          <w:sz w:val="28"/>
          <w:szCs w:val="28"/>
        </w:rPr>
        <w:t xml:space="preserve">foram rejeitados.</w:t>
      </w:r>
    </w:p>
    <w:p w14:paraId="3CC7FA98" w14:textId="002EC7A4" w:rsidR="00511630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autora apelou </w:t>
      </w:r>
      <w:r>
        <w:rPr>
          <w:rFonts w:ascii="Arial" w:hAnsi="Arial" w:cs="Arial"/>
          <w:color w:val="808080"/>
          <w:sz w:val="28"/>
          <w:szCs w:val="28"/>
        </w:rPr>
        <w:t xml:space="preserve">para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cassar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sentença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por omissão quanto </w:t>
      </w:r>
      <w:r>
        <w:rPr>
          <w:rFonts w:ascii="Arial" w:hAnsi="Arial" w:cs="Arial"/>
          <w:color w:val="808080"/>
          <w:sz w:val="28"/>
          <w:szCs w:val="28"/>
        </w:rPr>
        <w:t xml:space="preserve">à</w:t>
      </w:r>
      <w:r>
        <w:rPr>
          <w:rFonts w:ascii="Arial" w:hAnsi="Arial" w:cs="Arial"/>
          <w:sz w:val="28"/>
          <w:szCs w:val="28"/>
        </w:rPr>
        <w:t xml:space="preserve"> multa moratória de 2%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aos encargos das</w:t>
      </w:r>
      <w:r>
        <w:rPr>
          <w:rFonts w:ascii="Arial" w:hAnsi="Arial" w:cs="Arial"/>
          <w:sz w:val="28"/>
          <w:szCs w:val="28"/>
        </w:rPr>
        <w:t xml:space="preserve"> parcelas </w:t>
      </w:r>
      <w:r>
        <w:rPr>
          <w:rFonts w:ascii="Arial" w:hAnsi="Arial" w:cs="Arial"/>
          <w:color w:val="808080"/>
          <w:sz w:val="28"/>
          <w:szCs w:val="28"/>
        </w:rPr>
        <w:t xml:space="preserve">vincendas, ou, subsidiariamente, para incluir a multa na condenação</w:t>
      </w:r>
      <w:r>
        <w:rPr>
          <w:rFonts w:ascii="Arial" w:hAnsi="Arial" w:cs="Arial"/>
          <w:sz w:val="28"/>
          <w:szCs w:val="28"/>
        </w:rPr>
        <w:t xml:space="preserve">.</w:t>
      </w:r>
    </w:p>
    <w:p w14:paraId="75F97632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74A27C08" w14:textId="52241A7F" w:rsidR="00531B2F" w:rsidRPr="00531B2F" w:rsidRDefault="00511630" w:rsidP="00531B2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Há </w:t>
      </w:r>
      <w:r>
        <w:rPr>
          <w:rFonts w:ascii="Arial" w:hAnsi="Arial" w:cs="Arial"/>
          <w:sz w:val="28"/>
          <w:szCs w:val="28"/>
        </w:rPr>
        <w:t xml:space="preserve">três</w:t>
      </w:r>
      <w:r>
        <w:rPr>
          <w:rFonts w:ascii="Arial" w:hAnsi="Arial" w:cs="Arial"/>
          <w:sz w:val="28"/>
          <w:szCs w:val="28"/>
        </w:rPr>
        <w:t xml:space="preserve"> questões em discussão: (i) saber se a sentença </w:t>
      </w:r>
      <w:r>
        <w:rPr>
          <w:rFonts w:ascii="Arial" w:hAnsi="Arial" w:cs="Arial"/>
          <w:color w:val="808080"/>
          <w:sz w:val="28"/>
          <w:szCs w:val="28"/>
        </w:rPr>
        <w:t xml:space="preserve">é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omissa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quanto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à</w:t>
      </w:r>
      <w:r>
        <w:rPr>
          <w:rFonts w:ascii="Arial" w:hAnsi="Arial" w:cs="Arial"/>
          <w:sz w:val="28"/>
          <w:szCs w:val="28"/>
        </w:rPr>
        <w:t xml:space="preserve"> multa moratória de 2%; (ii) </w:t>
      </w:r>
      <w:r>
        <w:rPr>
          <w:rFonts w:ascii="Arial" w:hAnsi="Arial" w:cs="Arial"/>
          <w:sz w:val="28"/>
          <w:szCs w:val="28"/>
        </w:rPr>
        <w:t xml:space="preserve">definir</w:t>
      </w:r>
      <w:r>
        <w:rPr>
          <w:rFonts w:ascii="Arial" w:hAnsi="Arial" w:cs="Arial"/>
          <w:sz w:val="28"/>
          <w:szCs w:val="28"/>
        </w:rPr>
        <w:t xml:space="preserve"> se a </w:t>
      </w:r>
      <w:r>
        <w:rPr>
          <w:rFonts w:ascii="Arial" w:hAnsi="Arial" w:cs="Arial"/>
          <w:color w:val="808080"/>
          <w:sz w:val="28"/>
          <w:szCs w:val="28"/>
        </w:rPr>
        <w:t xml:space="preserve">multa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integra</w:t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color w:val="808080"/>
          <w:sz w:val="28"/>
          <w:szCs w:val="28"/>
        </w:rPr>
        <w:t xml:space="preserve">condenação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sz w:val="28"/>
          <w:szCs w:val="28"/>
        </w:rPr>
        <w:t xml:space="preserve">e </w:t>
      </w:r>
      <w:r>
        <w:rPr>
          <w:rFonts w:ascii="Arial" w:hAnsi="Arial" w:cs="Arial"/>
          <w:sz w:val="28"/>
          <w:szCs w:val="28"/>
        </w:rPr>
        <w:t xml:space="preserve">(iii) saber se </w:t>
      </w:r>
      <w:r>
        <w:rPr>
          <w:rFonts w:ascii="Arial" w:hAnsi="Arial" w:cs="Arial"/>
          <w:sz w:val="28"/>
          <w:szCs w:val="28"/>
        </w:rPr>
        <w:t xml:space="preserve">há </w:t>
      </w:r>
      <w:r>
        <w:rPr>
          <w:rFonts w:ascii="Arial" w:hAnsi="Arial" w:cs="Arial"/>
          <w:color w:val="808080"/>
          <w:sz w:val="28"/>
          <w:szCs w:val="28"/>
        </w:rPr>
        <w:t xml:space="preserve">omissão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quanto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aos</w:t>
      </w:r>
      <w:r>
        <w:rPr>
          <w:rFonts w:ascii="Arial" w:hAnsi="Arial" w:cs="Arial"/>
          <w:sz w:val="28"/>
          <w:szCs w:val="28"/>
        </w:rPr>
        <w:t xml:space="preserve"> encargos </w:t>
      </w:r>
      <w:r>
        <w:rPr>
          <w:rFonts w:ascii="Arial" w:hAnsi="Arial" w:cs="Arial"/>
          <w:color w:val="808080"/>
          <w:sz w:val="28"/>
          <w:szCs w:val="28"/>
        </w:rPr>
        <w:t xml:space="preserve">das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vincendas</w:t>
      </w:r>
      <w:r>
        <w:rPr>
          <w:rFonts w:ascii="Arial" w:hAnsi="Arial" w:cs="Arial"/>
          <w:sz w:val="28"/>
          <w:szCs w:val="28"/>
        </w:rPr>
        <w:t xml:space="preserve">.</w:t>
      </w:r>
    </w:p>
    <w:p w14:paraId="514DEA23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351C336E" w14:textId="52C34DA6" w:rsidR="00886ABA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sentença que deixa de apreciar pedido </w:t>
      </w:r>
      <w:r>
        <w:rPr>
          <w:rFonts w:ascii="Arial" w:hAnsi="Arial" w:cs="Arial"/>
          <w:color w:val="808080"/>
          <w:sz w:val="28"/>
          <w:szCs w:val="28"/>
        </w:rPr>
        <w:t xml:space="preserve">expresso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inicial, </w:t>
      </w:r>
      <w:r>
        <w:rPr>
          <w:rFonts w:ascii="Arial" w:hAnsi="Arial" w:cs="Arial"/>
          <w:color w:val="808080"/>
          <w:sz w:val="28"/>
          <w:szCs w:val="28"/>
        </w:rPr>
        <w:t xml:space="preserve">mesmo</w:t>
      </w:r>
      <w:r>
        <w:rPr>
          <w:rFonts w:ascii="Arial" w:hAnsi="Arial" w:cs="Arial"/>
          <w:sz w:val="28"/>
          <w:szCs w:val="28"/>
        </w:rPr>
        <w:t xml:space="preserve"> após</w:t>
      </w:r>
      <w:r>
        <w:rPr>
          <w:rFonts w:ascii="Arial" w:hAnsi="Arial" w:cs="Arial"/>
          <w:sz w:val="28"/>
          <w:szCs w:val="28"/>
        </w:rPr>
        <w:t xml:space="preserve"> embargos de declaração</w:t>
      </w:r>
      <w:r>
        <w:rPr>
          <w:rFonts w:ascii="Arial" w:hAnsi="Arial" w:cs="Arial"/>
          <w:color w:val="808080"/>
          <w:sz w:val="28"/>
          <w:szCs w:val="28"/>
        </w:rPr>
        <w:t xml:space="preserve">, ofende o CPC 1.022 II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color w:val="808080"/>
          <w:sz w:val="28"/>
          <w:szCs w:val="28"/>
        </w:rPr>
        <w:t xml:space="preserve">No caso,</w:t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color w:val="808080"/>
          <w:sz w:val="28"/>
          <w:szCs w:val="28"/>
        </w:rPr>
        <w:t xml:space="preserve">multa moratória de 2% foi requerida e não examinada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o que </w:t>
      </w:r>
      <w:r>
        <w:rPr>
          <w:rFonts w:ascii="Arial" w:hAnsi="Arial" w:cs="Arial"/>
          <w:sz w:val="28"/>
          <w:szCs w:val="28"/>
        </w:rPr>
        <w:t xml:space="preserve">impõe</w:t>
      </w:r>
      <w:r>
        <w:rPr>
          <w:rFonts w:ascii="Arial" w:hAnsi="Arial" w:cs="Arial"/>
          <w:sz w:val="28"/>
          <w:szCs w:val="28"/>
        </w:rPr>
        <w:t xml:space="preserve"> a cassação </w:t>
      </w:r>
      <w:r>
        <w:rPr>
          <w:rFonts w:ascii="Arial" w:hAnsi="Arial" w:cs="Arial"/>
          <w:color w:val="808080"/>
          <w:sz w:val="28"/>
          <w:szCs w:val="28"/>
        </w:rPr>
        <w:t xml:space="preserve">nesse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ponto</w:t>
      </w:r>
      <w:r>
        <w:rPr>
          <w:rFonts w:ascii="Arial" w:hAnsi="Arial" w:cs="Arial"/>
          <w:sz w:val="28"/>
          <w:szCs w:val="28"/>
        </w:rPr>
        <w:t xml:space="preserve">.</w:t>
      </w:r>
    </w:p>
    <w:p w14:paraId="15EDE053" w14:textId="470CD781" w:rsidR="00886ABA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Estando</w:t>
      </w:r>
      <w:r>
        <w:rPr>
          <w:rFonts w:ascii="Arial" w:hAnsi="Arial" w:cs="Arial"/>
          <w:sz w:val="28"/>
          <w:szCs w:val="28"/>
        </w:rPr>
        <w:t xml:space="preserve"> o processo </w:t>
      </w:r>
      <w:r>
        <w:rPr>
          <w:rFonts w:ascii="Arial" w:hAnsi="Arial" w:cs="Arial"/>
          <w:sz w:val="28"/>
          <w:szCs w:val="28"/>
        </w:rPr>
        <w:t xml:space="preserve">apto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julgamento </w:t>
      </w:r>
      <w:r>
        <w:rPr>
          <w:rFonts w:ascii="Arial" w:hAnsi="Arial" w:cs="Arial"/>
          <w:color w:val="808080"/>
          <w:sz w:val="28"/>
          <w:szCs w:val="28"/>
        </w:rPr>
        <w:t xml:space="preserve">imediato, o</w:t>
      </w:r>
      <w:r>
        <w:rPr>
          <w:rFonts w:ascii="Arial" w:hAnsi="Arial" w:cs="Arial"/>
          <w:sz w:val="28"/>
          <w:szCs w:val="28"/>
        </w:rPr>
        <w:t xml:space="preserve"> Tribunal</w:t>
      </w:r>
      <w:r>
        <w:rPr>
          <w:rFonts w:ascii="Arial" w:hAnsi="Arial" w:cs="Arial"/>
          <w:color w:val="808080"/>
          <w:sz w:val="28"/>
          <w:szCs w:val="28"/>
        </w:rPr>
        <w:t xml:space="preserve"> examina o mérito (CPC 1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013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§ 3º III) e inclui a</w:t>
      </w:r>
      <w:r>
        <w:rPr>
          <w:rFonts w:ascii="Arial" w:hAnsi="Arial" w:cs="Arial"/>
          <w:sz w:val="28"/>
          <w:szCs w:val="28"/>
        </w:rPr>
        <w:t xml:space="preserve"> multa moratória de 2% </w:t>
      </w:r>
      <w:r>
        <w:rPr>
          <w:rFonts w:ascii="Arial" w:hAnsi="Arial" w:cs="Arial"/>
          <w:color w:val="808080"/>
          <w:sz w:val="28"/>
          <w:szCs w:val="28"/>
        </w:rPr>
        <w:t xml:space="preserve">na</w:t>
      </w:r>
      <w:r>
        <w:rPr>
          <w:rFonts w:ascii="Arial" w:hAnsi="Arial" w:cs="Arial"/>
          <w:sz w:val="28"/>
          <w:szCs w:val="28"/>
        </w:rPr>
        <w:t xml:space="preserve"> condenação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por estar </w:t>
      </w:r>
      <w:r>
        <w:rPr>
          <w:rFonts w:ascii="Arial" w:hAnsi="Arial" w:cs="Arial"/>
          <w:sz w:val="28"/>
          <w:szCs w:val="28"/>
        </w:rPr>
        <w:t xml:space="preserve">prevista no </w:t>
      </w:r>
      <w:r>
        <w:rPr>
          <w:rFonts w:ascii="Arial" w:hAnsi="Arial" w:cs="Arial"/>
          <w:color w:val="808080"/>
          <w:sz w:val="28"/>
          <w:szCs w:val="28"/>
        </w:rPr>
        <w:t xml:space="preserve">CC</w:t>
      </w:r>
      <w:r>
        <w:rPr>
          <w:rFonts w:ascii="Arial" w:hAnsi="Arial" w:cs="Arial"/>
          <w:sz w:val="28"/>
          <w:szCs w:val="28"/>
        </w:rPr>
        <w:t xml:space="preserve"> 1.336</w:t>
      </w:r>
      <w:r>
        <w:rPr>
          <w:rFonts w:ascii="Arial" w:hAnsi="Arial" w:cs="Arial"/>
          <w:sz w:val="28"/>
          <w:szCs w:val="28"/>
        </w:rPr>
        <w:t xml:space="preserve"> § 1º</w:t>
      </w:r>
      <w:r>
        <w:rPr>
          <w:rFonts w:ascii="Arial" w:hAnsi="Arial" w:cs="Arial"/>
          <w:sz w:val="28"/>
          <w:szCs w:val="28"/>
        </w:rPr>
        <w:t xml:space="preserve"> e no </w:t>
      </w:r>
      <w:r>
        <w:rPr>
          <w:rFonts w:ascii="Arial" w:hAnsi="Arial" w:cs="Arial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statuto da </w:t>
      </w:r>
      <w:r>
        <w:rPr>
          <w:rFonts w:ascii="Arial" w:hAnsi="Arial" w:cs="Arial"/>
          <w:color w:val="808080"/>
          <w:sz w:val="28"/>
          <w:szCs w:val="28"/>
        </w:rPr>
        <w:t xml:space="preserve">associação</w:t>
      </w:r>
      <w:r>
        <w:rPr>
          <w:rFonts w:ascii="Arial" w:hAnsi="Arial" w:cs="Arial"/>
          <w:sz w:val="28"/>
          <w:szCs w:val="28"/>
        </w:rPr>
        <w:t xml:space="preserve">.</w:t>
      </w:r>
    </w:p>
    <w:p w14:paraId="7F3BFFF0" w14:textId="62DEE385" w:rsidR="00707215" w:rsidRDefault="00707215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7. </w:t>
      </w:r>
      <w:r>
        <w:rPr>
          <w:rFonts w:ascii="Arial" w:hAnsi="Arial" w:cs="Arial"/>
          <w:color w:val="808080"/>
          <w:sz w:val="28"/>
          <w:szCs w:val="28"/>
        </w:rPr>
        <w:t xml:space="preserve">Não há</w:t>
      </w:r>
      <w:r>
        <w:rPr>
          <w:rFonts w:ascii="Arial" w:hAnsi="Arial" w:cs="Arial"/>
          <w:sz w:val="28"/>
          <w:szCs w:val="28"/>
        </w:rPr>
        <w:t xml:space="preserve"> omissão quanto </w:t>
      </w:r>
      <w:r>
        <w:rPr>
          <w:rFonts w:ascii="Arial" w:hAnsi="Arial" w:cs="Arial"/>
          <w:color w:val="808080"/>
          <w:sz w:val="28"/>
          <w:szCs w:val="28"/>
        </w:rPr>
        <w:t xml:space="preserve">às</w:t>
      </w:r>
      <w:r>
        <w:rPr>
          <w:rFonts w:ascii="Arial" w:hAnsi="Arial" w:cs="Arial"/>
          <w:sz w:val="28"/>
          <w:szCs w:val="28"/>
        </w:rPr>
        <w:t xml:space="preserve"> parcelas vincendas, pois a sentença </w:t>
      </w:r>
      <w:r>
        <w:rPr>
          <w:rFonts w:ascii="Arial" w:hAnsi="Arial" w:cs="Arial"/>
          <w:color w:val="808080"/>
          <w:sz w:val="28"/>
          <w:szCs w:val="28"/>
        </w:rPr>
        <w:t xml:space="preserve">fixou</w:t>
      </w:r>
      <w:r>
        <w:rPr>
          <w:rFonts w:ascii="Arial" w:hAnsi="Arial" w:cs="Arial"/>
          <w:sz w:val="28"/>
          <w:szCs w:val="28"/>
        </w:rPr>
        <w:t xml:space="preserve"> juros de mora desde o vencimento de cada parcela, </w:t>
      </w:r>
      <w:r>
        <w:rPr>
          <w:rFonts w:ascii="Arial" w:hAnsi="Arial" w:cs="Arial"/>
          <w:color w:val="808080"/>
          <w:sz w:val="28"/>
          <w:szCs w:val="28"/>
        </w:rPr>
        <w:t xml:space="preserve">inclusive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vincendas</w:t>
      </w:r>
      <w:r>
        <w:rPr>
          <w:rFonts w:ascii="Arial" w:hAnsi="Arial" w:cs="Arial"/>
          <w:sz w:val="28"/>
          <w:szCs w:val="28"/>
        </w:rPr>
        <w:t xml:space="preserve">.</w:t>
      </w:r>
    </w:p>
    <w:p w14:paraId="61C39010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lastRenderedPageBreak/>
        <w:t>IV. Dispositivo</w:t>
      </w:r>
    </w:p>
    <w:p w14:paraId="6C578D9E" w14:textId="1081E5B2" w:rsidR="00CE7EED" w:rsidRDefault="00707215" w:rsidP="00707215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8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Deu-se </w:t>
      </w:r>
      <w:r>
        <w:rPr>
          <w:rFonts w:ascii="Arial" w:hAnsi="Arial" w:cs="Arial"/>
          <w:sz w:val="28"/>
          <w:szCs w:val="28"/>
        </w:rPr>
        <w:t xml:space="preserve">pa</w:t>
      </w:r>
      <w:r>
        <w:rPr>
          <w:rFonts w:ascii="Arial" w:hAnsi="Arial" w:cs="Arial"/>
          <w:sz w:val="28"/>
          <w:szCs w:val="28"/>
        </w:rPr>
        <w:t xml:space="preserve">rcial </w:t>
      </w:r>
      <w:r>
        <w:rPr>
          <w:rFonts w:ascii="Arial" w:hAnsi="Arial" w:cs="Arial"/>
          <w:sz w:val="28"/>
          <w:szCs w:val="28"/>
        </w:rPr>
        <w:t xml:space="preserve">provimento ao apelo </w:t>
      </w:r>
      <w:r>
        <w:rPr>
          <w:rFonts w:ascii="Arial" w:hAnsi="Arial" w:cs="Arial"/>
          <w:color w:val="808080"/>
          <w:sz w:val="28"/>
          <w:szCs w:val="28"/>
        </w:rPr>
        <w:t xml:space="preserve">da autora </w:t>
      </w:r>
      <w:r>
        <w:rPr>
          <w:rFonts w:ascii="Arial" w:hAnsi="Arial" w:cs="Arial"/>
          <w:sz w:val="28"/>
          <w:szCs w:val="28"/>
        </w:rPr>
        <w:t xml:space="preserve">para cassar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sentença</w:t>
      </w:r>
      <w:r>
        <w:rPr>
          <w:rFonts w:ascii="Arial" w:hAnsi="Arial" w:cs="Arial"/>
          <w:sz w:val="28"/>
          <w:szCs w:val="28"/>
        </w:rPr>
        <w:t xml:space="preserve"> quanto à omissão </w:t>
      </w:r>
      <w:r>
        <w:rPr>
          <w:rFonts w:ascii="Arial" w:hAnsi="Arial" w:cs="Arial"/>
          <w:sz w:val="28"/>
          <w:szCs w:val="28"/>
        </w:rPr>
        <w:t xml:space="preserve">e, </w:t>
      </w:r>
      <w:r>
        <w:rPr>
          <w:rFonts w:ascii="Arial" w:hAnsi="Arial" w:cs="Arial"/>
          <w:color w:val="808080"/>
          <w:sz w:val="28"/>
          <w:szCs w:val="28"/>
        </w:rPr>
        <w:t xml:space="preserve">pela</w:t>
      </w:r>
      <w:r>
        <w:rPr>
          <w:rFonts w:ascii="Arial" w:hAnsi="Arial" w:cs="Arial"/>
          <w:sz w:val="28"/>
          <w:szCs w:val="28"/>
        </w:rPr>
        <w:t xml:space="preserve"> teoria da causa madura (</w:t>
      </w:r>
      <w:r>
        <w:rPr>
          <w:rFonts w:ascii="Arial" w:hAnsi="Arial" w:cs="Arial"/>
          <w:sz w:val="28"/>
          <w:szCs w:val="28"/>
        </w:rPr>
        <w:t xml:space="preserve">CPC</w:t>
      </w:r>
      <w:r>
        <w:rPr>
          <w:rFonts w:ascii="Arial" w:hAnsi="Arial" w:cs="Arial"/>
          <w:sz w:val="28"/>
          <w:szCs w:val="28"/>
        </w:rPr>
        <w:t xml:space="preserve"> 1.013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§ 3º</w:t>
      </w:r>
      <w:r>
        <w:rPr>
          <w:rFonts w:ascii="Arial" w:hAnsi="Arial" w:cs="Arial"/>
          <w:color w:val="808080"/>
          <w:sz w:val="28"/>
          <w:szCs w:val="28"/>
        </w:rPr>
        <w:t xml:space="preserve"> III</w:t>
      </w:r>
      <w:r>
        <w:rPr>
          <w:rFonts w:ascii="Arial" w:hAnsi="Arial" w:cs="Arial"/>
          <w:sz w:val="28"/>
          <w:szCs w:val="28"/>
        </w:rPr>
        <w:t xml:space="preserve">), </w:t>
      </w:r>
      <w:r>
        <w:rPr>
          <w:rFonts w:ascii="Arial" w:hAnsi="Arial" w:cs="Arial"/>
          <w:color w:val="808080"/>
          <w:sz w:val="28"/>
          <w:szCs w:val="28"/>
        </w:rPr>
        <w:t xml:space="preserve">condenar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ré</w:t>
      </w:r>
      <w:r>
        <w:rPr>
          <w:rFonts w:ascii="Arial" w:hAnsi="Arial" w:cs="Arial"/>
          <w:sz w:val="28"/>
          <w:szCs w:val="28"/>
        </w:rPr>
        <w:t xml:space="preserve"> ao pagamento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multa moratória de 2%</w:t>
      </w:r>
      <w:r>
        <w:rPr>
          <w:rFonts w:ascii="Arial" w:hAnsi="Arial" w:cs="Arial"/>
          <w:sz w:val="28"/>
          <w:szCs w:val="28"/>
        </w:rPr>
        <w:t xml:space="preserve">.</w:t>
      </w:r>
    </w:p>
    <w:p w14:paraId="4C4C6D22" w14:textId="4AF1698F" w:rsidR="00886ABA" w:rsidRPr="00E87018" w:rsidRDefault="008B62D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>_______</w:t>
      </w:r>
    </w:p>
    <w:p w14:paraId="42DDE922" w14:textId="755695A4" w:rsidR="00887483" w:rsidRPr="00887483" w:rsidRDefault="00886ABA" w:rsidP="00887483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CC 1.336 § 1º;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CPC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1.013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§ 3º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III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e 1.022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II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</w:t>
      </w:r>
    </w:p>
    <w:p w14:paraId="43D43365" w14:textId="28C96861" w:rsidR="00886ABA" w:rsidRDefault="00886AB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Jurisprudência relevante citada: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TJDFT, Acórdão 2076426,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0702669-79.2025.8.07.0020, Rel. Des. Aiston Henrique de Sousa, 4ª Turma Cível, j. 04/12/2025, DJe 27/01/2026.</w:t>
      </w:r>
    </w:p>
    <w:p w14:paraId="7EB41473" w14:textId="77777777" w:rsidR="008A7AE1" w:rsidRDefault="008A7AE1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4A18AB37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RESUMO DA SENTENÇA</w:t>
      </w:r>
    </w:p>
    <w:p w14:paraId="2F6D4907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I. RAZÕES DE DECIDIR</w:t>
      </w:r>
    </w:p>
    <w:p w14:paraId="0E97688A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Revelia e presunção relativa de veracidade</w:t>
      </w:r>
    </w:p>
    <w:p w14:paraId="61922530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A requerida foi regularmente citada, inclusive por hora certa, mas não apresentou contestação, sendo decretada sua revelia. O Juízo destacou que a revelia gera presunção relativa de veracidade dos fatos alegados pela autora (art. 344 do CPC), a qual foi corroborada pelas provas documentais produzidas nos autos.</w:t>
      </w:r>
    </w:p>
    <w:p w14:paraId="3EA97EF9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Comprovação do débito condominial 2. A autora comprovou o inadimplemento mediante planilha discriminada e demonstrativos de cobrança, evidenciando a existência de taxas ordinárias e fundo de reserva referentes às competências de 10/06/2025 a 10/11/2025, totalizando R$ 2.824,51, acrescidos dos encargos incidentes.</w:t>
      </w:r>
    </w:p>
    <w:p w14:paraId="0778FCD0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Responsabilidade da proprietária e natureza propter rem da obrigação 3. Restou demonstrado o vínculo da requerida com a unidade imobiliária geradora das despesas. O Juízo consignou que as despesas condominiais possuem natureza propter rem, vinculando-se à titularidade ou posse do imóvel, sendo exigíveis independentemente de manifestação expressa de vontade do condômino.</w:t>
      </w:r>
    </w:p>
    <w:p w14:paraId="47876FAF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Legitimidade da cobrança das despesas aprovadas em assembleia 4. A sentença reconheceu que a aprovação regular das despesas em assembleia legitima a cobrança promovida pela associação, inexistindo nos autos elementos capazes de afastar a validade dos débitos exigidos.</w:t>
      </w:r>
    </w:p>
    <w:p w14:paraId="31D4684A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lastRenderedPageBreak/>
        <w:t>Honorários convencionais 5. O Juízo afastou a inclusão automática dos honorários convencionais no valor principal da condenação, assentando que a verba honorária devida no processo deve observar o regime dos honorários sucumbenciais fixados judicialmente.</w:t>
      </w:r>
    </w:p>
    <w:p w14:paraId="3CB19EF2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Parcelas vincendas 6. Por se tratar de obrigação de trato sucessivo, foi reconhecida a possibilidade de inclusão das parcelas vincendas até o efetivo cumprimento da obrigação, nos termos do art. 323 do CPC.</w:t>
      </w:r>
    </w:p>
    <w:p w14:paraId="052B8F5F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II. DISPOSITIVO DA SENTENÇA</w:t>
      </w:r>
    </w:p>
    <w:p w14:paraId="17684698" w14:textId="7327E0BD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O Juízo julgou procedentes os pedidos formulados pela ASSOCIAÇÃO CENTRO EMPRESARIAL VICENTE PIRES – ACEVP, resolvendo o mérito com fundamento no art. 487, I, do CPC, para condenar a requerida REGINA MARCIA RIOS DE OLIVEIRA ao pagamento das despesas condominiais vencidas no valor de R$ 2.824,51, acrescidas de correção monetária pelo INPC e juros de mora de 1% ao mês desde o vencimento de cada parcela, bem como ao pagamento das parcelas vincendas enquanto perdurar a obrigação. A requerida foi ainda condenada ao pagamento das custas processuais e honorários advocatícios fixados em 10% sobre o valor da condenação.</w:t>
      </w:r>
    </w:p>
    <w:p w14:paraId="63358632" w14:textId="6B408D21" w:rsidR="00DB1301" w:rsidRDefault="00F63CDB" w:rsidP="00355C73">
      <w:pPr>
        <w:pageBreakBefore/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RELATÓRIO</w:t>
      </w:r>
    </w:p>
    <w:p w14:paraId="5B804E7F" w14:textId="77777777" w:rsidR="00DB1301" w:rsidRDefault="00DB1301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4DD0FB" w14:textId="04C87392" w:rsidR="00DB1301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14:paraId="21AD02C0" w14:textId="77777777" w:rsidR="00167F3A" w:rsidRDefault="00167F3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6D3E16E" w14:textId="77777777" w:rsidR="00EF7D83" w:rsidRPr="00EF7D83" w:rsidRDefault="00F63CDB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EF7D83" w:rsidRPr="00EF7D83">
        <w:rPr>
          <w:rFonts w:ascii="Arial" w:hAnsi="Arial" w:cs="Arial"/>
          <w:i/>
          <w:iCs/>
          <w:sz w:val="26"/>
          <w:szCs w:val="26"/>
        </w:rPr>
        <w:t>Trata-se de ação de cobrança proposta por ASSOCIAÇÃO CENTRO EMPRESARIAL VICENTE PIRES – ACEVP em face de REGINA MARCIA RIOS DE OLIVEIRA, na qual a parte autora alega inadimplemento de despesas condominiais relativas às competências de 10/06/2025 a 10/11/2025, referentes à unidade 210, de titularidade da requerida, totalizando o valor de R$ 2.824,51, acrescido de encargos contratuais, além de parcelas vincendas.</w:t>
      </w:r>
    </w:p>
    <w:p w14:paraId="797C10A0" w14:textId="77777777" w:rsidR="00EF7D83" w:rsidRPr="00EF7D83" w:rsidRDefault="00EF7D83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F7D83">
        <w:rPr>
          <w:rFonts w:ascii="Arial" w:hAnsi="Arial" w:cs="Arial"/>
          <w:i/>
          <w:iCs/>
          <w:sz w:val="26"/>
          <w:szCs w:val="26"/>
        </w:rPr>
        <w:t>Sustenta a legitimidade da cobrança, ainda que se trate de associação, e a regular aprovação das despesas em assembleia.</w:t>
      </w:r>
    </w:p>
    <w:p w14:paraId="2796B7E6" w14:textId="77777777" w:rsidR="00EF7D83" w:rsidRPr="00EF7D83" w:rsidRDefault="00EF7D83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F7D83">
        <w:rPr>
          <w:rFonts w:ascii="Arial" w:hAnsi="Arial" w:cs="Arial"/>
          <w:i/>
          <w:iCs/>
          <w:sz w:val="26"/>
          <w:szCs w:val="26"/>
        </w:rPr>
        <w:t>Requereu a condenação da requerida ao pagamento do débito, com correção monetária, juros de mora, multa e honorários convencionais, bem como das parcelas vincendas e ônus de sucumbência.</w:t>
      </w:r>
    </w:p>
    <w:p w14:paraId="5C19AA13" w14:textId="77777777" w:rsidR="00EF7D83" w:rsidRPr="00EF7D83" w:rsidRDefault="00EF7D83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F7D83">
        <w:rPr>
          <w:rFonts w:ascii="Arial" w:hAnsi="Arial" w:cs="Arial"/>
          <w:i/>
          <w:iCs/>
          <w:sz w:val="26"/>
          <w:szCs w:val="26"/>
        </w:rPr>
        <w:t>A requerida foi citada, inclusive por hora certa, e regularmente intimada, não tendo apresentado contestação, sendo decretada sua revelia.</w:t>
      </w:r>
    </w:p>
    <w:p w14:paraId="2A1367AB" w14:textId="4AEC0F53" w:rsidR="00F63CDB" w:rsidRPr="000A7009" w:rsidRDefault="00EF7D83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F7D83">
        <w:rPr>
          <w:rFonts w:ascii="Arial" w:hAnsi="Arial" w:cs="Arial"/>
          <w:i/>
          <w:iCs/>
          <w:sz w:val="26"/>
          <w:szCs w:val="26"/>
        </w:rPr>
        <w:t>Não houve requerimento para produção de novas provas. Sobreveio determinação de julgamento antecipado da lide.</w:t>
      </w:r>
      <w:r w:rsidR="0061262D" w:rsidRPr="000A7009">
        <w:rPr>
          <w:rFonts w:ascii="Arial" w:hAnsi="Arial" w:cs="Arial"/>
          <w:i/>
          <w:iCs/>
          <w:sz w:val="26"/>
          <w:szCs w:val="26"/>
        </w:rPr>
        <w:t xml:space="preserve">” (ID </w:t>
      </w:r>
      <w:r w:rsidR="006F2624" w:rsidRPr="006F2624">
        <w:rPr>
          <w:rFonts w:ascii="Arial" w:hAnsi="Arial" w:cs="Arial"/>
          <w:i/>
          <w:iCs/>
          <w:sz w:val="26"/>
          <w:szCs w:val="26"/>
        </w:rPr>
        <w:t>88498558</w:t>
      </w:r>
      <w:r w:rsidR="0061262D" w:rsidRPr="000A7009">
        <w:rPr>
          <w:rFonts w:ascii="Arial" w:hAnsi="Arial" w:cs="Arial"/>
          <w:i/>
          <w:iCs/>
          <w:sz w:val="26"/>
          <w:szCs w:val="26"/>
        </w:rPr>
        <w:t>).</w:t>
      </w:r>
    </w:p>
    <w:p w14:paraId="62321101" w14:textId="77777777" w:rsidR="00F63CDB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4E520D9" w14:textId="25F6422B" w:rsidR="0061262D" w:rsidRPr="00446DBB" w:rsidRDefault="008235A6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</w:t>
      </w:r>
      <w:r>
        <w:rPr>
          <w:rFonts w:ascii="Arial" w:hAnsi="Arial" w:cs="Arial"/>
          <w:color w:val="808080"/>
          <w:sz w:val="28"/>
          <w:szCs w:val="28"/>
        </w:rPr>
        <w:t xml:space="preserve">MM</w:t>
      </w:r>
      <w:r>
        <w:rPr>
          <w:rFonts w:ascii="Arial" w:hAnsi="Arial" w:cs="Arial"/>
          <w:sz w:val="28"/>
          <w:szCs w:val="28"/>
        </w:rPr>
        <w:t xml:space="preserve">. Juíza </w:t>
      </w:r>
      <w:r>
        <w:rPr>
          <w:rFonts w:ascii="Arial" w:hAnsi="Arial" w:cs="Arial"/>
          <w:sz w:val="28"/>
          <w:szCs w:val="28"/>
        </w:rPr>
        <w:t xml:space="preserve">s</w:t>
      </w:r>
      <w:r>
        <w:rPr>
          <w:rFonts w:ascii="Arial" w:hAnsi="Arial" w:cs="Arial"/>
          <w:sz w:val="28"/>
          <w:szCs w:val="28"/>
        </w:rPr>
        <w:t xml:space="preserve">entenciante, Dra.</w:t>
      </w:r>
      <w:r>
        <w:rPr>
          <w:rFonts w:ascii="Arial" w:hAnsi="Arial" w:cs="Arial"/>
          <w:sz w:val="28"/>
          <w:szCs w:val="28"/>
        </w:rPr>
        <w:t xml:space="preserve"> MARCIA ALVES MARTINS LOBO</w:t>
      </w:r>
      <w:r>
        <w:rPr>
          <w:rFonts w:ascii="Arial" w:hAnsi="Arial" w:cs="Arial"/>
          <w:sz w:val="28"/>
          <w:szCs w:val="28"/>
        </w:rPr>
        <w:t xml:space="preserve">, 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1ª Vara Cível de Águas Claras,</w:t>
      </w:r>
      <w:r>
        <w:rPr>
          <w:rFonts w:ascii="Arial" w:hAnsi="Arial" w:cs="Arial"/>
          <w:sz w:val="28"/>
          <w:szCs w:val="28"/>
        </w:rPr>
        <w:t xml:space="preserve"> julgou no seguinte sentido:</w:t>
      </w:r>
    </w:p>
    <w:p w14:paraId="12E5EEA8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CD038E9" w14:textId="1CEAB824" w:rsidR="00446DBB" w:rsidRPr="00446DBB" w:rsidRDefault="0006080C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446DBB" w:rsidRPr="00446DBB">
        <w:rPr>
          <w:rFonts w:ascii="Arial" w:hAnsi="Arial" w:cs="Arial"/>
          <w:i/>
          <w:iCs/>
          <w:sz w:val="26"/>
          <w:szCs w:val="26"/>
        </w:rPr>
        <w:t>Ante o exposto, resolvo o mérito, nos termos do art. 487, I, do CPC e JULGO PROCEDENTES os pedidos formulados por ASSOCIAÇÃO CENTRO EMPRESARIAL VICENTE PIRES – ACEVP, para condenar REGINA MARCIA RIOS DE OLIVEIRA ao pagamento das despesas condominiais vencidas no valor de R$ 2.824,51, acrescidas de correção monetária pelo INPC e juros de mora de 1% ao mês desde o vencimento de cada parcela, bem como ao pagamento das parcelas vincendas enquanto perdurar a obrigação.</w:t>
      </w:r>
    </w:p>
    <w:p w14:paraId="163354A9" w14:textId="6900B537" w:rsidR="0006080C" w:rsidRPr="000A7009" w:rsidRDefault="00446DBB" w:rsidP="00446DB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46DBB">
        <w:rPr>
          <w:rFonts w:ascii="Arial" w:hAnsi="Arial" w:cs="Arial"/>
          <w:i/>
          <w:iCs/>
          <w:sz w:val="26"/>
          <w:szCs w:val="26"/>
        </w:rPr>
        <w:t>Condeno a parte requerida ao pagamento das custas processuais e honorários advocatícios, que fixo em 10% sobre o valor da condenação, corrigido monetariamente pelo INPC e com incidência de juros de mora de 1% ao mês</w:t>
      </w:r>
      <w:r w:rsidR="00822E35">
        <w:rPr>
          <w:rFonts w:ascii="Arial" w:hAnsi="Arial" w:cs="Arial"/>
          <w:i/>
          <w:iCs/>
          <w:sz w:val="26"/>
          <w:szCs w:val="26"/>
        </w:rPr>
        <w:t xml:space="preserve"> (..</w:t>
      </w:r>
      <w:r w:rsidRPr="00446DBB">
        <w:rPr>
          <w:rFonts w:ascii="Arial" w:hAnsi="Arial" w:cs="Arial"/>
          <w:i/>
          <w:iCs/>
          <w:sz w:val="26"/>
          <w:szCs w:val="26"/>
        </w:rPr>
        <w:t>.</w:t>
      </w:r>
      <w:r w:rsidR="0015649B">
        <w:rPr>
          <w:rFonts w:ascii="Arial" w:hAnsi="Arial" w:cs="Arial"/>
          <w:i/>
          <w:iCs/>
          <w:sz w:val="26"/>
          <w:szCs w:val="26"/>
        </w:rPr>
        <w:t>).</w:t>
      </w:r>
      <w:r w:rsidR="0006080C" w:rsidRPr="000A7009">
        <w:rPr>
          <w:rFonts w:ascii="Arial" w:hAnsi="Arial" w:cs="Arial"/>
          <w:i/>
          <w:iCs/>
          <w:sz w:val="26"/>
          <w:szCs w:val="26"/>
        </w:rPr>
        <w:t>”</w:t>
      </w:r>
    </w:p>
    <w:p w14:paraId="41F018EC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DC7D771" w14:textId="60CDA0E4" w:rsidR="0006080C" w:rsidRDefault="009C1026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</w:t>
      </w:r>
      <w:commentRangeStart w:id="5"/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autora</w:t>
      </w:r>
      <w:r>
        <w:rPr>
          <w:rFonts w:ascii="Arial" w:hAnsi="Arial" w:cs="Arial"/>
          <w:sz w:val="28"/>
          <w:szCs w:val="28"/>
        </w:rPr>
        <w:t xml:space="preserve"> opôs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embargos de declaração (ID </w:t>
      </w:r>
      <w:r>
        <w:rPr>
          <w:rFonts w:ascii="Arial" w:hAnsi="Arial" w:cs="Arial"/>
          <w:sz w:val="28"/>
          <w:szCs w:val="28"/>
        </w:rPr>
        <w:t xml:space="preserve">88498810</w:t>
      </w:r>
      <w:r>
        <w:rPr>
          <w:rFonts w:ascii="Arial" w:hAnsi="Arial" w:cs="Arial"/>
          <w:sz w:val="28"/>
          <w:szCs w:val="28"/>
        </w:rPr>
        <w:t xml:space="preserve">), os quais foram rejeitados</w:t>
      </w:r>
      <w:r>
        <w:rPr>
          <w:rFonts w:ascii="Arial" w:hAnsi="Arial" w:cs="Arial"/>
          <w:color w:val="7030A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</w:t>
      </w:r>
      <w:r>
        <w:rPr>
          <w:rFonts w:ascii="Arial" w:hAnsi="Arial" w:cs="Arial"/>
          <w:color w:val="808080"/>
          <w:sz w:val="28"/>
          <w:szCs w:val="28"/>
        </w:rPr>
        <w:t xml:space="preserve">ID 88498813</w:t>
      </w:r>
      <w:r>
        <w:rPr>
          <w:rFonts w:ascii="Arial" w:hAnsi="Arial" w:cs="Arial"/>
          <w:sz w:val="28"/>
          <w:szCs w:val="28"/>
        </w:rPr>
        <w:t xml:space="preserve">).</w:t>
      </w:r>
      <w:commentRangeEnd w:id="5"/>
      <w:r>
        <w:rPr>
          <w:rStyle w:val="CommentReference"/>
        </w:rPr>
        <w:commentReference w:id="5"/>
      </w:r>
    </w:p>
    <w:p w14:paraId="7827D2E8" w14:textId="77777777" w:rsidR="0006080C" w:rsidRDefault="0006080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9F29937" w14:textId="7A32FBA8" w:rsidR="00266953" w:rsidRPr="00EB3B9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Apelo d</w:t>
      </w:r>
      <w:r w:rsidR="00644738">
        <w:rPr>
          <w:rFonts w:ascii="Arial" w:hAnsi="Arial" w:cs="Arial"/>
          <w:sz w:val="28"/>
          <w:szCs w:val="28"/>
        </w:rPr>
        <w:t>a</w:t>
      </w:r>
      <w:r w:rsidRPr="00882188">
        <w:rPr>
          <w:rFonts w:ascii="Arial" w:hAnsi="Arial" w:cs="Arial"/>
          <w:sz w:val="28"/>
          <w:szCs w:val="28"/>
        </w:rPr>
        <w:t xml:space="preserve"> autor</w:t>
      </w:r>
      <w:r w:rsidR="00644738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 xml:space="preserve">, </w:t>
      </w:r>
      <w:r w:rsidR="00CB3BA8" w:rsidRPr="00410E52">
        <w:rPr>
          <w:rFonts w:ascii="Arial" w:hAnsi="Arial" w:cs="Arial"/>
          <w:sz w:val="28"/>
          <w:szCs w:val="28"/>
        </w:rPr>
        <w:t>Associa</w:t>
      </w:r>
      <w:r w:rsidR="00CB3BA8">
        <w:rPr>
          <w:rFonts w:ascii="Arial" w:hAnsi="Arial" w:cs="Arial"/>
          <w:sz w:val="28"/>
          <w:szCs w:val="28"/>
        </w:rPr>
        <w:t>çã</w:t>
      </w:r>
      <w:r w:rsidR="00CB3BA8" w:rsidRPr="00410E52">
        <w:rPr>
          <w:rFonts w:ascii="Arial" w:hAnsi="Arial" w:cs="Arial"/>
          <w:sz w:val="28"/>
          <w:szCs w:val="28"/>
        </w:rPr>
        <w:t xml:space="preserve">o </w:t>
      </w:r>
      <w:r w:rsidR="00CB3BA8">
        <w:rPr>
          <w:rFonts w:ascii="Arial" w:hAnsi="Arial" w:cs="Arial"/>
          <w:sz w:val="28"/>
          <w:szCs w:val="28"/>
        </w:rPr>
        <w:t>C</w:t>
      </w:r>
      <w:r w:rsidR="00CB3BA8" w:rsidRPr="00410E52">
        <w:rPr>
          <w:rFonts w:ascii="Arial" w:hAnsi="Arial" w:cs="Arial"/>
          <w:sz w:val="28"/>
          <w:szCs w:val="28"/>
        </w:rPr>
        <w:t xml:space="preserve">entro </w:t>
      </w:r>
      <w:r w:rsidR="00CB3BA8">
        <w:rPr>
          <w:rFonts w:ascii="Arial" w:hAnsi="Arial" w:cs="Arial"/>
          <w:sz w:val="28"/>
          <w:szCs w:val="28"/>
        </w:rPr>
        <w:t>E</w:t>
      </w:r>
      <w:r w:rsidR="00CB3BA8" w:rsidRPr="00410E52">
        <w:rPr>
          <w:rFonts w:ascii="Arial" w:hAnsi="Arial" w:cs="Arial"/>
          <w:sz w:val="28"/>
          <w:szCs w:val="28"/>
        </w:rPr>
        <w:t xml:space="preserve">mpresarial </w:t>
      </w:r>
      <w:r w:rsidR="00CB3BA8">
        <w:rPr>
          <w:rFonts w:ascii="Arial" w:hAnsi="Arial" w:cs="Arial"/>
          <w:sz w:val="28"/>
          <w:szCs w:val="28"/>
        </w:rPr>
        <w:t>V</w:t>
      </w:r>
      <w:r w:rsidR="00CB3BA8" w:rsidRPr="00410E52">
        <w:rPr>
          <w:rFonts w:ascii="Arial" w:hAnsi="Arial" w:cs="Arial"/>
          <w:sz w:val="28"/>
          <w:szCs w:val="28"/>
        </w:rPr>
        <w:t xml:space="preserve">icente </w:t>
      </w:r>
      <w:r w:rsidR="00CB3BA8">
        <w:rPr>
          <w:rFonts w:ascii="Arial" w:hAnsi="Arial" w:cs="Arial"/>
          <w:sz w:val="28"/>
          <w:szCs w:val="28"/>
        </w:rPr>
        <w:t>P</w:t>
      </w:r>
      <w:r w:rsidR="00CB3BA8" w:rsidRPr="00410E52">
        <w:rPr>
          <w:rFonts w:ascii="Arial" w:hAnsi="Arial" w:cs="Arial"/>
          <w:sz w:val="28"/>
          <w:szCs w:val="28"/>
        </w:rPr>
        <w:t xml:space="preserve">ires </w:t>
      </w:r>
      <w:r w:rsidR="00B5557F">
        <w:rPr>
          <w:rFonts w:ascii="Arial" w:hAnsi="Arial" w:cs="Arial"/>
          <w:sz w:val="28"/>
          <w:szCs w:val="28"/>
        </w:rPr>
        <w:t>–</w:t>
      </w:r>
      <w:r w:rsidR="00CB3BA8">
        <w:rPr>
          <w:rFonts w:ascii="Arial" w:hAnsi="Arial" w:cs="Arial"/>
          <w:sz w:val="28"/>
          <w:szCs w:val="28"/>
        </w:rPr>
        <w:t xml:space="preserve"> </w:t>
      </w:r>
      <w:r w:rsidR="00CB3BA8" w:rsidRPr="00410E52">
        <w:rPr>
          <w:rFonts w:ascii="Arial" w:hAnsi="Arial" w:cs="Arial"/>
          <w:sz w:val="28"/>
          <w:szCs w:val="28"/>
        </w:rPr>
        <w:t>ACEV</w:t>
      </w:r>
      <w:r w:rsidR="00B5557F">
        <w:rPr>
          <w:rFonts w:ascii="Arial" w:hAnsi="Arial" w:cs="Arial"/>
          <w:sz w:val="28"/>
          <w:szCs w:val="28"/>
        </w:rPr>
        <w:t>P</w:t>
      </w:r>
      <w:r w:rsidR="00E152F3">
        <w:rPr>
          <w:rFonts w:ascii="Arial" w:hAnsi="Arial" w:cs="Arial"/>
          <w:sz w:val="28"/>
          <w:szCs w:val="28"/>
        </w:rPr>
        <w:t xml:space="preserve"> </w:t>
      </w:r>
      <w:r w:rsidRPr="00882188">
        <w:rPr>
          <w:rFonts w:ascii="Arial" w:hAnsi="Arial" w:cs="Arial"/>
          <w:sz w:val="28"/>
          <w:szCs w:val="28"/>
        </w:rPr>
        <w:t>(ID</w:t>
      </w:r>
      <w:r w:rsidR="00B5557F">
        <w:rPr>
          <w:rFonts w:ascii="Arial" w:hAnsi="Arial" w:cs="Arial"/>
          <w:sz w:val="28"/>
          <w:szCs w:val="28"/>
        </w:rPr>
        <w:t xml:space="preserve"> </w:t>
      </w:r>
      <w:r w:rsidR="00B5557F" w:rsidRPr="00B5557F">
        <w:rPr>
          <w:rFonts w:ascii="Arial" w:hAnsi="Arial" w:cs="Arial"/>
          <w:sz w:val="28"/>
          <w:szCs w:val="28"/>
        </w:rPr>
        <w:t>88498816</w:t>
      </w:r>
      <w:r w:rsidRPr="00882188">
        <w:rPr>
          <w:rFonts w:ascii="Arial" w:hAnsi="Arial" w:cs="Arial"/>
          <w:sz w:val="28"/>
          <w:szCs w:val="28"/>
        </w:rPr>
        <w:t>) em que alega</w:t>
      </w:r>
      <w:r w:rsidR="00E152F3">
        <w:rPr>
          <w:rFonts w:ascii="Arial" w:hAnsi="Arial" w:cs="Arial"/>
          <w:sz w:val="28"/>
          <w:szCs w:val="28"/>
        </w:rPr>
        <w:t>,</w:t>
      </w:r>
      <w:r w:rsidRPr="00882188">
        <w:rPr>
          <w:rFonts w:ascii="Arial" w:hAnsi="Arial" w:cs="Arial"/>
          <w:sz w:val="28"/>
          <w:szCs w:val="28"/>
        </w:rPr>
        <w:t xml:space="preserve"> em síntese</w:t>
      </w:r>
      <w:r w:rsidRPr="00E86190">
        <w:rPr>
          <w:rFonts w:ascii="Arial" w:hAnsi="Arial" w:cs="Arial"/>
          <w:sz w:val="28"/>
          <w:szCs w:val="28"/>
        </w:rPr>
        <w:t xml:space="preserve">, que: </w:t>
      </w:r>
      <w:r w:rsidRPr="00E86190">
        <w:rPr>
          <w:rFonts w:ascii="Arial" w:hAnsi="Arial" w:cs="Arial"/>
          <w:b/>
          <w:bCs/>
          <w:sz w:val="28"/>
          <w:szCs w:val="28"/>
        </w:rPr>
        <w:t>1)</w:t>
      </w:r>
      <w:r w:rsidR="00CB3BA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="00CB3BA8" w:rsidRPr="00266953">
        <w:rPr>
          <w:rFonts w:ascii="Arial" w:hAnsi="Arial" w:cs="Arial"/>
          <w:sz w:val="28"/>
          <w:szCs w:val="28"/>
        </w:rPr>
        <w:t xml:space="preserve">a decisão que rejeitou os embargos de declaração </w:t>
      </w:r>
      <w:r w:rsidR="00E152F3" w:rsidRPr="00266953">
        <w:rPr>
          <w:rFonts w:ascii="Arial" w:hAnsi="Arial" w:cs="Arial"/>
          <w:sz w:val="28"/>
          <w:szCs w:val="28"/>
        </w:rPr>
        <w:t xml:space="preserve">é nula, </w:t>
      </w:r>
      <w:r w:rsidR="00CB3BA8" w:rsidRPr="00266953">
        <w:rPr>
          <w:rFonts w:ascii="Arial" w:hAnsi="Arial" w:cs="Arial"/>
          <w:sz w:val="28"/>
          <w:szCs w:val="28"/>
        </w:rPr>
        <w:t>pois o juízo não apreciou o pedido de incidência da multa moratória de 2%</w:t>
      </w:r>
      <w:r w:rsidR="00266953">
        <w:rPr>
          <w:rFonts w:ascii="Arial" w:hAnsi="Arial" w:cs="Arial"/>
          <w:sz w:val="28"/>
          <w:szCs w:val="28"/>
        </w:rPr>
        <w:t xml:space="preserve">; </w:t>
      </w:r>
      <w:r w:rsidRPr="00E86190">
        <w:rPr>
          <w:rFonts w:ascii="Arial" w:hAnsi="Arial" w:cs="Arial"/>
          <w:b/>
          <w:bCs/>
          <w:sz w:val="28"/>
          <w:szCs w:val="28"/>
        </w:rPr>
        <w:t>2)</w:t>
      </w:r>
      <w:r w:rsidR="00266953">
        <w:rPr>
          <w:rFonts w:ascii="Arial" w:hAnsi="Arial" w:cs="Arial"/>
          <w:b/>
          <w:bCs/>
          <w:sz w:val="28"/>
          <w:szCs w:val="28"/>
        </w:rPr>
        <w:t xml:space="preserve"> </w:t>
      </w:r>
      <w:r w:rsidR="00EB3B98" w:rsidRPr="00EB3B98">
        <w:rPr>
          <w:rFonts w:ascii="Arial" w:hAnsi="Arial" w:cs="Arial"/>
          <w:sz w:val="28"/>
          <w:szCs w:val="28"/>
        </w:rPr>
        <w:t xml:space="preserve">a sentença foi omissa ao não definir expressamente os encargos incidentes sobre as parcelas vincendas, o que geraria </w:t>
      </w:r>
      <w:r w:rsidR="00EB3B98" w:rsidRPr="00EB3B98">
        <w:rPr>
          <w:rFonts w:ascii="Arial" w:hAnsi="Arial" w:cs="Arial"/>
          <w:sz w:val="28"/>
          <w:szCs w:val="28"/>
        </w:rPr>
        <w:lastRenderedPageBreak/>
        <w:t>insegurança jurídica na fase de cumprimento</w:t>
      </w:r>
      <w:r w:rsidR="00EB3B98">
        <w:rPr>
          <w:rFonts w:ascii="Arial" w:hAnsi="Arial" w:cs="Arial"/>
          <w:sz w:val="28"/>
          <w:szCs w:val="28"/>
        </w:rPr>
        <w:t>;</w:t>
      </w:r>
      <w:r w:rsidR="0015649B">
        <w:rPr>
          <w:rFonts w:ascii="Arial" w:hAnsi="Arial" w:cs="Arial"/>
          <w:sz w:val="28"/>
          <w:szCs w:val="28"/>
        </w:rPr>
        <w:t xml:space="preserve"> e</w:t>
      </w:r>
      <w:r w:rsidR="00EB3B98">
        <w:rPr>
          <w:rFonts w:ascii="Arial" w:hAnsi="Arial" w:cs="Arial"/>
          <w:sz w:val="28"/>
          <w:szCs w:val="28"/>
        </w:rPr>
        <w:t xml:space="preserve"> </w:t>
      </w:r>
      <w:r w:rsidR="00E763A2">
        <w:rPr>
          <w:rFonts w:ascii="Arial" w:hAnsi="Arial" w:cs="Arial"/>
          <w:b/>
          <w:bCs/>
          <w:sz w:val="28"/>
          <w:szCs w:val="28"/>
        </w:rPr>
        <w:t xml:space="preserve">3) </w:t>
      </w:r>
      <w:r w:rsidR="002823A9" w:rsidRPr="00E763A2">
        <w:rPr>
          <w:rFonts w:ascii="Arial" w:hAnsi="Arial" w:cs="Arial"/>
          <w:sz w:val="28"/>
          <w:szCs w:val="28"/>
        </w:rPr>
        <w:t xml:space="preserve">a sentença deve ser reformada para incluir </w:t>
      </w:r>
      <w:r w:rsidR="001A44A9">
        <w:rPr>
          <w:rFonts w:ascii="Arial" w:hAnsi="Arial" w:cs="Arial"/>
          <w:sz w:val="28"/>
          <w:szCs w:val="28"/>
        </w:rPr>
        <w:t xml:space="preserve">a </w:t>
      </w:r>
      <w:r w:rsidR="002823A9" w:rsidRPr="00E763A2">
        <w:rPr>
          <w:rFonts w:ascii="Arial" w:hAnsi="Arial" w:cs="Arial"/>
          <w:sz w:val="28"/>
          <w:szCs w:val="28"/>
        </w:rPr>
        <w:t>multa moratória de 2% sobre as parcelas vencidas, prevista no Estatuto da associação e no art. 1.336, § 1º, do Código Civil</w:t>
      </w:r>
      <w:r w:rsidR="00063248">
        <w:rPr>
          <w:rFonts w:ascii="Arial" w:hAnsi="Arial" w:cs="Arial"/>
          <w:sz w:val="28"/>
          <w:szCs w:val="28"/>
        </w:rPr>
        <w:t>.</w:t>
      </w:r>
    </w:p>
    <w:p w14:paraId="76219546" w14:textId="77777777" w:rsidR="00266953" w:rsidRDefault="00266953" w:rsidP="00882188"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</w:p>
    <w:p w14:paraId="2A6592BB" w14:textId="04C7AD9B" w:rsidR="00882188" w:rsidRPr="00882188" w:rsidRDefault="00882188" w:rsidP="00790B0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Requer</w:t>
      </w:r>
      <w:r w:rsidR="00063248">
        <w:rPr>
          <w:rFonts w:ascii="Arial" w:hAnsi="Arial" w:cs="Arial"/>
          <w:sz w:val="28"/>
          <w:szCs w:val="28"/>
        </w:rPr>
        <w:t xml:space="preserve"> </w:t>
      </w:r>
      <w:r w:rsidR="006D07B9">
        <w:rPr>
          <w:rFonts w:ascii="Arial" w:hAnsi="Arial" w:cs="Arial"/>
          <w:sz w:val="28"/>
          <w:szCs w:val="28"/>
        </w:rPr>
        <w:t xml:space="preserve">a </w:t>
      </w:r>
      <w:r w:rsidR="00886857">
        <w:rPr>
          <w:rFonts w:ascii="Arial" w:hAnsi="Arial" w:cs="Arial"/>
          <w:sz w:val="28"/>
          <w:szCs w:val="28"/>
        </w:rPr>
        <w:t>cassação</w:t>
      </w:r>
      <w:r w:rsidR="006D07B9">
        <w:rPr>
          <w:rFonts w:ascii="Arial" w:hAnsi="Arial" w:cs="Arial"/>
          <w:sz w:val="28"/>
          <w:szCs w:val="28"/>
        </w:rPr>
        <w:t xml:space="preserve"> da r. sentença para</w:t>
      </w:r>
      <w:r w:rsidR="00063248">
        <w:rPr>
          <w:rFonts w:ascii="Arial" w:hAnsi="Arial" w:cs="Arial"/>
          <w:sz w:val="28"/>
          <w:szCs w:val="28"/>
        </w:rPr>
        <w:t xml:space="preserve"> </w:t>
      </w:r>
      <w:r w:rsidR="00886857">
        <w:rPr>
          <w:rFonts w:ascii="Arial" w:hAnsi="Arial" w:cs="Arial"/>
          <w:sz w:val="28"/>
          <w:szCs w:val="28"/>
        </w:rPr>
        <w:t>que os autos retornem ao juízo de origem</w:t>
      </w:r>
      <w:r w:rsidR="009E7A18">
        <w:rPr>
          <w:rFonts w:ascii="Arial" w:hAnsi="Arial" w:cs="Arial"/>
          <w:sz w:val="28"/>
          <w:szCs w:val="28"/>
        </w:rPr>
        <w:t xml:space="preserve"> para sanar as omissões apontadas. Ultrapassada a preliminar de nulidade, pede que a sentença seja reformada para incluir </w:t>
      </w:r>
      <w:r w:rsidR="0098377D">
        <w:rPr>
          <w:rFonts w:ascii="Arial" w:hAnsi="Arial" w:cs="Arial"/>
          <w:sz w:val="28"/>
          <w:szCs w:val="28"/>
        </w:rPr>
        <w:t>na condenação a multa moratória de 2%</w:t>
      </w:r>
      <w:r w:rsidR="00790B00">
        <w:rPr>
          <w:rFonts w:ascii="Arial" w:hAnsi="Arial" w:cs="Arial"/>
          <w:sz w:val="28"/>
          <w:szCs w:val="28"/>
        </w:rPr>
        <w:t xml:space="preserve">, bem como para incluir expressamente os </w:t>
      </w:r>
      <w:r w:rsidR="00790B00" w:rsidRPr="00790B00">
        <w:rPr>
          <w:rFonts w:ascii="Arial" w:hAnsi="Arial" w:cs="Arial"/>
          <w:sz w:val="28"/>
          <w:szCs w:val="28"/>
        </w:rPr>
        <w:t>encargos moratórios sobre</w:t>
      </w:r>
      <w:r w:rsidR="00175661">
        <w:rPr>
          <w:rFonts w:ascii="Arial" w:hAnsi="Arial" w:cs="Arial"/>
          <w:sz w:val="28"/>
          <w:szCs w:val="28"/>
        </w:rPr>
        <w:t xml:space="preserve"> </w:t>
      </w:r>
      <w:r w:rsidR="00790B00" w:rsidRPr="00790B00">
        <w:rPr>
          <w:rFonts w:ascii="Arial" w:hAnsi="Arial" w:cs="Arial"/>
          <w:sz w:val="28"/>
          <w:szCs w:val="28"/>
        </w:rPr>
        <w:t>as parcelas vincendas</w:t>
      </w:r>
      <w:r w:rsidR="00175661">
        <w:rPr>
          <w:rFonts w:ascii="Arial" w:hAnsi="Arial" w:cs="Arial"/>
          <w:sz w:val="28"/>
          <w:szCs w:val="28"/>
        </w:rPr>
        <w:t>.</w:t>
      </w:r>
    </w:p>
    <w:p w14:paraId="15BADA6A" w14:textId="77777777" w:rsid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E847BBF" w14:textId="32FBDCA9" w:rsid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65F20F86">
        <w:rPr>
          <w:rFonts w:ascii="Arial" w:hAnsi="Arial" w:cs="Arial"/>
          <w:sz w:val="28"/>
          <w:szCs w:val="28"/>
        </w:rPr>
        <w:t>Sem contrarrazões</w:t>
      </w:r>
      <w:r w:rsidR="005774DC">
        <w:rPr>
          <w:rFonts w:ascii="Arial" w:hAnsi="Arial" w:cs="Arial"/>
          <w:sz w:val="28"/>
          <w:szCs w:val="28"/>
        </w:rPr>
        <w:t>.</w:t>
      </w:r>
    </w:p>
    <w:p w14:paraId="6EEF5CB3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F0E0E82" w14:textId="6FC4357D" w:rsidR="00F63CDB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14:paraId="2D9FEE41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2AEDC34" w14:textId="55B9F799" w:rsidR="00355C73" w:rsidRDefault="00355C7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869B69C" w14:textId="7A25C947" w:rsidR="00882188" w:rsidRPr="00355C73" w:rsidRDefault="00355C73" w:rsidP="00355C7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lastRenderedPageBreak/>
        <w:t>VOTO</w:t>
      </w:r>
    </w:p>
    <w:p w14:paraId="5518CFBB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B1C8E2" w14:textId="1BE1B14E" w:rsidR="00355C73" w:rsidRPr="00355C73" w:rsidRDefault="00355C73" w:rsidP="00355C7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F38563C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1AE6B8E" w14:textId="6891C739" w:rsidR="00355C73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6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25/11/2025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r>
        <w:rPr>
          <w:rFonts w:ascii="Arial" w:hAnsi="Arial" w:cs="Arial"/>
          <w:color w:val="808080"/>
          <w:sz w:val="28"/>
          <w:szCs w:val="28"/>
        </w:rPr>
        <w:t xml:space="preserve">20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05</w:t>
      </w:r>
      <w:r>
        <w:rPr>
          <w:rFonts w:ascii="Arial" w:hAnsi="Arial" w:cs="Arial"/>
          <w:sz w:val="28"/>
          <w:szCs w:val="28"/>
        </w:rPr>
        <w:t xml:space="preserve">/2026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 interposto em </w:t>
      </w:r>
      <w:r>
        <w:rPr>
          <w:rFonts w:ascii="Arial" w:hAnsi="Arial" w:cs="Arial"/>
          <w:sz w:val="28"/>
          <w:szCs w:val="28"/>
        </w:rPr>
        <w:t xml:space="preserve">27/07/2026</w:t>
      </w:r>
      <w:r>
        <w:rPr>
          <w:rFonts w:ascii="Arial" w:hAnsi="Arial" w:cs="Arial"/>
          <w:sz w:val="28"/>
          <w:szCs w:val="28"/>
        </w:rPr>
        <w:t xml:space="preserve">. Valor da causa: R$ </w:t>
      </w:r>
      <w:r>
        <w:rPr>
          <w:rFonts w:ascii="Arial" w:hAnsi="Arial" w:cs="Arial"/>
          <w:sz w:val="28"/>
          <w:szCs w:val="28"/>
        </w:rPr>
        <w:t xml:space="preserve">7.071,31</w:t>
      </w:r>
      <w:r>
        <w:rPr>
          <w:rFonts w:ascii="Arial" w:hAnsi="Arial" w:cs="Arial"/>
          <w:sz w:val="28"/>
          <w:szCs w:val="28"/>
        </w:rPr>
        <w:t xml:space="preserve">.</w:t>
      </w:r>
      <w:commentRangeEnd w:id="6"/>
      <w:r>
        <w:rPr>
          <w:rStyle w:val="CommentReference"/>
        </w:rPr>
        <w:commentReference w:id="6"/>
      </w:r>
    </w:p>
    <w:p w14:paraId="58BDE931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87A5EFC" w14:textId="2906286A" w:rsidR="00A72414" w:rsidRDefault="00354BDE" w:rsidP="00354BDE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4BDE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354BD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AUTOR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354BD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Pr="00354BDE">
        <w:rPr>
          <w:rFonts w:ascii="Arial" w:hAnsi="Arial" w:cs="Arial"/>
          <w:b/>
          <w:bCs/>
          <w:sz w:val="28"/>
          <w:szCs w:val="28"/>
        </w:rPr>
        <w:t>ASSOCIAÇÃO CENTRO EMPRESARIAL VICENTE PIRES – ACEVP</w:t>
      </w:r>
    </w:p>
    <w:p w14:paraId="4FD5F2C4" w14:textId="77777777" w:rsidR="00354BDE" w:rsidRPr="00354BDE" w:rsidRDefault="00354BDE" w:rsidP="00354BDE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E63BFE0" w14:textId="2E2BAAA3" w:rsidR="00A72414" w:rsidRPr="007E1C8C" w:rsidRDefault="00A958AF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 w:rsidR="005A1443">
        <w:rPr>
          <w:rFonts w:ascii="Arial" w:hAnsi="Arial" w:cs="Arial"/>
          <w:color w:val="000000" w:themeColor="text1"/>
          <w:sz w:val="28"/>
          <w:szCs w:val="28"/>
        </w:rPr>
        <w:t>.</w:t>
      </w:r>
      <w:r w:rsidR="00495EB5" w:rsidRPr="007E1C8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6DD4E06C" w14:textId="77777777" w:rsidR="00A72414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43DFC13" w14:textId="1B256044" w:rsidR="00A72414" w:rsidRDefault="00F12EA4" w:rsidP="00F12EA4">
      <w:pPr>
        <w:spacing w:after="0" w:line="360" w:lineRule="auto"/>
        <w:ind w:firstLine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</w:t>
      </w:r>
      <w:commentRangeStart w:id="7"/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CASSAÇÃO PARCIAL</w:t>
      </w:r>
      <w:r>
        <w:rPr>
          <w:rFonts w:ascii="Arial" w:hAnsi="Arial" w:cs="Arial"/>
          <w:sz w:val="28"/>
          <w:szCs w:val="28"/>
          <w:highlight w:val="yellow"/>
        </w:rPr>
        <w:t xml:space="preserve"> DA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SENTENÇA</w:t>
      </w:r>
      <w:r>
        <w:rPr>
          <w:rFonts w:ascii="Arial" w:hAnsi="Arial" w:cs="Arial"/>
          <w:sz w:val="28"/>
          <w:szCs w:val="28"/>
          <w:highlight w:val="yellow"/>
        </w:rPr>
        <w:t xml:space="preserve"> POR OMISSÃO</w:t>
      </w:r>
      <w:r>
        <w:rPr>
          <w:rFonts w:ascii="Arial" w:hAnsi="Arial" w:cs="Arial"/>
          <w:sz w:val="28"/>
          <w:szCs w:val="28"/>
          <w:highlight w:val="yellow"/>
        </w:rPr>
        <w:t xml:space="preserve"> QUANTO À MULTA MORATÓRIA</w:t>
      </w:r>
      <w:commentRangeEnd w:id="7"/>
      <w:r>
        <w:rPr>
          <w:rStyle w:val="CommentReference"/>
        </w:rPr>
        <w:commentReference w:id="7"/>
      </w:r>
    </w:p>
    <w:p w14:paraId="4203E5D2" w14:textId="77777777" w:rsidR="00F12EA4" w:rsidRDefault="00F12EA4" w:rsidP="00F12EA4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</w:p>
    <w:p w14:paraId="3EA11C48" w14:textId="5CBB32B0" w:rsidR="00EB3378" w:rsidRDefault="0064473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autor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/apelante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alega que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sentença </w:t>
      </w:r>
      <w:r>
        <w:rPr>
          <w:rFonts w:ascii="Arial" w:hAnsi="Arial" w:cs="Arial"/>
          <w:color w:val="808080"/>
          <w:sz w:val="28"/>
          <w:szCs w:val="28"/>
        </w:rPr>
        <w:t xml:space="preserve">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nula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pois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apreciou o pedido de </w:t>
      </w:r>
      <w:r>
        <w:rPr>
          <w:rFonts w:ascii="Arial" w:hAnsi="Arial" w:cs="Arial"/>
          <w:sz w:val="28"/>
          <w:szCs w:val="28"/>
        </w:rPr>
        <w:t xml:space="preserve">multa moratória de 2%</w:t>
      </w:r>
      <w:r>
        <w:rPr>
          <w:rFonts w:ascii="Arial" w:hAnsi="Arial" w:cs="Arial"/>
          <w:color w:val="808080"/>
          <w:sz w:val="28"/>
          <w:szCs w:val="28"/>
        </w:rPr>
        <w:t xml:space="preserve">, nem após os embargos de declaração (ID 88498816)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581CDCDA" w14:textId="77777777" w:rsidR="0066130A" w:rsidRDefault="0066130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C92A1A4" w14:textId="766BEA13" w:rsidR="0066130A" w:rsidRDefault="0066130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yellow"/>
        </w:rPr>
        <w:t xml:space="preserve">Com razão.</w:t>
      </w:r>
    </w:p>
    <w:p w14:paraId="2FA70CAA" w14:textId="77777777" w:rsidR="003B175C" w:rsidRDefault="003B175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33B774A" w14:textId="206D854C" w:rsidR="00D43D0D" w:rsidRDefault="003B175C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sz w:val="28"/>
          <w:szCs w:val="28"/>
        </w:rPr>
        <w:t xml:space="preserve"> fato, a </w:t>
      </w:r>
      <w:r>
        <w:rPr>
          <w:rFonts w:ascii="Arial" w:hAnsi="Arial" w:cs="Arial"/>
          <w:color w:val="808080"/>
          <w:sz w:val="28"/>
          <w:szCs w:val="28"/>
        </w:rPr>
        <w:t xml:space="preserve">sentença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analisou o pedido</w:t>
      </w:r>
      <w:r>
        <w:rPr>
          <w:rFonts w:ascii="Arial" w:hAnsi="Arial" w:cs="Arial"/>
          <w:sz w:val="28"/>
          <w:szCs w:val="28"/>
        </w:rPr>
        <w:t xml:space="preserve"> de</w:t>
      </w:r>
      <w:r>
        <w:rPr>
          <w:rFonts w:ascii="Arial" w:hAnsi="Arial" w:cs="Arial"/>
          <w:color w:val="808080"/>
          <w:sz w:val="28"/>
          <w:szCs w:val="28"/>
        </w:rPr>
        <w:t xml:space="preserve"> multa de 2%, formulado na inicial, nem após os</w:t>
      </w:r>
      <w:r>
        <w:rPr>
          <w:rFonts w:ascii="Arial" w:hAnsi="Arial" w:cs="Arial"/>
          <w:sz w:val="28"/>
          <w:szCs w:val="28"/>
        </w:rPr>
        <w:t xml:space="preserve"> embargos de declaração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88498813)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Veja-se (ID </w:t>
      </w:r>
      <w:r>
        <w:rPr>
          <w:rFonts w:ascii="Arial" w:hAnsi="Arial" w:cs="Arial"/>
          <w:sz w:val="28"/>
          <w:szCs w:val="28"/>
        </w:rPr>
        <w:t xml:space="preserve">88498528</w:t>
      </w:r>
      <w:r>
        <w:rPr>
          <w:rFonts w:ascii="Arial" w:hAnsi="Arial" w:cs="Arial"/>
          <w:sz w:val="28"/>
          <w:szCs w:val="28"/>
        </w:rPr>
        <w:t xml:space="preserve">):</w:t>
      </w:r>
    </w:p>
    <w:p w14:paraId="514188AD" w14:textId="77777777" w:rsidR="00E56CD2" w:rsidRDefault="00E56CD2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CCAA062" w14:textId="61E1D567" w:rsidR="004B5833" w:rsidRDefault="00F40A01" w:rsidP="00E56CD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“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(</w:t>
      </w:r>
      <w:r>
        <w:rPr>
          <w:rFonts w:ascii="Arial" w:hAnsi="Arial" w:cs="Arial"/>
          <w:i/>
          <w:iCs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..</w:t>
      </w:r>
      <w:r>
        <w:rPr>
          <w:rFonts w:ascii="Arial" w:hAnsi="Arial" w:cs="Arial"/>
          <w:i/>
          <w:iCs/>
          <w:sz w:val="26"/>
          <w:szCs w:val="26"/>
        </w:rPr>
        <w:t xml:space="preserve">)</w:t>
      </w:r>
      <w:r>
        <w:rPr>
          <w:rFonts w:ascii="Arial" w:hAnsi="Arial" w:cs="Arial"/>
          <w:i/>
          <w:iCs/>
          <w:sz w:val="26"/>
          <w:szCs w:val="26"/>
        </w:rPr>
        <w:t xml:space="preserve"> acrescidos de correção monetária, juros de mora de 1% ao mês, ambos a partir do vencimento de cada parcela, </w:t>
      </w:r>
      <w:r>
        <w:rPr>
          <w:rFonts w:ascii="Arial" w:hAnsi="Arial" w:cs="Arial"/>
          <w:b/>
          <w:bCs/>
          <w:i/>
          <w:iCs/>
          <w:sz w:val="26"/>
          <w:szCs w:val="26"/>
          <w:u w:val="single"/>
        </w:rPr>
        <w:t xml:space="preserve">multa de 2% (art. 1.336, §1º, CC) sobre o débito</w:t>
      </w:r>
      <w:r>
        <w:rPr>
          <w:rFonts w:ascii="Arial" w:hAnsi="Arial" w:cs="Arial"/>
          <w:i/>
          <w:iCs/>
          <w:sz w:val="26"/>
          <w:szCs w:val="26"/>
          <w:u w:val="single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  <w:u w:val="single"/>
        </w:rPr>
        <w:t xml:space="preserve">(...)</w:t>
      </w:r>
      <w:r>
        <w:rPr>
          <w:rFonts w:ascii="Arial" w:hAnsi="Arial" w:cs="Arial"/>
          <w:i/>
          <w:iCs/>
          <w:sz w:val="26"/>
          <w:szCs w:val="26"/>
        </w:rPr>
        <w:t xml:space="preserve">”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– Grifei</w:t>
      </w:r>
    </w:p>
    <w:p w14:paraId="3A0D97A5" w14:textId="77777777" w:rsidR="00F40A01" w:rsidRDefault="00F40A01" w:rsidP="00E56CD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</w:p>
    <w:p w14:paraId="0864F252" w14:textId="0BB341EC" w:rsidR="00ED252E" w:rsidRDefault="00ED252E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8"/>
      <w:r>
        <w:rPr>
          <w:rFonts w:ascii="Arial" w:hAnsi="Arial" w:cs="Arial"/>
          <w:sz w:val="28"/>
          <w:szCs w:val="28"/>
        </w:rPr>
        <w:t xml:space="preserve">Portanto, impõe-se reconhecer a ofensa ao </w:t>
      </w:r>
      <w:r>
        <w:rPr>
          <w:rFonts w:ascii="Arial" w:hAnsi="Arial" w:cs="Arial"/>
          <w:color w:val="808080"/>
          <w:sz w:val="28"/>
          <w:szCs w:val="28"/>
        </w:rPr>
        <w:t xml:space="preserve">CPC</w:t>
      </w:r>
      <w:r>
        <w:rPr>
          <w:rFonts w:ascii="Arial" w:hAnsi="Arial" w:cs="Arial"/>
          <w:sz w:val="28"/>
          <w:szCs w:val="28"/>
        </w:rPr>
        <w:t xml:space="preserve"> 1.022</w:t>
      </w:r>
      <w:r>
        <w:rPr>
          <w:rFonts w:ascii="Arial" w:hAnsi="Arial" w:cs="Arial"/>
          <w:sz w:val="28"/>
          <w:szCs w:val="28"/>
        </w:rPr>
        <w:t xml:space="preserve"> II</w:t>
      </w:r>
      <w:r>
        <w:rPr>
          <w:rFonts w:ascii="Arial" w:hAnsi="Arial" w:cs="Arial"/>
          <w:sz w:val="28"/>
          <w:szCs w:val="28"/>
        </w:rPr>
        <w:t xml:space="preserve">.</w:t>
      </w:r>
      <w:commentRangeEnd w:id="8"/>
      <w:r>
        <w:rPr>
          <w:rStyle w:val="CommentReference"/>
        </w:rPr>
        <w:commentReference w:id="8"/>
      </w:r>
    </w:p>
    <w:p w14:paraId="200333BB" w14:textId="77777777" w:rsidR="006159C3" w:rsidRDefault="006159C3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FB2AFDB" w14:textId="2D032EC4" w:rsidR="006159C3" w:rsidRPr="006159C3" w:rsidRDefault="006159C3" w:rsidP="00E12FD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3"/>
      <w:r>
        <w:rPr>
          <w:rFonts w:ascii="Arial" w:hAnsi="Arial" w:cs="Arial"/>
          <w:color w:val="808080"/>
          <w:sz w:val="28"/>
          <w:szCs w:val="28"/>
          <w:highlight w:val="yellow"/>
          <w:u w:val="single"/>
        </w:rPr>
        <w:t xml:space="preserve">Assim</w:t>
      </w:r>
      <w:r>
        <w:rPr>
          <w:rFonts w:ascii="Arial" w:hAnsi="Arial" w:cs="Arial"/>
          <w:sz w:val="28"/>
          <w:szCs w:val="28"/>
          <w:highlight w:val="yellow"/>
          <w:u w:val="single"/>
        </w:rPr>
        <w:t xml:space="preserve">, </w:t>
      </w:r>
      <w:r>
        <w:rPr>
          <w:rFonts w:ascii="Arial" w:hAnsi="Arial" w:cs="Arial"/>
          <w:sz w:val="28"/>
          <w:szCs w:val="28"/>
          <w:highlight w:val="yellow"/>
          <w:u w:val="single"/>
        </w:rPr>
        <w:t xml:space="preserve">com a máxima vênia ao d. Juízo de origem, </w:t>
      </w:r>
      <w:r>
        <w:rPr>
          <w:rFonts w:ascii="Arial" w:hAnsi="Arial" w:cs="Arial"/>
          <w:color w:val="808080"/>
          <w:sz w:val="28"/>
          <w:szCs w:val="28"/>
          <w:highlight w:val="yellow"/>
          <w:u w:val="single"/>
        </w:rPr>
        <w:t xml:space="preserve">dou provimento ao apelo, nesse ponto, para cassar em parte</w:t>
      </w:r>
      <w:r>
        <w:rPr>
          <w:rFonts w:ascii="Arial" w:hAnsi="Arial" w:cs="Arial"/>
          <w:sz w:val="28"/>
          <w:szCs w:val="28"/>
          <w:highlight w:val="yellow"/>
          <w:u w:val="single"/>
        </w:rPr>
        <w:t xml:space="preserve"> a r. sentença</w:t>
      </w:r>
      <w:r>
        <w:rPr>
          <w:rFonts w:ascii="Arial" w:hAnsi="Arial" w:cs="Arial"/>
          <w:sz w:val="28"/>
          <w:szCs w:val="28"/>
          <w:highlight w:val="yellow"/>
          <w:u w:val="single"/>
        </w:rPr>
        <w:t xml:space="preserve">.</w:t>
      </w:r>
    </w:p>
    <w:p w14:paraId="5511224C" w14:textId="77777777" w:rsidR="006159C3" w:rsidRPr="006159C3" w:rsidRDefault="006159C3" w:rsidP="006159C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6159C3">
        <w:rPr>
          <w:rFonts w:ascii="Arial" w:hAnsi="Arial" w:cs="Arial"/>
          <w:sz w:val="28"/>
          <w:szCs w:val="28"/>
        </w:rPr>
        <w:t> </w:t>
      </w:r>
    </w:p>
    <w:p w14:paraId="12ACD51E" w14:textId="7949505F" w:rsidR="006159C3" w:rsidRPr="00A84135" w:rsidRDefault="006B06B5" w:rsidP="006B06B5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commentRangeEnd w:id="3"/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INCLUSÃO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MULTA MORATÓRIA NA CONDENAÇÃO PELA</w:t>
      </w:r>
      <w:r>
        <w:rPr>
          <w:rFonts w:ascii="Arial" w:hAnsi="Arial" w:cs="Arial"/>
          <w:sz w:val="28"/>
          <w:szCs w:val="28"/>
          <w:highlight w:val="yellow"/>
        </w:rPr>
        <w:t xml:space="preserve"> TEORIA DA CAUSA MADURA</w:t>
      </w:r>
    </w:p>
    <w:p w14:paraId="75AC2235" w14:textId="77777777" w:rsidR="00ED252E" w:rsidRDefault="00ED252E" w:rsidP="006B06B5">
      <w:pPr>
        <w:spacing w:after="0" w:line="360" w:lineRule="auto"/>
        <w:ind w:firstLine="2268"/>
        <w:jc w:val="center"/>
        <w:rPr>
          <w:rFonts w:ascii="Arial" w:hAnsi="Arial" w:cs="Arial"/>
          <w:sz w:val="28"/>
          <w:szCs w:val="28"/>
        </w:rPr>
      </w:pPr>
    </w:p>
    <w:p w14:paraId="661CC5D3" w14:textId="49F2EABA" w:rsidR="009E1C77" w:rsidRPr="00EB3B98" w:rsidRDefault="00E51C91" w:rsidP="009E1C77"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autora/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apelante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alega que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</w:t>
      </w:r>
      <w:r>
        <w:rPr>
          <w:rFonts w:ascii="Arial" w:hAnsi="Arial" w:cs="Arial"/>
          <w:sz w:val="28"/>
          <w:szCs w:val="28"/>
        </w:rPr>
        <w:t xml:space="preserve">multa moratória de 2% </w:t>
      </w:r>
      <w:r>
        <w:rPr>
          <w:rFonts w:ascii="Arial" w:hAnsi="Arial" w:cs="Arial"/>
          <w:color w:val="808080"/>
          <w:sz w:val="28"/>
          <w:szCs w:val="28"/>
        </w:rPr>
        <w:t xml:space="preserve">deve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ser acrescida às</w:t>
      </w:r>
      <w:r>
        <w:rPr>
          <w:rFonts w:ascii="Arial" w:hAnsi="Arial" w:cs="Arial"/>
          <w:sz w:val="28"/>
          <w:szCs w:val="28"/>
        </w:rPr>
        <w:t xml:space="preserve"> parcelas vencidas,</w:t>
      </w:r>
      <w:r>
        <w:rPr>
          <w:rFonts w:ascii="Arial" w:hAnsi="Arial" w:cs="Arial"/>
          <w:color w:val="808080"/>
          <w:sz w:val="28"/>
          <w:szCs w:val="28"/>
        </w:rPr>
        <w:t xml:space="preserve"> pois</w:t>
      </w:r>
      <w:r>
        <w:rPr>
          <w:rFonts w:ascii="Arial" w:hAnsi="Arial" w:cs="Arial"/>
          <w:sz w:val="28"/>
          <w:szCs w:val="28"/>
        </w:rPr>
        <w:t xml:space="preserve"> prevista no Estatuto da associação e no </w:t>
      </w:r>
      <w:r>
        <w:rPr>
          <w:rFonts w:ascii="Arial" w:hAnsi="Arial" w:cs="Arial"/>
          <w:color w:val="808080"/>
          <w:sz w:val="28"/>
          <w:szCs w:val="28"/>
        </w:rPr>
        <w:t xml:space="preserve">CC</w:t>
      </w:r>
      <w:r>
        <w:rPr>
          <w:rFonts w:ascii="Arial" w:hAnsi="Arial" w:cs="Arial"/>
          <w:sz w:val="28"/>
          <w:szCs w:val="28"/>
        </w:rPr>
        <w:t xml:space="preserve"> 1.336</w:t>
      </w:r>
      <w:r>
        <w:rPr>
          <w:rFonts w:ascii="Arial" w:hAnsi="Arial" w:cs="Arial"/>
          <w:sz w:val="28"/>
          <w:szCs w:val="28"/>
        </w:rPr>
        <w:t xml:space="preserve"> § 1º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88498816)</w:t>
      </w:r>
      <w:r>
        <w:rPr>
          <w:rFonts w:ascii="Arial" w:hAnsi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 xml:space="preserve">Com razão.</w:t>
      </w:r>
    </w:p>
    <w:p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  <w:commentRangeStart w:id="9"/>
      <w:r>
        <w:rPr>
          <w:b w:val="0"/>
          <w:color w:val="808080"/>
          <w:sz w:val="28"/>
        </w:rPr>
        <w:t xml:space="preserve">Cassada a sentença nesse ponto, o tribunal pode julgar desde logo o mérito, ao constatar “a omissão no exame de um dos pedidos” (CPC 1.013 § 3º III).</w:t>
      </w:r>
      <w:commentRangeEnd w:id="9"/>
      <w:r>
        <w:rPr>
          <w:rStyle w:val="CommentReference"/>
          <w:color w:val="808080"/>
        </w:rPr>
        <w:commentReference w:id="9"/>
      </w:r>
    </w:p>
    <w:p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b w:val="0"/>
          <w:color w:val="808080"/>
          <w:sz w:val="28"/>
        </w:rPr>
        <w:t xml:space="preserve">Dispõe o art. 1.336, § 1º, do CC:</w:t>
      </w:r>
    </w:p>
    <w:p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left="2268" w:firstLine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b w:val="0"/>
          <w:i/>
          <w:color w:val="808080"/>
          <w:sz w:val="26"/>
        </w:rPr>
        <w:t xml:space="preserve">“Art. 1.336. (...)</w:t>
      </w:r>
    </w:p>
    <w:p>
      <w:pPr>
        <w:spacing w:after="0" w:line="360" w:lineRule="auto"/>
        <w:ind w:left="2268" w:firstLine="0"/>
        <w:jc w:val="both"/>
        <w:rPr>
          <w:rFonts w:ascii="Arial" w:hAnsi="Arial" w:cs="Arial"/>
          <w:b/>
          <w:bCs/>
          <w:sz w:val="28"/>
          <w:szCs w:val="28"/>
        </w:rPr>
      </w:pPr>
      <w:commentRangeStart w:id="10"/>
      <w:r>
        <w:rPr>
          <w:b w:val="0"/>
          <w:i/>
          <w:color w:val="808080"/>
          <w:sz w:val="26"/>
        </w:rPr>
        <w:t xml:space="preserve">§ 1º O condômino que não pagar a sua contribuição ficará sujeito (...) à multa de até 2% (dois por cento) sobre o débito.” – Grifei</w:t>
      </w:r>
      <w:commentRangeEnd w:id="10"/>
      <w:r>
        <w:rPr>
          <w:rStyle w:val="CommentReference"/>
          <w:color w:val="808080"/>
        </w:rPr>
        <w:commentReference w:id="10"/>
      </w:r>
    </w:p>
    <w:p>
      <w:pPr>
        <w:spacing w:after="0" w:line="360" w:lineRule="auto"/>
        <w:ind w:left="2268" w:firstLine="0"/>
        <w:jc w:val="both"/>
        <w:rPr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left="0" w:firstLine="226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b w:val="0"/>
          <w:i w:val="0"/>
          <w:color w:val="808080"/>
          <w:sz w:val="28"/>
        </w:rPr>
        <w:t xml:space="preserve">No caso, dispõe o art. 39 do Estatuto da associação (ID 88498533):</w:t>
      </w:r>
    </w:p>
    <w:p>
      <w:pPr>
        <w:spacing w:after="0" w:line="360" w:lineRule="auto"/>
        <w:ind w:left="0" w:firstLine="2268"/>
        <w:jc w:val="both"/>
        <w:rPr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left="2268" w:firstLine="1134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b w:val="0"/>
          <w:i/>
          <w:color w:val="808080"/>
          <w:sz w:val="26"/>
        </w:rPr>
        <w:t xml:space="preserve">“Art.39º - (...) Os associados em atraso com o pagamento das respectivas contribuições pagarão juros de mora de 1% (um por cento) ao mês, (...) e ficarão sujeitos à multa de 2% (dois por cento) (...).” – Grifei</w:t>
      </w:r>
    </w:p>
    <w:p w14:paraId="671051FC" w14:textId="77777777" w:rsidR="009E1C77" w:rsidRDefault="009E1C77" w:rsidP="00EC03E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D337C21" w14:textId="164374B4" w:rsidR="00EC03E0" w:rsidRPr="00EC03E0" w:rsidRDefault="008156B7" w:rsidP="00EC03E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Assim</w:t>
      </w:r>
      <w:r>
        <w:rPr>
          <w:rFonts w:ascii="Arial" w:hAnsi="Arial" w:cs="Arial"/>
          <w:sz w:val="28"/>
          <w:szCs w:val="28"/>
        </w:rPr>
        <w:t xml:space="preserve">, a</w:t>
      </w:r>
      <w:r>
        <w:rPr>
          <w:rFonts w:ascii="Arial" w:hAnsi="Arial" w:cs="Arial"/>
          <w:sz w:val="28"/>
          <w:szCs w:val="28"/>
        </w:rPr>
        <w:t xml:space="preserve"> multa de 2% </w:t>
      </w:r>
      <w:r>
        <w:rPr>
          <w:rFonts w:ascii="Arial" w:hAnsi="Arial" w:cs="Arial"/>
          <w:sz w:val="28"/>
          <w:szCs w:val="28"/>
        </w:rPr>
        <w:t xml:space="preserve">deve ser acrescida </w:t>
      </w:r>
      <w:r>
        <w:rPr>
          <w:rFonts w:ascii="Arial" w:hAnsi="Arial" w:cs="Arial"/>
          <w:color w:val="808080"/>
          <w:sz w:val="28"/>
          <w:szCs w:val="28"/>
        </w:rPr>
        <w:t xml:space="preserve">às</w:t>
      </w:r>
      <w:r>
        <w:rPr>
          <w:rFonts w:ascii="Arial" w:hAnsi="Arial" w:cs="Arial"/>
          <w:sz w:val="28"/>
          <w:szCs w:val="28"/>
        </w:rPr>
        <w:t xml:space="preserve"> parcelas vencidas</w:t>
      </w:r>
      <w:r>
        <w:rPr>
          <w:rFonts w:ascii="Arial" w:hAnsi="Arial" w:cs="Arial"/>
          <w:sz w:val="28"/>
          <w:szCs w:val="28"/>
        </w:rPr>
        <w:t xml:space="preserve">.</w:t>
      </w:r>
    </w:p>
    <w:p w14:paraId="1D7F3D1C" w14:textId="77777777" w:rsidR="00EC03E0" w:rsidRDefault="00EC03E0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3EE5954" w14:textId="0EEBC1A1" w:rsidR="00190890" w:rsidRDefault="00623D87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Nesse sentido:</w:t>
      </w:r>
    </w:p>
    <w:p w14:paraId="29135F45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</w:p>
    <w:p w14:paraId="5E7DF768" w14:textId="77777777" w:rsidR="001D7639" w:rsidRPr="00A1698F" w:rsidRDefault="001D7639" w:rsidP="00786D40">
      <w:pPr>
        <w:spacing w:before="120" w:after="0" w:line="360" w:lineRule="auto"/>
        <w:ind w:left="2268" w:firstLine="0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  <w:r>
        <w:rPr>
          <w:rFonts w:ascii="Arial" w:hAnsi="Arial" w:cs="Arial"/>
          <w:b w:val="0"/>
          <w:i/>
          <w:iCs/>
          <w:color w:val="808080"/>
          <w:sz w:val="26"/>
          <w:szCs w:val="26"/>
          <w:u w:val="none"/>
        </w:rPr>
        <w:t xml:space="preserve">“(...) </w:t>
      </w:r>
      <w:commentRangeStart w:id="11"/>
      <w:r>
        <w:rPr>
          <w:rFonts w:ascii="Arial" w:hAnsi="Arial" w:cs="Arial"/>
          <w:i/>
          <w:iCs/>
          <w:sz w:val="26"/>
          <w:szCs w:val="26"/>
        </w:rPr>
        <w:t xml:space="preserve">8.</w:t>
      </w:r>
      <w:r>
        <w:rPr>
          <w:rFonts w:ascii="Arial" w:hAnsi="Arial" w:cs="Arial"/>
          <w:b/>
          <w:bCs/>
          <w:i/>
          <w:iCs/>
          <w:sz w:val="26"/>
          <w:szCs w:val="26"/>
        </w:rPr>
        <w:t xml:space="preserve"> </w:t>
      </w:r>
      <w:r>
        <w:rPr>
          <w:rFonts w:ascii="Arial" w:hAnsi="Arial" w:cs="Arial"/>
          <w:b/>
          <w:bCs/>
          <w:i/>
          <w:iCs/>
          <w:sz w:val="26"/>
          <w:szCs w:val="26"/>
          <w:u w:val="single"/>
        </w:rPr>
        <w:t xml:space="preserve">A multa moratória de 2% sobre os débitos é devida, por estar prevista no art. 1.336, §1º, do Código Civil e no art. 48 do Estatuto Social da associação, devendo integrar o valor da condenação.</w:t>
      </w:r>
      <w:commentRangeEnd w:id="11"/>
      <w:r>
        <w:rPr>
          <w:rStyle w:val="CommentReference"/>
        </w:rPr>
        <w:commentReference w:id="11"/>
      </w:r>
      <w:r>
        <w:rPr>
          <w:rFonts w:ascii="Arial" w:hAnsi="Arial" w:cs="Arial"/>
          <w:b w:val="0"/>
          <w:bCs/>
          <w:i/>
          <w:iCs/>
          <w:color w:val="808080"/>
          <w:sz w:val="26"/>
          <w:szCs w:val="26"/>
          <w:u w:val="none"/>
        </w:rPr>
        <w:t xml:space="preserve">” (Acórdão 2076426, 0702669-79.2025.8.07.0020, Relator(a): AISTON HENRIQUE DE SOUSA, 4ª TURMA CÍVEL, data de julgamento: 04/12/2025, publicado no DJe: 27/01/2026.) – Grifei</w:t>
      </w:r>
    </w:p>
    <w:p>
      <w:pPr>
        <w:spacing w:before="120" w:after="0" w:line="360" w:lineRule="auto"/>
        <w:ind w:left="2268" w:firstLine="0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2268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  <w:r>
        <w:rPr>
          <w:rFonts w:ascii="Arial" w:hAnsi="Arial" w:cs="Arial"/>
          <w:b w:val="0"/>
          <w:bCs/>
          <w:i w:val="0"/>
          <w:iCs/>
          <w:color w:val="808080"/>
          <w:sz w:val="28"/>
          <w:szCs w:val="26"/>
          <w:highlight w:val="yellow"/>
          <w:u w:val="single"/>
        </w:rPr>
        <w:t xml:space="preserve">Assim, dou provimento ao apelo, nesse ponto, para incluir na condenação a multa moratória de 2% sobre as parcelas vencidas.</w:t>
      </w:r>
    </w:p>
    <w:p>
      <w:pPr>
        <w:spacing w:before="120" w:after="0" w:line="360" w:lineRule="auto"/>
        <w:ind w:left="0" w:firstLine="2268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0"/>
        <w:jc w:val="center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  <w:r>
        <w:rPr>
          <w:b w:val="0"/>
          <w:i w:val="0"/>
          <w:color w:val="808080"/>
          <w:sz w:val="28"/>
          <w:highlight w:val="yellow"/>
          <w:u w:val="none"/>
        </w:rPr>
        <w:t xml:space="preserve">DA INEXISTÊNCIA DE OMISSÃO QUANTO AOS ENCARGOS SOBRE AS PARCELAS VINCENDAS</w:t>
      </w:r>
    </w:p>
    <w:p>
      <w:pPr>
        <w:spacing w:before="120" w:after="0" w:line="360" w:lineRule="auto"/>
        <w:ind w:left="0" w:firstLine="0"/>
        <w:jc w:val="center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2268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  <w:r>
        <w:rPr>
          <w:b w:val="0"/>
          <w:i w:val="0"/>
          <w:color w:val="808080"/>
          <w:sz w:val="28"/>
          <w:u w:val="none"/>
        </w:rPr>
        <w:t xml:space="preserve">A autora/apelante alega que a sentença foi omissa ao não definir os encargos incidentes sobre as parcelas vincendas (ID 88498816).</w:t>
      </w:r>
    </w:p>
    <w:p>
      <w:pPr>
        <w:spacing w:before="120" w:after="0" w:line="360" w:lineRule="auto"/>
        <w:ind w:left="0" w:firstLine="2268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2268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  <w:r>
        <w:rPr>
          <w:b w:val="0"/>
          <w:color w:val="808080"/>
          <w:sz w:val="28"/>
          <w:highlight w:val="yellow"/>
          <w:u w:val="none"/>
        </w:rPr>
        <w:t xml:space="preserve">Sem razão.</w:t>
      </w:r>
    </w:p>
    <w:p>
      <w:pPr>
        <w:spacing w:before="120" w:after="0" w:line="360" w:lineRule="auto"/>
        <w:ind w:left="0" w:firstLine="2268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2268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  <w:r>
        <w:rPr>
          <w:b w:val="0"/>
          <w:color w:val="808080"/>
          <w:sz w:val="28"/>
        </w:rPr>
        <w:t xml:space="preserve">A sentença fixou juros de mora desde o vencimento de cada parcela, inclusive das vincendas (ID 88498558):</w:t>
      </w:r>
    </w:p>
    <w:p>
      <w:pPr>
        <w:spacing w:before="120" w:after="0" w:line="360" w:lineRule="auto"/>
        <w:ind w:left="0" w:firstLine="2268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2268" w:firstLine="1134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  <w:r>
        <w:rPr>
          <w:b w:val="0"/>
          <w:i/>
          <w:color w:val="808080"/>
          <w:sz w:val="26"/>
        </w:rPr>
        <w:t xml:space="preserve">“(...) para condenar REGINA MARCIA RIOS DE OLIVEIRA ao pagamento das despesas condominiais vencidas no valor de R$ 2.824,51, acrescidas de correção monetária pelo INPC e juros de mora de 1% ao mês desde o vencimento de cada parcela, bem como ao pagamento das parcelas vincendas enquanto perdurar a obrigação.” – Grifei</w:t>
      </w:r>
    </w:p>
    <w:p>
      <w:pPr>
        <w:spacing w:before="120" w:after="0" w:line="360" w:lineRule="auto"/>
        <w:ind w:left="2268" w:firstLine="1134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2268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  <w:r>
        <w:rPr>
          <w:b w:val="0"/>
          <w:i w:val="0"/>
          <w:color w:val="808080"/>
          <w:sz w:val="28"/>
        </w:rPr>
        <w:t xml:space="preserve">Portanto, os encargos já alcançam as vincendas.</w:t>
      </w:r>
    </w:p>
    <w:p w14:paraId="38B60390" w14:textId="77777777" w:rsidR="00506A7D" w:rsidRDefault="00506A7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6B54DA3" w14:textId="6F03E8EC" w:rsidR="00E06532" w:rsidRPr="00D516B2" w:rsidRDefault="00B73FAD" w:rsidP="0005606F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</w:t>
      </w:r>
      <w:r w:rsidR="00D516B2" w:rsidRPr="00D516B2">
        <w:rPr>
          <w:rFonts w:ascii="Arial" w:hAnsi="Arial" w:cs="Arial"/>
          <w:b/>
          <w:bCs/>
          <w:sz w:val="28"/>
          <w:szCs w:val="28"/>
        </w:rPr>
        <w:t>POSITIVO</w:t>
      </w:r>
    </w:p>
    <w:p w14:paraId="0E59050E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26C1A15" w14:textId="70880371" w:rsidR="00FB3576" w:rsidRDefault="00D516B2" w:rsidP="00FB357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2"/>
      <w:r>
        <w:rPr>
          <w:rFonts w:ascii="Arial" w:hAnsi="Arial" w:cs="Arial"/>
          <w:sz w:val="28"/>
          <w:szCs w:val="28"/>
        </w:rPr>
        <w:t xml:space="preserve">Ante o exposto,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reiteradas as vênias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sz w:val="28"/>
          <w:szCs w:val="28"/>
        </w:rPr>
        <w:t xml:space="preserve">dou</w:t>
      </w:r>
      <w:r>
        <w:rPr>
          <w:rFonts w:ascii="Arial" w:hAnsi="Arial" w:cs="Arial"/>
          <w:b/>
          <w:bCs/>
          <w:sz w:val="28"/>
          <w:szCs w:val="28"/>
        </w:rPr>
        <w:t xml:space="preserve"> parcial</w:t>
      </w:r>
      <w:r>
        <w:rPr>
          <w:rFonts w:ascii="Arial" w:hAnsi="Arial" w:cs="Arial"/>
          <w:b/>
          <w:bCs/>
          <w:sz w:val="28"/>
          <w:szCs w:val="28"/>
        </w:rPr>
        <w:t xml:space="preserve"> provimento</w:t>
      </w:r>
      <w:r>
        <w:rPr>
          <w:rFonts w:ascii="Arial" w:hAnsi="Arial" w:cs="Arial"/>
          <w:sz w:val="28"/>
          <w:szCs w:val="28"/>
        </w:rPr>
        <w:t xml:space="preserve"> ao apelo d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auto</w:t>
      </w:r>
      <w:r>
        <w:rPr>
          <w:rFonts w:ascii="Arial" w:hAnsi="Arial" w:cs="Arial"/>
          <w:sz w:val="28"/>
          <w:szCs w:val="28"/>
        </w:rPr>
        <w:t xml:space="preserve">ra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Associa</w:t>
      </w:r>
      <w:r>
        <w:rPr>
          <w:rFonts w:ascii="Arial" w:hAnsi="Arial" w:cs="Arial"/>
          <w:sz w:val="28"/>
          <w:szCs w:val="28"/>
        </w:rPr>
        <w:t xml:space="preserve">çã</w:t>
      </w:r>
      <w:r>
        <w:rPr>
          <w:rFonts w:ascii="Arial" w:hAnsi="Arial" w:cs="Arial"/>
          <w:sz w:val="28"/>
          <w:szCs w:val="28"/>
        </w:rPr>
        <w:t xml:space="preserve">o </w:t>
      </w:r>
      <w:r>
        <w:rPr>
          <w:rFonts w:ascii="Arial" w:hAnsi="Arial" w:cs="Arial"/>
          <w:sz w:val="28"/>
          <w:szCs w:val="28"/>
        </w:rPr>
        <w:t xml:space="preserve">C</w:t>
      </w:r>
      <w:r>
        <w:rPr>
          <w:rFonts w:ascii="Arial" w:hAnsi="Arial" w:cs="Arial"/>
          <w:sz w:val="28"/>
          <w:szCs w:val="28"/>
        </w:rPr>
        <w:t xml:space="preserve">entro </w:t>
      </w:r>
      <w:r>
        <w:rPr>
          <w:rFonts w:ascii="Arial" w:hAnsi="Arial" w:cs="Arial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mpresarial </w:t>
      </w:r>
      <w:r>
        <w:rPr>
          <w:rFonts w:ascii="Arial" w:hAnsi="Arial" w:cs="Arial"/>
          <w:sz w:val="28"/>
          <w:szCs w:val="28"/>
        </w:rPr>
        <w:t xml:space="preserve">V</w:t>
      </w:r>
      <w:r>
        <w:rPr>
          <w:rFonts w:ascii="Arial" w:hAnsi="Arial" w:cs="Arial"/>
          <w:sz w:val="28"/>
          <w:szCs w:val="28"/>
        </w:rPr>
        <w:t xml:space="preserve">icente </w:t>
      </w:r>
      <w:r>
        <w:rPr>
          <w:rFonts w:ascii="Arial" w:hAnsi="Arial" w:cs="Arial"/>
          <w:sz w:val="28"/>
          <w:szCs w:val="28"/>
        </w:rPr>
        <w:t xml:space="preserve">P</w:t>
      </w:r>
      <w:r>
        <w:rPr>
          <w:rFonts w:ascii="Arial" w:hAnsi="Arial" w:cs="Arial"/>
          <w:sz w:val="28"/>
          <w:szCs w:val="28"/>
        </w:rPr>
        <w:t xml:space="preserve">ires </w:t>
      </w:r>
      <w:r>
        <w:rPr>
          <w:rFonts w:ascii="Arial" w:hAnsi="Arial" w:cs="Arial"/>
          <w:sz w:val="28"/>
          <w:szCs w:val="28"/>
        </w:rPr>
        <w:t xml:space="preserve">– </w:t>
      </w:r>
      <w:r>
        <w:rPr>
          <w:rFonts w:ascii="Arial" w:hAnsi="Arial" w:cs="Arial"/>
          <w:sz w:val="28"/>
          <w:szCs w:val="28"/>
        </w:rPr>
        <w:t xml:space="preserve">ACEVP</w:t>
      </w:r>
      <w:r>
        <w:rPr>
          <w:rFonts w:ascii="Arial" w:hAnsi="Arial" w:cs="Arial"/>
          <w:sz w:val="28"/>
          <w:szCs w:val="28"/>
        </w:rPr>
        <w:t xml:space="preserve">, para </w:t>
      </w:r>
      <w:r>
        <w:rPr>
          <w:rFonts w:ascii="Arial" w:hAnsi="Arial" w:cs="Arial"/>
          <w:sz w:val="28"/>
          <w:szCs w:val="28"/>
        </w:rPr>
        <w:t xml:space="preserve">c</w:t>
      </w:r>
      <w:r>
        <w:rPr>
          <w:rFonts w:ascii="Arial" w:hAnsi="Arial" w:cs="Arial"/>
          <w:sz w:val="28"/>
          <w:szCs w:val="28"/>
        </w:rPr>
        <w:t xml:space="preserve">assar </w:t>
      </w:r>
      <w:r>
        <w:rPr>
          <w:rFonts w:ascii="Arial" w:hAnsi="Arial" w:cs="Arial"/>
          <w:sz w:val="28"/>
          <w:szCs w:val="28"/>
        </w:rPr>
        <w:t xml:space="preserve">em parte </w:t>
      </w:r>
      <w:r>
        <w:rPr>
          <w:rFonts w:ascii="Arial" w:hAnsi="Arial" w:cs="Arial"/>
          <w:sz w:val="28"/>
          <w:szCs w:val="28"/>
        </w:rPr>
        <w:t xml:space="preserve">a r. sentença </w:t>
      </w:r>
      <w:r>
        <w:rPr>
          <w:rFonts w:ascii="Arial" w:hAnsi="Arial" w:cs="Arial"/>
          <w:sz w:val="28"/>
          <w:szCs w:val="28"/>
        </w:rPr>
        <w:t xml:space="preserve">quanto à omissão verificada </w:t>
      </w:r>
      <w:r>
        <w:rPr>
          <w:rFonts w:ascii="Arial" w:hAnsi="Arial" w:cs="Arial"/>
          <w:sz w:val="28"/>
          <w:szCs w:val="28"/>
        </w:rPr>
        <w:t xml:space="preserve">e, examinando o mérito </w:t>
      </w:r>
      <w:r>
        <w:rPr>
          <w:rFonts w:ascii="Arial" w:hAnsi="Arial" w:cs="Arial"/>
          <w:color w:val="808080"/>
          <w:sz w:val="28"/>
          <w:szCs w:val="28"/>
        </w:rPr>
        <w:t xml:space="preserve">(CPC</w:t>
      </w:r>
      <w:r>
        <w:rPr>
          <w:rFonts w:ascii="Arial" w:hAnsi="Arial" w:cs="Arial"/>
          <w:sz w:val="28"/>
          <w:szCs w:val="28"/>
        </w:rPr>
        <w:t xml:space="preserve"> 1.013</w:t>
      </w:r>
      <w:r>
        <w:rPr>
          <w:rFonts w:ascii="Arial" w:hAnsi="Arial" w:cs="Arial"/>
          <w:sz w:val="28"/>
          <w:szCs w:val="28"/>
        </w:rPr>
        <w:t xml:space="preserve"> § 3º</w:t>
      </w:r>
      <w:r>
        <w:rPr>
          <w:rFonts w:ascii="Arial" w:hAnsi="Arial" w:cs="Arial"/>
          <w:color w:val="808080"/>
          <w:sz w:val="28"/>
          <w:szCs w:val="28"/>
        </w:rPr>
        <w:t xml:space="preserve"> III)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sz w:val="28"/>
          <w:szCs w:val="28"/>
        </w:rPr>
        <w:t xml:space="preserve">julgo procedente</w:t>
      </w:r>
      <w:r>
        <w:rPr>
          <w:rFonts w:ascii="Arial" w:hAnsi="Arial" w:cs="Arial"/>
          <w:b/>
          <w:bCs/>
          <w:color w:val="80808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 pedido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condenação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ré</w:t>
      </w:r>
      <w:r>
        <w:rPr>
          <w:rFonts w:ascii="Arial" w:hAnsi="Arial" w:cs="Arial"/>
          <w:sz w:val="28"/>
          <w:szCs w:val="28"/>
        </w:rPr>
        <w:t xml:space="preserve"> ao pagamento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multa moratória de 2</w:t>
      </w:r>
      <w:r>
        <w:rPr>
          <w:rFonts w:ascii="Arial" w:hAnsi="Arial" w:cs="Arial"/>
          <w:sz w:val="28"/>
          <w:szCs w:val="28"/>
        </w:rPr>
        <w:t xml:space="preserve">%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sobre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parcelas vencidas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mantidos os demais termos da sentença.</w:t>
      </w:r>
      <w:commentRangeEnd w:id="12"/>
      <w:r>
        <w:rPr>
          <w:rStyle w:val="CommentReference"/>
        </w:rPr>
        <w:commentReference w:id="12"/>
      </w:r>
    </w:p>
    <w:p w14:paraId="3FD33E8B" w14:textId="77777777" w:rsidR="00994E07" w:rsidRPr="00446DBB" w:rsidRDefault="00994E07" w:rsidP="007307B9">
      <w:pPr>
        <w:spacing w:after="0" w:line="360" w:lineRule="auto"/>
        <w:jc w:val="both"/>
        <w:rPr>
          <w:rFonts w:ascii="Arial" w:hAnsi="Arial" w:cs="Arial"/>
          <w:i/>
          <w:iCs/>
          <w:sz w:val="26"/>
          <w:szCs w:val="26"/>
        </w:rPr>
      </w:pPr>
    </w:p>
    <w:p w14:paraId="6D23747E" w14:textId="77777777" w:rsidR="00635527" w:rsidRDefault="00635527" w:rsidP="0063552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Sem honorários recursais (CPC</w:t>
      </w:r>
      <w:r>
        <w:rPr>
          <w:rFonts w:ascii="Arial" w:hAnsi="Arial" w:cs="Arial"/>
          <w:sz w:val="28"/>
          <w:szCs w:val="28"/>
        </w:rPr>
        <w:t xml:space="preserve"> 85</w:t>
      </w:r>
      <w:r>
        <w:rPr>
          <w:rFonts w:ascii="Arial" w:hAnsi="Arial" w:cs="Arial"/>
          <w:color w:val="808080"/>
          <w:sz w:val="28"/>
          <w:szCs w:val="28"/>
        </w:rPr>
        <w:t xml:space="preserve"> §</w:t>
      </w:r>
      <w:r>
        <w:rPr>
          <w:rFonts w:ascii="Arial" w:hAnsi="Arial" w:cs="Arial"/>
          <w:sz w:val="28"/>
          <w:szCs w:val="28"/>
        </w:rPr>
        <w:t xml:space="preserve"> 11).</w:t>
      </w:r>
    </w:p>
    <w:p w14:paraId="6AF8FD8A" w14:textId="77777777" w:rsidR="00635527" w:rsidRDefault="0063552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DA21613" w14:textId="569A3EA7" w:rsidR="007E1C8C" w:rsidRDefault="007E1C8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0A323893" w14:textId="76625F89" w:rsidR="007E1C8C" w:rsidRDefault="007E1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0C5D2EF7" w14:textId="033E6B3F" w:rsidR="00693B0D" w:rsidRDefault="00693B0D" w:rsidP="00693B0D">
      <w:pPr>
        <w:ind w:right="-96"/>
        <w:jc w:val="both"/>
        <w:rPr>
          <w:b/>
          <w:color w:val="008000"/>
        </w:rPr>
      </w:pPr>
      <w:r>
        <w:rPr>
          <w:b/>
          <w:color w:val="008000"/>
        </w:rPr>
        <w:lastRenderedPageBreak/>
        <w:t xml:space="preserve">SENTENÇA </w:t>
      </w:r>
    </w:p>
    <w:p w14:paraId="373D0639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Trata-se de ação de cobrança proposta por ASSOCIAÇÃO CENTRO EMPRESARIAL VICENTE PIRES – ACEVP em face de REGINA MARCIA RIOS DE OLIVEIRA, na qual a parte autora alega inadimplemento de despesas condominiais relativas às competências de 10/06/2025 a 10/11/2025, referentes à unidade 210, de titularidade da requerida, totalizando o valor de R$ 2.824,51, acrescido de encargos contratuais, além de parcelas vincendas.</w:t>
      </w:r>
    </w:p>
    <w:p w14:paraId="3B248BA7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Sustenta a legitimidade da cobrança, ainda que se trate de associação, e a regular aprovação das despesas em assembleia.</w:t>
      </w:r>
    </w:p>
    <w:p w14:paraId="040E626F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Requereu a condenação da requerida ao pagamento do débito, com correção monetária, juros de mora, multa e honorários convencionais, bem como das parcelas vincendas e ônus de sucumbência.</w:t>
      </w:r>
    </w:p>
    <w:p w14:paraId="36E2EADB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A requerida foi citada, inclusive por hora certa, e regularmente intimada, não tendo apresentado contestação, sendo decretada sua revelia.</w:t>
      </w:r>
    </w:p>
    <w:p w14:paraId="3A58A5AE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Não houve requerimento para produção de novas provas. Sobreveio determinação de julgamento antecipado da lide.</w:t>
      </w:r>
    </w:p>
    <w:p w14:paraId="75D8E10B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É o relatório. Decido.</w:t>
      </w:r>
    </w:p>
    <w:p w14:paraId="1C3E6539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A controvérsia cinge-se à verificação da existência do débito de natureza condominial e da responsabilidade da requerida pelo respectivo adimplemento.</w:t>
      </w:r>
    </w:p>
    <w:p w14:paraId="20BE09DC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No caso, a revelia não implica, automaticamente, procedência do pedido, mas gera presunção relativa de veracidade dos fatos alegados pela parte autora (art. 344 do CPC), a qual, no presente feito, encontra respaldo nas provas documentais juntadas.</w:t>
      </w:r>
    </w:p>
    <w:p w14:paraId="358D01B5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A autora comprovou a existência do débito mediante planilha discriminada e demonstrativos de cobrança, nos quais constam as taxas ordinárias e fundo de reserva referentes às competências indicadas, com incidência de multa, juros e correção, totalizando R$ 2.824,51. Ademais, restou demonstrado que a requerida é vinculada à unidade imobiliária geradora das despesas, circunstância que enseja responsabilidade pelo pagamento.</w:t>
      </w:r>
    </w:p>
    <w:p w14:paraId="7D874CD9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As despesas condominiais possuem natureza propter rem, vinculando-se à titularidade ou posse da unidade, sendo devidas independentemente da manifestação expressa de vontade do condômino, conforme entendimento consolidado da jurisprudência.</w:t>
      </w:r>
    </w:p>
    <w:p w14:paraId="4A9C27B4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Ainda, a regular aprovação das despesas em assembleia legitima a cobrança, inexistindo nos autos qualquer elemento apto a infirmar tais conclusões.</w:t>
      </w:r>
    </w:p>
    <w:p w14:paraId="63ABFC6E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Quanto aos honorários convencionais, embora possam ser pactuados no âmbito interno do condomínio ou associação, sua inclusão no título judicial deve observar o regime de honorários sucumbenciais, sendo estes fixados pelo Juízo, razão pela qual não devem ser incorporados automaticamente ao valor da condenação principal.</w:t>
      </w:r>
    </w:p>
    <w:p w14:paraId="57FFF235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Por fim, tratando-se de obrigação de trato sucessivo, mostra-se cabível a inclusão das parcelas vincendas até o efetivo cumprimento da obrigação, nos termos do art. 323 do CPC.</w:t>
      </w:r>
    </w:p>
    <w:p w14:paraId="10FBCAD3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 xml:space="preserve">Ante o exposto, resolvo o mérito, nos termos do art. 487, I, do CPC e JULGO PROCEDENTES os pedidos formulados por ASSOCIAÇÃO CENTRO EMPRESARIAL VICENTE PIRES – ACEVP, para condenar REGINA MARCIA RIOS DE OLIVEIRA ao pagamento das despesas condominiais </w:t>
      </w:r>
      <w:r w:rsidRPr="00FD0AB7">
        <w:rPr>
          <w:b/>
          <w:color w:val="008000"/>
        </w:rPr>
        <w:lastRenderedPageBreak/>
        <w:t>vencidas no valor de R$ 2.824,51, acrescidas de correção monetária pelo INPC e juros de mora de 1% ao mês desde o vencimento de cada parcela, bem como ao pagamento das parcelas vincendas enquanto perdurar a obrigação.</w:t>
      </w:r>
    </w:p>
    <w:p w14:paraId="26A0C5E3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Condeno a parte requerida ao pagamento das custas processuais e honorários advocatícios, que fixo em 10% sobre o valor da condenação, corrigido monetariamente pelo INPC e com incidência de juros de mora de 1% ao mês.</w:t>
      </w:r>
    </w:p>
    <w:p w14:paraId="00D46904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Transitado em julgado, arquivem-se os autos.</w:t>
      </w:r>
    </w:p>
    <w:p w14:paraId="6FCD5FDE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Publique-se. Intimem-se.</w:t>
      </w:r>
    </w:p>
    <w:p w14:paraId="3038F06C" w14:textId="77777777" w:rsidR="00FD0AB7" w:rsidRDefault="00FD0AB7" w:rsidP="00693B0D">
      <w:pPr>
        <w:ind w:right="-96"/>
        <w:jc w:val="both"/>
        <w:rPr>
          <w:b/>
          <w:color w:val="008000"/>
        </w:rPr>
      </w:pPr>
    </w:p>
    <w:p w14:paraId="787D42ED" w14:textId="77777777" w:rsidR="007E1C8C" w:rsidRDefault="007E1C8C" w:rsidP="00693B0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sectPr w:rsidR="007E1C8C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5-09-01T13:19:00Z" w:initials="MG">
    <w:p w14:paraId="346E87E3" w14:textId="0D98C4E7" w:rsidR="00B74FB6" w:rsidRDefault="0063376A">
      <w:r>
        <w:annotationRef/>
      </w:r>
      <w:r w:rsidRPr="40B1094E">
        <w:t>Conclusão:</w:t>
      </w:r>
    </w:p>
    <w:p w14:paraId="020D7533" w14:textId="1497ECC6" w:rsidR="00B74FB6" w:rsidRDefault="0063376A">
      <w:r w:rsidRPr="3A8CDDB3">
        <w:t>Entrega:</w:t>
      </w:r>
    </w:p>
    <w:p w14:paraId="448DA02E" w14:textId="7411C318" w:rsidR="00B74FB6" w:rsidRDefault="0063376A">
      <w:r w:rsidRPr="43891A96">
        <w:t xml:space="preserve">Certeza: </w:t>
      </w:r>
    </w:p>
  </w:comment>
  <w:comment w:id="1" w:author="Rafael Teixeira Coimbra - GDACA" w:date="2026-09-10T01:19:00Z" w:initials="RT">
    <w:p w14:paraId="0FCD7512" w14:textId="77777777" w:rsidR="00AB7345" w:rsidRDefault="00AB7345" w:rsidP="00AB7345">
      <w:pPr>
        <w:pStyle w:val="Textodecomentrio"/>
      </w:pPr>
      <w:r>
        <w:rPr>
          <w:rStyle w:val="Refdecomentrio"/>
        </w:rPr>
        <w:annotationRef/>
      </w:r>
      <w:r>
        <w:t>Conclusão: 01/09/2026</w:t>
      </w:r>
    </w:p>
    <w:p w14:paraId="5810FBEB" w14:textId="77777777" w:rsidR="00AB7345" w:rsidRDefault="00AB7345" w:rsidP="00AB7345">
      <w:pPr>
        <w:pStyle w:val="Textodecomentrio"/>
      </w:pPr>
      <w:r>
        <w:t>Entrega: 09/09/2026</w:t>
      </w:r>
    </w:p>
    <w:p w14:paraId="724B560C" w14:textId="77777777" w:rsidR="00AB7345" w:rsidRDefault="00AB7345" w:rsidP="00AB7345">
      <w:pPr>
        <w:pStyle w:val="Textodecomentrio"/>
      </w:pPr>
      <w:r>
        <w:t xml:space="preserve">Certeza: </w:t>
      </w:r>
    </w:p>
  </w:comment>
  <w:comment w:id="2" w:author="Marcia Vilela Alves - GDACA" w:date="2026-09-10T16:22:00Z" w:initials="MV">
    <w:p w14:paraId="5FAFCF4C" w14:textId="77777777" w:rsidR="00707FE9" w:rsidRDefault="00707FE9" w:rsidP="00707FE9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3" w:author="Rafael Teixeira Coimbra - GDACA" w:date="2026-09-09T18:14:00Z" w:initials="RT">
    <w:p w14:paraId="261A7F20" w14:textId="77777777" w:rsidR="006243DD" w:rsidRDefault="006243DD" w:rsidP="006243DD">
      <w:pPr>
        <w:pStyle w:val="Textodecomentrio"/>
      </w:pPr>
      <w:r>
        <w:rPr>
          <w:rStyle w:val="Refdecomentrio"/>
        </w:rPr>
        <w:annotationRef/>
      </w:r>
      <w:r>
        <w:t xml:space="preserve">Feito com base no acórdão </w:t>
      </w:r>
      <w:r>
        <w:rPr>
          <w:color w:val="3A6282"/>
          <w:highlight w:val="white"/>
        </w:rPr>
        <w:t>1997386</w:t>
      </w:r>
      <w:r>
        <w:t xml:space="preserve">, do Des. Sergio Rocha. </w:t>
      </w:r>
    </w:p>
  </w:comment>
  <w:comment w:id="4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Enxuguei a ementa em 26% (432 para 318 palavras), sem suprimir dispositivo legal nem precedente: fundi períodos, retirei do item 1 os encargos e as parcelas vincendas, que já estão nos itens 2 e 3, e deixei um item por tese (C-02, C-3G). Corrigi o cabeçalho para 'RECURSO PARCIALMENTE PROVIDO' (C-3P) e acrescentei o valor da causa ao fim do item 1 (C-34). Corrigi o inciso do CPC 1.013 § 3º de I para III (ver comentário no voto). Rodapé em forma compacta, sem o CPC 487 I, que só aparece na sentença transcrita (C-20, C-33).</w:t>
      </w:r>
    </w:p>
  </w:comment>
  <w:comment w:id="5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Corrigi 'O autor' para 'A autora' e o espaço em 'ID88498813'; em 'A MMa. Juíza' ajustei para 'A MM. Juíza', fórmula do relatório (C-3N).</w:t>
      </w:r>
    </w:p>
  </w:comment>
  <w:comment w:id="6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Corrigi 'Sentença proferida em 01/07/2026' para 20/05/2026 (ID 88498558); 01/07/2026 é a data da decisão que rejeitou os embargos de declaração (ID 88498813). Corrigi também 'R$ R$' (C-03, C-24).</w:t>
      </w:r>
    </w:p>
  </w:comment>
  <w:comment w:id="7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Enxuguei a fundamentação em 40% (843 para 507 palavras, do título do apelo ao fim do último capítulo), sem suprimir citação de lei, de documento do processo nem da sentença: reduzi a ementa transcrita ao item que sustenta o ponto, fundi os parágrafos que repetiam a mesma ideia, tirei a transição que antecipava a conclusão e fiz as alegações do apelo abrirem cada capítulo (C-02, C-62, C-3W). Reordenei os capítulos: a nulidade por omissão, que é preliminar, passou a abrir o voto; em seguida o mérito da multa pela causa madura; por último o pedido sobre as parcelas vincendas, que era o primeiro e, por ser o último, ficou sem mini-dispositivo (C-3A). Títulos reescritos para dizer a decisão sobre cada pedido (C-3W).</w:t>
      </w:r>
    </w:p>
  </w:comment>
  <w:comment w:id="8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1.022, II: “Art. 1.022. Cabem embargos de declaração contra qualquer decisão judicial para: (...) II - suprir omissão de ponto ou questão sobre o qual devia se pronunciar o juiz de ofício ou a requerimento;” (fonte: Planalto). Troquei 'art. 1.022, inciso II, do CPC' pela referência compacta (C-20).</w:t>
      </w:r>
    </w:p>
  </w:comment>
  <w:comment w:id="9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Corrigi o inciso: a minuta citava o CPC 1.013 § 3º, I (reforma de sentença fundada no art. 485), mas a hipótese é a do inciso III (omissão no exame de um dos pedidos). Texto literal (C-63): CPC, art. 1.013, § 3º: “Se o processo estiver em condições de imediato julgamento, o tribunal deve decidir desde logo o mérito quando: (...) III - constatar a omissão no exame de um dos pedidos, hipótese em que poderá julgá-lo;” (fonte: Planalto, conferido no iajus). A correção vale para a ementa, o voto e o dispositivo (C-03, C-64).</w:t>
      </w:r>
    </w:p>
  </w:comment>
  <w:comment w:id="10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Texto literal do CC 1.336, § 1º, na redação da Lei 14.905/2024, vigente (C-64): “§ 1º O condômino que não pagar a sua contribuição ficará sujeito à correção monetária e aos juros moratórios convencionados ou, não sendo previstos, aos juros estabelecidos no art. 406 deste Código, bem como à multa de até 2% (dois por cento) sobre o débito.” (fonte: Planalto, conferido no iajus). Transcrevi no corpo a norma que sustenta o capítulo, com '(...)', e o art. 39 do Estatuto (ID 88498533), de que a minuta só citava o número (C-66).</w:t>
      </w:r>
    </w:p>
  </w:comment>
  <w:comment w:id="11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Reduzi a ementa transcrita do Acórdão 2076426 ao item 8, que sustenta o ponto, sem o cabeçalho e os demais itens (C-62, C-65). Pendência (C-52, C-72): o iajus localizou o processo 0702669-79.2025.8.07.0020 (4ª Turma Cível, Des. Aiston Henrique de Sousa, j. 04/12/2025), mas não devolve o número do acórdão, o DJe nem o inteiro teor; o texto do item 8, o nº 2076426 e o DJe 27/01/2026 vêm da minuta e ficam a conferir no JurisDF.</w:t>
      </w:r>
    </w:p>
  </w:comment>
  <w:comment w:id="12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Alterei 'multa moratória de 2% desde o inadimplemento' para 'sobre as parcelas vencidas', como pede o apelo (ID 88498816) e como diz o capítulo da multa; corrigi 'ao pagamento ao pagamento', a referência do CPC (compacta, inciso III) e a vênia (C-03, C-20). Ponto de atenção sem alteração do resultado (C-24, C-53): a planilha de débito (ID 88498529) já inclui multa de R$ 44,84 e honorários de R$ 470,75 no total de R$ 2.824,51 acolhido pela sentença; na liquidação, a multa de 2% deve incidir sem duplicar o que já consta da planilha.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0"/>
  <w15:commentEx w15:paraId="724B560C" w15:paraIdParent="448DA02E" w15:done="0"/>
  <w15:commentEx w15:paraId="5FAFCF4C" w15:paraIdParent="448DA02E" w15:done="0"/>
  <w15:commentEx w15:paraId="261A7F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6683D367" w16cex:dateUtc="2026-09-10T04:19:00Z"/>
  <w16cex:commentExtensible w16cex:durableId="76878DA7" w16cex:dateUtc="2026-09-10T19:22:00Z"/>
  <w16cex:commentExtensible w16cex:durableId="68D9527F" w16cex:dateUtc="2026-09-09T21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724B560C" w16cid:durableId="6683D367"/>
  <w16cid:commentId w16cid:paraId="5FAFCF4C" w16cid:durableId="76878DA7"/>
  <w16cid:commentId w16cid:paraId="261A7F20" w16cid:durableId="68D952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1F812" w14:textId="77777777" w:rsidR="00163990" w:rsidRDefault="00163990" w:rsidP="003A42DE">
      <w:pPr>
        <w:spacing w:after="0" w:line="240" w:lineRule="auto"/>
      </w:pPr>
      <w:r>
        <w:separator/>
      </w:r>
    </w:p>
  </w:endnote>
  <w:endnote w:type="continuationSeparator" w:id="0">
    <w:p w14:paraId="78072904" w14:textId="77777777" w:rsidR="00163990" w:rsidRDefault="00163990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92FD" w14:textId="77777777" w:rsidR="00163990" w:rsidRDefault="00163990" w:rsidP="003A42DE">
      <w:pPr>
        <w:spacing w:after="0" w:line="240" w:lineRule="auto"/>
      </w:pPr>
      <w:r>
        <w:separator/>
      </w:r>
    </w:p>
  </w:footnote>
  <w:footnote w:type="continuationSeparator" w:id="0">
    <w:p w14:paraId="2125518C" w14:textId="77777777" w:rsidR="00163990" w:rsidRDefault="00163990" w:rsidP="003A4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Rafael Teixeira Coimbra - GDACA">
    <w15:presenceInfo w15:providerId="AD" w15:userId="S::t319088@tjdft.jus.br::eb3fd8a2-1d40-4838-abeb-4a74960c195f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157FB"/>
    <w:rsid w:val="0002189B"/>
    <w:rsid w:val="0002738F"/>
    <w:rsid w:val="00033421"/>
    <w:rsid w:val="00033AFD"/>
    <w:rsid w:val="00052AE3"/>
    <w:rsid w:val="0005606F"/>
    <w:rsid w:val="0006080C"/>
    <w:rsid w:val="000619E0"/>
    <w:rsid w:val="00063248"/>
    <w:rsid w:val="00064301"/>
    <w:rsid w:val="000736D1"/>
    <w:rsid w:val="00076D7D"/>
    <w:rsid w:val="0009174A"/>
    <w:rsid w:val="00091ABC"/>
    <w:rsid w:val="00096FC1"/>
    <w:rsid w:val="00097A01"/>
    <w:rsid w:val="00097BBF"/>
    <w:rsid w:val="000A7009"/>
    <w:rsid w:val="000A76CA"/>
    <w:rsid w:val="000B0FC6"/>
    <w:rsid w:val="000B7AF7"/>
    <w:rsid w:val="000C6550"/>
    <w:rsid w:val="000D2E62"/>
    <w:rsid w:val="000D59B2"/>
    <w:rsid w:val="000E6A38"/>
    <w:rsid w:val="000F1358"/>
    <w:rsid w:val="000F1817"/>
    <w:rsid w:val="000F3F23"/>
    <w:rsid w:val="000F6570"/>
    <w:rsid w:val="000F7E7A"/>
    <w:rsid w:val="001009CC"/>
    <w:rsid w:val="0011527A"/>
    <w:rsid w:val="00115458"/>
    <w:rsid w:val="00115569"/>
    <w:rsid w:val="00122133"/>
    <w:rsid w:val="00125329"/>
    <w:rsid w:val="00126492"/>
    <w:rsid w:val="00131A63"/>
    <w:rsid w:val="00137A7E"/>
    <w:rsid w:val="001428D5"/>
    <w:rsid w:val="00151611"/>
    <w:rsid w:val="00153922"/>
    <w:rsid w:val="0015649B"/>
    <w:rsid w:val="00161CD2"/>
    <w:rsid w:val="00163990"/>
    <w:rsid w:val="001676A4"/>
    <w:rsid w:val="00167F3A"/>
    <w:rsid w:val="00173282"/>
    <w:rsid w:val="00175661"/>
    <w:rsid w:val="001801E9"/>
    <w:rsid w:val="00182D89"/>
    <w:rsid w:val="00183B77"/>
    <w:rsid w:val="00190890"/>
    <w:rsid w:val="001A09B8"/>
    <w:rsid w:val="001A3EE8"/>
    <w:rsid w:val="001A44A9"/>
    <w:rsid w:val="001A5208"/>
    <w:rsid w:val="001A5958"/>
    <w:rsid w:val="001C466B"/>
    <w:rsid w:val="001C5FBD"/>
    <w:rsid w:val="001D2162"/>
    <w:rsid w:val="001D7639"/>
    <w:rsid w:val="001E0D41"/>
    <w:rsid w:val="001E199D"/>
    <w:rsid w:val="001E4974"/>
    <w:rsid w:val="001E7903"/>
    <w:rsid w:val="00201B7F"/>
    <w:rsid w:val="00203B1D"/>
    <w:rsid w:val="0020478E"/>
    <w:rsid w:val="00206304"/>
    <w:rsid w:val="002126F1"/>
    <w:rsid w:val="0021487B"/>
    <w:rsid w:val="0021526A"/>
    <w:rsid w:val="00220E56"/>
    <w:rsid w:val="00227901"/>
    <w:rsid w:val="00232EEB"/>
    <w:rsid w:val="00240461"/>
    <w:rsid w:val="002437F6"/>
    <w:rsid w:val="002515DB"/>
    <w:rsid w:val="00254E51"/>
    <w:rsid w:val="0026147D"/>
    <w:rsid w:val="00264107"/>
    <w:rsid w:val="00266953"/>
    <w:rsid w:val="00270F58"/>
    <w:rsid w:val="00274644"/>
    <w:rsid w:val="00277029"/>
    <w:rsid w:val="002823A9"/>
    <w:rsid w:val="0028319F"/>
    <w:rsid w:val="002926F9"/>
    <w:rsid w:val="00292E82"/>
    <w:rsid w:val="00293D94"/>
    <w:rsid w:val="00296DAE"/>
    <w:rsid w:val="002A2038"/>
    <w:rsid w:val="002A3D11"/>
    <w:rsid w:val="002A5205"/>
    <w:rsid w:val="002B1184"/>
    <w:rsid w:val="002B210E"/>
    <w:rsid w:val="002B46B4"/>
    <w:rsid w:val="002C2464"/>
    <w:rsid w:val="002C42D2"/>
    <w:rsid w:val="002D127E"/>
    <w:rsid w:val="002D2D56"/>
    <w:rsid w:val="002D3FF3"/>
    <w:rsid w:val="002E1E7E"/>
    <w:rsid w:val="002F13AB"/>
    <w:rsid w:val="002F4E2C"/>
    <w:rsid w:val="002F7666"/>
    <w:rsid w:val="00302029"/>
    <w:rsid w:val="00303FAE"/>
    <w:rsid w:val="003100BA"/>
    <w:rsid w:val="0031063D"/>
    <w:rsid w:val="00311D89"/>
    <w:rsid w:val="00312291"/>
    <w:rsid w:val="00316B1F"/>
    <w:rsid w:val="00321068"/>
    <w:rsid w:val="00321285"/>
    <w:rsid w:val="00323779"/>
    <w:rsid w:val="00323D27"/>
    <w:rsid w:val="00336583"/>
    <w:rsid w:val="0033735F"/>
    <w:rsid w:val="0034247B"/>
    <w:rsid w:val="0034511C"/>
    <w:rsid w:val="00347818"/>
    <w:rsid w:val="00351653"/>
    <w:rsid w:val="003524E5"/>
    <w:rsid w:val="00352D66"/>
    <w:rsid w:val="00354AA2"/>
    <w:rsid w:val="00354BDE"/>
    <w:rsid w:val="00355C73"/>
    <w:rsid w:val="003624B4"/>
    <w:rsid w:val="00370C48"/>
    <w:rsid w:val="003717FC"/>
    <w:rsid w:val="003749AB"/>
    <w:rsid w:val="003A42DE"/>
    <w:rsid w:val="003A4E55"/>
    <w:rsid w:val="003A5EE3"/>
    <w:rsid w:val="003B008D"/>
    <w:rsid w:val="003B175C"/>
    <w:rsid w:val="003B3398"/>
    <w:rsid w:val="003D11BE"/>
    <w:rsid w:val="003D3FEE"/>
    <w:rsid w:val="003E436D"/>
    <w:rsid w:val="003F1959"/>
    <w:rsid w:val="003F5820"/>
    <w:rsid w:val="00410E52"/>
    <w:rsid w:val="00413928"/>
    <w:rsid w:val="00423538"/>
    <w:rsid w:val="004431D9"/>
    <w:rsid w:val="00445ED9"/>
    <w:rsid w:val="00446DBB"/>
    <w:rsid w:val="00451A6D"/>
    <w:rsid w:val="00465A25"/>
    <w:rsid w:val="0047216B"/>
    <w:rsid w:val="004728BF"/>
    <w:rsid w:val="004762F1"/>
    <w:rsid w:val="00480A33"/>
    <w:rsid w:val="00485185"/>
    <w:rsid w:val="00495EB5"/>
    <w:rsid w:val="0049672E"/>
    <w:rsid w:val="00496EB5"/>
    <w:rsid w:val="004B2A9C"/>
    <w:rsid w:val="004B5833"/>
    <w:rsid w:val="004C0465"/>
    <w:rsid w:val="004C591E"/>
    <w:rsid w:val="004C7418"/>
    <w:rsid w:val="004D175C"/>
    <w:rsid w:val="004E01CD"/>
    <w:rsid w:val="00506A7D"/>
    <w:rsid w:val="00506D76"/>
    <w:rsid w:val="00511630"/>
    <w:rsid w:val="00517F10"/>
    <w:rsid w:val="005208F6"/>
    <w:rsid w:val="00525FCB"/>
    <w:rsid w:val="00530C7C"/>
    <w:rsid w:val="00531B2F"/>
    <w:rsid w:val="0055172B"/>
    <w:rsid w:val="00557342"/>
    <w:rsid w:val="00560427"/>
    <w:rsid w:val="00573C5D"/>
    <w:rsid w:val="00576A45"/>
    <w:rsid w:val="0057726B"/>
    <w:rsid w:val="005774DC"/>
    <w:rsid w:val="00586EB6"/>
    <w:rsid w:val="00590093"/>
    <w:rsid w:val="005925FC"/>
    <w:rsid w:val="0059689A"/>
    <w:rsid w:val="00597864"/>
    <w:rsid w:val="005A1443"/>
    <w:rsid w:val="005A1AD9"/>
    <w:rsid w:val="005B7851"/>
    <w:rsid w:val="005C31C4"/>
    <w:rsid w:val="005C48BB"/>
    <w:rsid w:val="005C65B9"/>
    <w:rsid w:val="005C69F8"/>
    <w:rsid w:val="005D305E"/>
    <w:rsid w:val="005E3F4E"/>
    <w:rsid w:val="005E5A03"/>
    <w:rsid w:val="005E7EC2"/>
    <w:rsid w:val="00601B09"/>
    <w:rsid w:val="0060333D"/>
    <w:rsid w:val="00607F38"/>
    <w:rsid w:val="00611216"/>
    <w:rsid w:val="0061262D"/>
    <w:rsid w:val="00615051"/>
    <w:rsid w:val="006159C3"/>
    <w:rsid w:val="006226C6"/>
    <w:rsid w:val="00622E25"/>
    <w:rsid w:val="00623D87"/>
    <w:rsid w:val="006243DD"/>
    <w:rsid w:val="006255CC"/>
    <w:rsid w:val="00631B27"/>
    <w:rsid w:val="00632EAA"/>
    <w:rsid w:val="00633703"/>
    <w:rsid w:val="0063376A"/>
    <w:rsid w:val="006351F4"/>
    <w:rsid w:val="00635527"/>
    <w:rsid w:val="00635B34"/>
    <w:rsid w:val="00641BB6"/>
    <w:rsid w:val="00644738"/>
    <w:rsid w:val="00646B5E"/>
    <w:rsid w:val="0066130A"/>
    <w:rsid w:val="00661CF3"/>
    <w:rsid w:val="00661E7F"/>
    <w:rsid w:val="006658A2"/>
    <w:rsid w:val="00675240"/>
    <w:rsid w:val="00677CBA"/>
    <w:rsid w:val="0068069D"/>
    <w:rsid w:val="006921E1"/>
    <w:rsid w:val="00693B0D"/>
    <w:rsid w:val="00694BA4"/>
    <w:rsid w:val="006A41D7"/>
    <w:rsid w:val="006B06B5"/>
    <w:rsid w:val="006B2A89"/>
    <w:rsid w:val="006B555B"/>
    <w:rsid w:val="006C2220"/>
    <w:rsid w:val="006C6E29"/>
    <w:rsid w:val="006D07B9"/>
    <w:rsid w:val="006D0993"/>
    <w:rsid w:val="006D3824"/>
    <w:rsid w:val="006D595E"/>
    <w:rsid w:val="006D611D"/>
    <w:rsid w:val="006F2624"/>
    <w:rsid w:val="006F36AC"/>
    <w:rsid w:val="006F725D"/>
    <w:rsid w:val="00704C1E"/>
    <w:rsid w:val="00705AA7"/>
    <w:rsid w:val="00707215"/>
    <w:rsid w:val="00707FE9"/>
    <w:rsid w:val="00711FE9"/>
    <w:rsid w:val="00722340"/>
    <w:rsid w:val="00726567"/>
    <w:rsid w:val="007307B9"/>
    <w:rsid w:val="00730800"/>
    <w:rsid w:val="00742580"/>
    <w:rsid w:val="00744386"/>
    <w:rsid w:val="00744BDF"/>
    <w:rsid w:val="00747176"/>
    <w:rsid w:val="00747CA8"/>
    <w:rsid w:val="00755A3A"/>
    <w:rsid w:val="00765709"/>
    <w:rsid w:val="00770E7F"/>
    <w:rsid w:val="0077693D"/>
    <w:rsid w:val="0077719E"/>
    <w:rsid w:val="00782446"/>
    <w:rsid w:val="007844F9"/>
    <w:rsid w:val="00786D40"/>
    <w:rsid w:val="00790B00"/>
    <w:rsid w:val="00791D48"/>
    <w:rsid w:val="007A3F4D"/>
    <w:rsid w:val="007B265E"/>
    <w:rsid w:val="007B3F12"/>
    <w:rsid w:val="007C0FEF"/>
    <w:rsid w:val="007C196D"/>
    <w:rsid w:val="007C4990"/>
    <w:rsid w:val="007C7165"/>
    <w:rsid w:val="007D00F1"/>
    <w:rsid w:val="007D27C7"/>
    <w:rsid w:val="007D3BA7"/>
    <w:rsid w:val="007D4432"/>
    <w:rsid w:val="007D4F8F"/>
    <w:rsid w:val="007E1C8C"/>
    <w:rsid w:val="007E3BF9"/>
    <w:rsid w:val="007E3F02"/>
    <w:rsid w:val="007F0F43"/>
    <w:rsid w:val="007F1D17"/>
    <w:rsid w:val="007F4412"/>
    <w:rsid w:val="007F7839"/>
    <w:rsid w:val="00800051"/>
    <w:rsid w:val="00804386"/>
    <w:rsid w:val="008134CE"/>
    <w:rsid w:val="008151BB"/>
    <w:rsid w:val="008156B7"/>
    <w:rsid w:val="00822E35"/>
    <w:rsid w:val="008235A6"/>
    <w:rsid w:val="00825BFF"/>
    <w:rsid w:val="00836F1F"/>
    <w:rsid w:val="00837FE5"/>
    <w:rsid w:val="00841323"/>
    <w:rsid w:val="0085425F"/>
    <w:rsid w:val="00860E7A"/>
    <w:rsid w:val="0086390F"/>
    <w:rsid w:val="00877CCC"/>
    <w:rsid w:val="00877F2B"/>
    <w:rsid w:val="008809C2"/>
    <w:rsid w:val="00882188"/>
    <w:rsid w:val="00886857"/>
    <w:rsid w:val="00886ABA"/>
    <w:rsid w:val="00887483"/>
    <w:rsid w:val="0089419A"/>
    <w:rsid w:val="008961E1"/>
    <w:rsid w:val="008966E3"/>
    <w:rsid w:val="008A01E9"/>
    <w:rsid w:val="008A049E"/>
    <w:rsid w:val="008A4445"/>
    <w:rsid w:val="008A49BC"/>
    <w:rsid w:val="008A56A3"/>
    <w:rsid w:val="008A7AE1"/>
    <w:rsid w:val="008B404A"/>
    <w:rsid w:val="008B45C4"/>
    <w:rsid w:val="008B62DA"/>
    <w:rsid w:val="008C29EA"/>
    <w:rsid w:val="008C306F"/>
    <w:rsid w:val="008C34E5"/>
    <w:rsid w:val="008C381E"/>
    <w:rsid w:val="008C4183"/>
    <w:rsid w:val="008C450D"/>
    <w:rsid w:val="008C50CB"/>
    <w:rsid w:val="008C641E"/>
    <w:rsid w:val="008D0C9F"/>
    <w:rsid w:val="008D721A"/>
    <w:rsid w:val="008D7D67"/>
    <w:rsid w:val="008E562B"/>
    <w:rsid w:val="008E6A92"/>
    <w:rsid w:val="008F32E4"/>
    <w:rsid w:val="008F43F4"/>
    <w:rsid w:val="008F4440"/>
    <w:rsid w:val="00905AC0"/>
    <w:rsid w:val="00911601"/>
    <w:rsid w:val="009137DF"/>
    <w:rsid w:val="00917105"/>
    <w:rsid w:val="0092538F"/>
    <w:rsid w:val="00927B58"/>
    <w:rsid w:val="009300C5"/>
    <w:rsid w:val="00933600"/>
    <w:rsid w:val="0093378D"/>
    <w:rsid w:val="00937017"/>
    <w:rsid w:val="009431B2"/>
    <w:rsid w:val="00945DCA"/>
    <w:rsid w:val="00946FF7"/>
    <w:rsid w:val="009506E0"/>
    <w:rsid w:val="00951CAD"/>
    <w:rsid w:val="009579D8"/>
    <w:rsid w:val="00962A91"/>
    <w:rsid w:val="00966A46"/>
    <w:rsid w:val="00972EF3"/>
    <w:rsid w:val="0097780C"/>
    <w:rsid w:val="0098377D"/>
    <w:rsid w:val="00993B1D"/>
    <w:rsid w:val="00994B5E"/>
    <w:rsid w:val="00994E07"/>
    <w:rsid w:val="0099680F"/>
    <w:rsid w:val="009978E9"/>
    <w:rsid w:val="009A136D"/>
    <w:rsid w:val="009A37F4"/>
    <w:rsid w:val="009C02C1"/>
    <w:rsid w:val="009C1026"/>
    <w:rsid w:val="009C4045"/>
    <w:rsid w:val="009D0BA0"/>
    <w:rsid w:val="009D1137"/>
    <w:rsid w:val="009D757F"/>
    <w:rsid w:val="009E1C77"/>
    <w:rsid w:val="009E1D8D"/>
    <w:rsid w:val="009E3373"/>
    <w:rsid w:val="009E3BE9"/>
    <w:rsid w:val="009E7A18"/>
    <w:rsid w:val="009F2BB1"/>
    <w:rsid w:val="009F36E1"/>
    <w:rsid w:val="009F684C"/>
    <w:rsid w:val="009F759D"/>
    <w:rsid w:val="00A03057"/>
    <w:rsid w:val="00A05408"/>
    <w:rsid w:val="00A1698F"/>
    <w:rsid w:val="00A178D1"/>
    <w:rsid w:val="00A2661C"/>
    <w:rsid w:val="00A31C13"/>
    <w:rsid w:val="00A330C4"/>
    <w:rsid w:val="00A3595E"/>
    <w:rsid w:val="00A41D46"/>
    <w:rsid w:val="00A42BA6"/>
    <w:rsid w:val="00A44A87"/>
    <w:rsid w:val="00A52155"/>
    <w:rsid w:val="00A546FD"/>
    <w:rsid w:val="00A600D2"/>
    <w:rsid w:val="00A6027B"/>
    <w:rsid w:val="00A6481B"/>
    <w:rsid w:val="00A72414"/>
    <w:rsid w:val="00A773CE"/>
    <w:rsid w:val="00A80091"/>
    <w:rsid w:val="00A805C3"/>
    <w:rsid w:val="00A84135"/>
    <w:rsid w:val="00A85198"/>
    <w:rsid w:val="00A87227"/>
    <w:rsid w:val="00A933DB"/>
    <w:rsid w:val="00A958AF"/>
    <w:rsid w:val="00A96CB3"/>
    <w:rsid w:val="00A97525"/>
    <w:rsid w:val="00AA1C23"/>
    <w:rsid w:val="00AA7E81"/>
    <w:rsid w:val="00AB1DE4"/>
    <w:rsid w:val="00AB7345"/>
    <w:rsid w:val="00AB7E65"/>
    <w:rsid w:val="00AC114A"/>
    <w:rsid w:val="00AC20E1"/>
    <w:rsid w:val="00AD5B13"/>
    <w:rsid w:val="00AF1A64"/>
    <w:rsid w:val="00B04942"/>
    <w:rsid w:val="00B17310"/>
    <w:rsid w:val="00B239B7"/>
    <w:rsid w:val="00B23EC4"/>
    <w:rsid w:val="00B252F0"/>
    <w:rsid w:val="00B30DAE"/>
    <w:rsid w:val="00B3301D"/>
    <w:rsid w:val="00B41866"/>
    <w:rsid w:val="00B42EEE"/>
    <w:rsid w:val="00B5557F"/>
    <w:rsid w:val="00B55C3E"/>
    <w:rsid w:val="00B5663B"/>
    <w:rsid w:val="00B606B1"/>
    <w:rsid w:val="00B60851"/>
    <w:rsid w:val="00B60F01"/>
    <w:rsid w:val="00B66B32"/>
    <w:rsid w:val="00B73FAD"/>
    <w:rsid w:val="00B74FB6"/>
    <w:rsid w:val="00B75D6D"/>
    <w:rsid w:val="00B816C0"/>
    <w:rsid w:val="00BA3360"/>
    <w:rsid w:val="00BA5F50"/>
    <w:rsid w:val="00BA65D0"/>
    <w:rsid w:val="00BA700C"/>
    <w:rsid w:val="00BB00E7"/>
    <w:rsid w:val="00BB2608"/>
    <w:rsid w:val="00BB6749"/>
    <w:rsid w:val="00BC1389"/>
    <w:rsid w:val="00BD1BA2"/>
    <w:rsid w:val="00BE75D7"/>
    <w:rsid w:val="00BF1494"/>
    <w:rsid w:val="00BF173F"/>
    <w:rsid w:val="00BF4903"/>
    <w:rsid w:val="00BF65B9"/>
    <w:rsid w:val="00BF7139"/>
    <w:rsid w:val="00C01659"/>
    <w:rsid w:val="00C07A6E"/>
    <w:rsid w:val="00C11601"/>
    <w:rsid w:val="00C12218"/>
    <w:rsid w:val="00C21B40"/>
    <w:rsid w:val="00C22469"/>
    <w:rsid w:val="00C249B8"/>
    <w:rsid w:val="00C24B59"/>
    <w:rsid w:val="00C33B77"/>
    <w:rsid w:val="00C341CF"/>
    <w:rsid w:val="00C40A19"/>
    <w:rsid w:val="00C4378B"/>
    <w:rsid w:val="00C554F8"/>
    <w:rsid w:val="00C57E17"/>
    <w:rsid w:val="00C6664A"/>
    <w:rsid w:val="00C76A9D"/>
    <w:rsid w:val="00C82216"/>
    <w:rsid w:val="00C94119"/>
    <w:rsid w:val="00CA324E"/>
    <w:rsid w:val="00CB07B9"/>
    <w:rsid w:val="00CB0848"/>
    <w:rsid w:val="00CB3BA8"/>
    <w:rsid w:val="00CB4E4C"/>
    <w:rsid w:val="00CB7FF8"/>
    <w:rsid w:val="00CC2B26"/>
    <w:rsid w:val="00CC6EDA"/>
    <w:rsid w:val="00CC7150"/>
    <w:rsid w:val="00CE7EED"/>
    <w:rsid w:val="00CF0581"/>
    <w:rsid w:val="00CF247F"/>
    <w:rsid w:val="00CF7752"/>
    <w:rsid w:val="00D04BD8"/>
    <w:rsid w:val="00D07310"/>
    <w:rsid w:val="00D101EF"/>
    <w:rsid w:val="00D1067B"/>
    <w:rsid w:val="00D12D71"/>
    <w:rsid w:val="00D135AB"/>
    <w:rsid w:val="00D13806"/>
    <w:rsid w:val="00D14D52"/>
    <w:rsid w:val="00D17E79"/>
    <w:rsid w:val="00D21983"/>
    <w:rsid w:val="00D34492"/>
    <w:rsid w:val="00D4104B"/>
    <w:rsid w:val="00D42B4A"/>
    <w:rsid w:val="00D43D0D"/>
    <w:rsid w:val="00D516B2"/>
    <w:rsid w:val="00D52E56"/>
    <w:rsid w:val="00D57E55"/>
    <w:rsid w:val="00D61043"/>
    <w:rsid w:val="00D6495E"/>
    <w:rsid w:val="00D80EBC"/>
    <w:rsid w:val="00D8334B"/>
    <w:rsid w:val="00D84490"/>
    <w:rsid w:val="00D85E07"/>
    <w:rsid w:val="00D93D0A"/>
    <w:rsid w:val="00D96221"/>
    <w:rsid w:val="00DA24A2"/>
    <w:rsid w:val="00DB07F3"/>
    <w:rsid w:val="00DB1301"/>
    <w:rsid w:val="00DB342D"/>
    <w:rsid w:val="00DC4BB4"/>
    <w:rsid w:val="00DC71DB"/>
    <w:rsid w:val="00DD4D41"/>
    <w:rsid w:val="00DD6614"/>
    <w:rsid w:val="00DF0654"/>
    <w:rsid w:val="00DF2670"/>
    <w:rsid w:val="00DF2730"/>
    <w:rsid w:val="00E06532"/>
    <w:rsid w:val="00E07B96"/>
    <w:rsid w:val="00E12FDA"/>
    <w:rsid w:val="00E152F3"/>
    <w:rsid w:val="00E211F5"/>
    <w:rsid w:val="00E26735"/>
    <w:rsid w:val="00E346BB"/>
    <w:rsid w:val="00E40F7D"/>
    <w:rsid w:val="00E437CF"/>
    <w:rsid w:val="00E44D70"/>
    <w:rsid w:val="00E51C91"/>
    <w:rsid w:val="00E53472"/>
    <w:rsid w:val="00E53CAF"/>
    <w:rsid w:val="00E56CD2"/>
    <w:rsid w:val="00E611E9"/>
    <w:rsid w:val="00E647A0"/>
    <w:rsid w:val="00E65A24"/>
    <w:rsid w:val="00E763A2"/>
    <w:rsid w:val="00E80071"/>
    <w:rsid w:val="00E806F5"/>
    <w:rsid w:val="00E86190"/>
    <w:rsid w:val="00E87018"/>
    <w:rsid w:val="00E87B28"/>
    <w:rsid w:val="00E91CD1"/>
    <w:rsid w:val="00E963CE"/>
    <w:rsid w:val="00E96D12"/>
    <w:rsid w:val="00E97CB9"/>
    <w:rsid w:val="00EB3378"/>
    <w:rsid w:val="00EB3B98"/>
    <w:rsid w:val="00EB3F6A"/>
    <w:rsid w:val="00EB54B5"/>
    <w:rsid w:val="00EC03E0"/>
    <w:rsid w:val="00EC5732"/>
    <w:rsid w:val="00EC6648"/>
    <w:rsid w:val="00ED0A9E"/>
    <w:rsid w:val="00ED252E"/>
    <w:rsid w:val="00ED44BA"/>
    <w:rsid w:val="00ED5E8E"/>
    <w:rsid w:val="00EE027D"/>
    <w:rsid w:val="00EE34AF"/>
    <w:rsid w:val="00EE760E"/>
    <w:rsid w:val="00EF2715"/>
    <w:rsid w:val="00EF6182"/>
    <w:rsid w:val="00EF7D83"/>
    <w:rsid w:val="00F004EF"/>
    <w:rsid w:val="00F041BA"/>
    <w:rsid w:val="00F06F43"/>
    <w:rsid w:val="00F07B06"/>
    <w:rsid w:val="00F10D23"/>
    <w:rsid w:val="00F12768"/>
    <w:rsid w:val="00F12EA4"/>
    <w:rsid w:val="00F143F5"/>
    <w:rsid w:val="00F1627D"/>
    <w:rsid w:val="00F20A80"/>
    <w:rsid w:val="00F246D2"/>
    <w:rsid w:val="00F25112"/>
    <w:rsid w:val="00F30329"/>
    <w:rsid w:val="00F3251E"/>
    <w:rsid w:val="00F32608"/>
    <w:rsid w:val="00F3776A"/>
    <w:rsid w:val="00F40A01"/>
    <w:rsid w:val="00F43DDE"/>
    <w:rsid w:val="00F51BA9"/>
    <w:rsid w:val="00F51F47"/>
    <w:rsid w:val="00F547F1"/>
    <w:rsid w:val="00F54F92"/>
    <w:rsid w:val="00F63CDB"/>
    <w:rsid w:val="00F66640"/>
    <w:rsid w:val="00F77719"/>
    <w:rsid w:val="00F821ED"/>
    <w:rsid w:val="00F84974"/>
    <w:rsid w:val="00F87022"/>
    <w:rsid w:val="00F90DC1"/>
    <w:rsid w:val="00F9351B"/>
    <w:rsid w:val="00FA77B3"/>
    <w:rsid w:val="00FB3576"/>
    <w:rsid w:val="00FC0273"/>
    <w:rsid w:val="00FC0C0F"/>
    <w:rsid w:val="00FC1F88"/>
    <w:rsid w:val="00FC2205"/>
    <w:rsid w:val="00FC2DF0"/>
    <w:rsid w:val="00FC613E"/>
    <w:rsid w:val="00FD0AB7"/>
    <w:rsid w:val="00FD2599"/>
    <w:rsid w:val="00FD472E"/>
    <w:rsid w:val="00FD5831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73FD00"/>
    <w:rsid w:val="1D8A9227"/>
    <w:rsid w:val="1DCB177C"/>
    <w:rsid w:val="1DE275A0"/>
    <w:rsid w:val="1E3E6500"/>
    <w:rsid w:val="1FAFCC66"/>
    <w:rsid w:val="20EF5200"/>
    <w:rsid w:val="21D3B298"/>
    <w:rsid w:val="21E019B6"/>
    <w:rsid w:val="22173CF7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852C1B3"/>
    <w:rsid w:val="29FC1AE8"/>
    <w:rsid w:val="2AE1B6B7"/>
    <w:rsid w:val="2AE79E71"/>
    <w:rsid w:val="2AF5D78B"/>
    <w:rsid w:val="2BDF0338"/>
    <w:rsid w:val="2DD61D48"/>
    <w:rsid w:val="2E9247A0"/>
    <w:rsid w:val="2F1C19A9"/>
    <w:rsid w:val="302A78A5"/>
    <w:rsid w:val="303ED86D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03F600A"/>
    <w:rsid w:val="413FE707"/>
    <w:rsid w:val="41E1021E"/>
    <w:rsid w:val="420D9061"/>
    <w:rsid w:val="4228454C"/>
    <w:rsid w:val="42870D7F"/>
    <w:rsid w:val="42F63EA0"/>
    <w:rsid w:val="4380C41B"/>
    <w:rsid w:val="43A63994"/>
    <w:rsid w:val="43A67A0B"/>
    <w:rsid w:val="44688134"/>
    <w:rsid w:val="45CC8256"/>
    <w:rsid w:val="45D7D81A"/>
    <w:rsid w:val="45EE95F0"/>
    <w:rsid w:val="4614B705"/>
    <w:rsid w:val="46223337"/>
    <w:rsid w:val="463AD933"/>
    <w:rsid w:val="46A53D34"/>
    <w:rsid w:val="46C7D927"/>
    <w:rsid w:val="46DE1ACD"/>
    <w:rsid w:val="49420DA2"/>
    <w:rsid w:val="4962903A"/>
    <w:rsid w:val="49AAD572"/>
    <w:rsid w:val="4AF457DF"/>
    <w:rsid w:val="4B409B22"/>
    <w:rsid w:val="4D3433F4"/>
    <w:rsid w:val="4D45AE2A"/>
    <w:rsid w:val="4EB5970F"/>
    <w:rsid w:val="4F3CC75C"/>
    <w:rsid w:val="515F5732"/>
    <w:rsid w:val="5212BFAD"/>
    <w:rsid w:val="525D804D"/>
    <w:rsid w:val="52E52664"/>
    <w:rsid w:val="53A37578"/>
    <w:rsid w:val="5438D9F1"/>
    <w:rsid w:val="54AAEF1D"/>
    <w:rsid w:val="57608C97"/>
    <w:rsid w:val="5774762B"/>
    <w:rsid w:val="58BC1B45"/>
    <w:rsid w:val="58C60D3E"/>
    <w:rsid w:val="591EFF09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1E469B"/>
    <w:rsid w:val="643043B2"/>
    <w:rsid w:val="6465318A"/>
    <w:rsid w:val="64971A8F"/>
    <w:rsid w:val="64BEBE7C"/>
    <w:rsid w:val="64E63EB0"/>
    <w:rsid w:val="6542E9E3"/>
    <w:rsid w:val="65C26DF6"/>
    <w:rsid w:val="65F20F86"/>
    <w:rsid w:val="666768FE"/>
    <w:rsid w:val="666FB38E"/>
    <w:rsid w:val="66A65482"/>
    <w:rsid w:val="66ADA113"/>
    <w:rsid w:val="675A84C2"/>
    <w:rsid w:val="67CD610C"/>
    <w:rsid w:val="6A1CED46"/>
    <w:rsid w:val="6AF4B7AD"/>
    <w:rsid w:val="6BB8BDA7"/>
    <w:rsid w:val="6BC51F58"/>
    <w:rsid w:val="6C633494"/>
    <w:rsid w:val="6CAA19FA"/>
    <w:rsid w:val="6D09AFC2"/>
    <w:rsid w:val="6D53E1DA"/>
    <w:rsid w:val="6E776DB3"/>
    <w:rsid w:val="6EE9C512"/>
    <w:rsid w:val="6FB44F01"/>
    <w:rsid w:val="70125987"/>
    <w:rsid w:val="712DA350"/>
    <w:rsid w:val="7170D29C"/>
    <w:rsid w:val="722458E0"/>
    <w:rsid w:val="7306BEE6"/>
    <w:rsid w:val="74B9330C"/>
    <w:rsid w:val="7557E461"/>
    <w:rsid w:val="756F79F5"/>
    <w:rsid w:val="772D2BEE"/>
    <w:rsid w:val="7A7156F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22AB2D63-13C5-4354-BE00-94E107BB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7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9337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0736D1"/>
    <w:rsid w:val="000F7E7A"/>
    <w:rsid w:val="0012395D"/>
    <w:rsid w:val="001A5208"/>
    <w:rsid w:val="001E2AC0"/>
    <w:rsid w:val="001F7610"/>
    <w:rsid w:val="00200070"/>
    <w:rsid w:val="00263E7C"/>
    <w:rsid w:val="00277029"/>
    <w:rsid w:val="002F13AB"/>
    <w:rsid w:val="003B38E0"/>
    <w:rsid w:val="004214D0"/>
    <w:rsid w:val="00465A25"/>
    <w:rsid w:val="004C591E"/>
    <w:rsid w:val="005055C9"/>
    <w:rsid w:val="005E7EC2"/>
    <w:rsid w:val="00617896"/>
    <w:rsid w:val="00623A08"/>
    <w:rsid w:val="00631B27"/>
    <w:rsid w:val="006D611D"/>
    <w:rsid w:val="00704C1E"/>
    <w:rsid w:val="00730800"/>
    <w:rsid w:val="0077693D"/>
    <w:rsid w:val="007D5396"/>
    <w:rsid w:val="007E66CB"/>
    <w:rsid w:val="00830080"/>
    <w:rsid w:val="008C4978"/>
    <w:rsid w:val="008F7563"/>
    <w:rsid w:val="00912EC6"/>
    <w:rsid w:val="00962A91"/>
    <w:rsid w:val="00993B1D"/>
    <w:rsid w:val="009A37F4"/>
    <w:rsid w:val="00AE428A"/>
    <w:rsid w:val="00C11601"/>
    <w:rsid w:val="00D96221"/>
    <w:rsid w:val="00DF51C9"/>
    <w:rsid w:val="00E0333E"/>
    <w:rsid w:val="00E87B28"/>
    <w:rsid w:val="00ED788B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D879B0-9FDD-4ACE-929C-0ECD403975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9D2EC5-259F-4DAD-BDF0-DFE46E5BB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2867</Words>
  <Characters>15484</Characters>
  <Application>Microsoft Office Word</Application>
  <DocSecurity>0</DocSecurity>
  <Lines>129</Lines>
  <Paragraphs>36</Paragraphs>
  <ScaleCrop>false</ScaleCrop>
  <Company/>
  <LinksUpToDate>false</LinksUpToDate>
  <CharactersWithSpaces>18315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Marcia Vilela</cp:lastModifiedBy>
  <cp:revision>2</cp:revision>
  <dcterms:created xsi:type="dcterms:W3CDTF">2026-09-11T19:25:00Z</dcterms:created>
  <dcterms:modified xsi:type="dcterms:W3CDTF">2026-09-11T19:25:00Z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