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23" w:type="dxa"/>
        <w:tblCellMar>
          <w:left w:w="0" w:type="dxa"/>
          <w:right w:w="0" w:type="dxa"/>
        </w:tblCellMar>
        <w:tblLook w:val="04A0" w:firstRow="1" w:lastRow="0" w:firstColumn="1" w:lastColumn="0" w:noHBand="0" w:noVBand="1"/>
      </w:tblPr>
      <w:tblGrid>
        <w:gridCol w:w="2822"/>
        <w:gridCol w:w="864"/>
        <w:gridCol w:w="447"/>
        <w:gridCol w:w="4371"/>
        <w:gridCol w:w="219"/>
      </w:tblGrid>
      <w:tr w:rsidR="00264107" w14:paraId="4680266B" w14:textId="77777777" w:rsidTr="650595E1">
        <w:trPr>
          <w:gridAfter w:val="1"/>
          <w:wAfter w:w="219" w:type="dxa"/>
        </w:trPr>
        <w:tc>
          <w:tcPr>
            <w:tcW w:w="2822" w:type="dxa"/>
            <w:hideMark/>
          </w:tcPr>
          <w:p w14:paraId="6DE29C9C" w14:textId="77777777" w:rsidR="00264107" w:rsidRDefault="00264107">
            <w:pPr>
              <w:pStyle w:val="paragraph"/>
              <w:spacing w:before="0" w:beforeAutospacing="0" w:after="0" w:afterAutospacing="0"/>
              <w:jc w:val="both"/>
              <w:textAlignment w:val="baseline"/>
              <w:rPr>
                <w:rFonts w:ascii="Segoe UI" w:hAnsi="Segoe UI" w:cs="Segoe UI"/>
                <w:sz w:val="18"/>
                <w:szCs w:val="18"/>
              </w:rPr>
            </w:pPr>
            <w:r>
              <w:rPr>
                <w:rFonts w:ascii="Arial" w:hAnsi="Arial" w:cs="Verdana"/>
                <w:noProof/>
                <w:sz w:val="28"/>
                <w:lang w:eastAsia="zh-CN"/>
              </w:rPr>
              <w:drawing>
                <wp:inline distT="0" distB="0" distL="0" distR="0" wp14:anchorId="15C07C5B" wp14:editId="146F6157">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Pr>
                <w:rStyle w:val="eop"/>
                <w:rFonts w:ascii="Arial" w:hAnsi="Arial" w:cs="Arial"/>
                <w:sz w:val="28"/>
                <w:szCs w:val="28"/>
              </w:rPr>
              <w:t> </w:t>
            </w:r>
          </w:p>
        </w:tc>
        <w:tc>
          <w:tcPr>
            <w:tcW w:w="5682" w:type="dxa"/>
            <w:gridSpan w:val="3"/>
            <w:hideMark/>
          </w:tcPr>
          <w:p w14:paraId="299F0D40"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00264107" w:rsidP="2DA0D32B">
            <w:pPr>
              <w:pStyle w:val="paragraph"/>
              <w:spacing w:before="0" w:beforeAutospacing="0" w:after="0" w:afterAutospacing="0"/>
              <w:ind w:left="255"/>
              <w:jc w:val="both"/>
              <w:textAlignment w:val="baseline"/>
              <w:rPr>
                <w:rFonts w:ascii="Segoe UI" w:hAnsi="Segoe UI" w:cs="Segoe UI"/>
                <w:sz w:val="18"/>
                <w:szCs w:val="18"/>
              </w:rPr>
            </w:pPr>
            <w:r w:rsidRPr="2DA0D32B">
              <w:rPr>
                <w:rStyle w:val="normaltextrun"/>
                <w:rFonts w:ascii="Calibri" w:hAnsi="Calibri" w:cs="Calibri"/>
                <w:color w:val="595959" w:themeColor="text1" w:themeTint="A6"/>
                <w:sz w:val="20"/>
                <w:szCs w:val="20"/>
              </w:rPr>
              <w:t xml:space="preserve">Tribunal de Justiça do Distrito Federal e dos </w:t>
            </w:r>
            <w:commentRangeStart w:id="0"/>
            <w:r w:rsidRPr="2DA0D32B">
              <w:rPr>
                <w:rStyle w:val="normaltextrun"/>
                <w:rFonts w:ascii="Calibri" w:hAnsi="Calibri" w:cs="Calibri"/>
                <w:color w:val="595959" w:themeColor="text1" w:themeTint="A6"/>
                <w:sz w:val="20"/>
                <w:szCs w:val="20"/>
              </w:rPr>
              <w:t>Territórios</w:t>
            </w:r>
            <w:r w:rsidRPr="2DA0D32B">
              <w:rPr>
                <w:rStyle w:val="eop"/>
                <w:rFonts w:ascii="Calibri" w:hAnsi="Calibri" w:cs="Calibri"/>
                <w:color w:val="595959" w:themeColor="text1" w:themeTint="A6"/>
                <w:sz w:val="20"/>
                <w:szCs w:val="20"/>
              </w:rPr>
              <w:t> </w:t>
            </w:r>
            <w:commentRangeEnd w:id="0"/>
            <w:r w:rsidR="00A036F5">
              <w:rPr>
                <w:rStyle w:val="Refdecomentrio"/>
                <w:rFonts w:ascii="Segoe UI" w:hAnsi="Segoe UI" w:cs="Segoe UI"/>
                <w:sz w:val="18"/>
                <w:szCs w:val="18"/>
              </w:rPr>
              <w:commentReference w:id="0"/>
            </w:r>
          </w:p>
          <w:p w14:paraId="12B71A35"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r w:rsidR="004236F7" w:rsidRPr="009F36E1" w14:paraId="506E1C45"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1B672758" w14:textId="77777777" w:rsidR="004236F7" w:rsidRPr="009F36E1" w:rsidRDefault="004236F7">
            <w:pPr>
              <w:rPr>
                <w:rFonts w:ascii="Arial" w:hAnsi="Arial" w:cs="Arial"/>
                <w:sz w:val="28"/>
                <w:szCs w:val="28"/>
              </w:rPr>
            </w:pPr>
            <w:r w:rsidRPr="009F36E1">
              <w:rPr>
                <w:rFonts w:ascii="Arial" w:hAnsi="Arial" w:cs="Arial"/>
                <w:sz w:val="28"/>
                <w:szCs w:val="28"/>
              </w:rPr>
              <w:t>Órgão</w:t>
            </w:r>
          </w:p>
        </w:tc>
        <w:tc>
          <w:tcPr>
            <w:tcW w:w="447" w:type="dxa"/>
            <w:vAlign w:val="center"/>
          </w:tcPr>
          <w:p w14:paraId="5F5D25D2"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1380D4BD" w14:textId="77777777" w:rsidR="004236F7" w:rsidRPr="009F36E1" w:rsidRDefault="0030730C">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7ACC47C5ADE849A18DA0C7907A361910"/>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EndPr/>
              <w:sdtContent>
                <w:r w:rsidR="004236F7" w:rsidRPr="009F36E1">
                  <w:rPr>
                    <w:rFonts w:ascii="Arial" w:hAnsi="Arial" w:cs="Arial"/>
                    <w:sz w:val="28"/>
                    <w:szCs w:val="28"/>
                  </w:rPr>
                  <w:t>4ª Turma Cível</w:t>
                </w:r>
              </w:sdtContent>
            </w:sdt>
          </w:p>
        </w:tc>
      </w:tr>
      <w:tr w:rsidR="004236F7" w:rsidRPr="009F36E1" w14:paraId="722A4191"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2B3F5317" w14:textId="77777777" w:rsidR="004236F7" w:rsidRPr="009F36E1" w:rsidRDefault="004236F7">
            <w:pPr>
              <w:rPr>
                <w:rFonts w:ascii="Arial" w:hAnsi="Arial" w:cs="Arial"/>
                <w:sz w:val="28"/>
                <w:szCs w:val="28"/>
              </w:rPr>
            </w:pPr>
            <w:r w:rsidRPr="009F36E1">
              <w:rPr>
                <w:rFonts w:ascii="Arial" w:hAnsi="Arial" w:cs="Arial"/>
                <w:sz w:val="28"/>
                <w:szCs w:val="28"/>
              </w:rPr>
              <w:t>Classe</w:t>
            </w:r>
          </w:p>
        </w:tc>
        <w:tc>
          <w:tcPr>
            <w:tcW w:w="447" w:type="dxa"/>
            <w:vAlign w:val="center"/>
          </w:tcPr>
          <w:p w14:paraId="376372E5"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sdt>
            <w:sdtPr>
              <w:rPr>
                <w:rFonts w:cs="Arial"/>
                <w:i w:val="0"/>
                <w:iCs w:val="0"/>
                <w:sz w:val="28"/>
                <w:szCs w:val="28"/>
              </w:rPr>
              <w:id w:val="1558446301"/>
              <w:placeholder>
                <w:docPart w:val="F878D1793E2346938EC18DAD866E9010"/>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EndPr/>
            <w:sdtContent>
              <w:p w14:paraId="7D3B975A" w14:textId="77777777" w:rsidR="004236F7" w:rsidRPr="009F36E1" w:rsidRDefault="004236F7">
                <w:pPr>
                  <w:pStyle w:val="Citao"/>
                  <w:ind w:left="0" w:firstLine="0"/>
                  <w:jc w:val="both"/>
                  <w:rPr>
                    <w:rFonts w:cs="Arial"/>
                    <w:i w:val="0"/>
                    <w:iCs w:val="0"/>
                    <w:sz w:val="28"/>
                    <w:szCs w:val="28"/>
                  </w:rPr>
                </w:pPr>
                <w:r>
                  <w:rPr>
                    <w:rFonts w:cs="Arial"/>
                    <w:i w:val="0"/>
                    <w:iCs w:val="0"/>
                    <w:sz w:val="28"/>
                    <w:szCs w:val="28"/>
                  </w:rPr>
                  <w:t>Agravo de Instrumento</w:t>
                </w:r>
              </w:p>
            </w:sdtContent>
          </w:sdt>
        </w:tc>
      </w:tr>
      <w:tr w:rsidR="004236F7" w:rsidRPr="009F36E1" w14:paraId="185BA19B"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5A224AD7" w14:textId="77777777" w:rsidR="004236F7" w:rsidRPr="009F36E1" w:rsidRDefault="004236F7">
            <w:pPr>
              <w:rPr>
                <w:rFonts w:ascii="Arial" w:hAnsi="Arial" w:cs="Arial"/>
                <w:sz w:val="28"/>
                <w:szCs w:val="28"/>
              </w:rPr>
            </w:pPr>
            <w:r w:rsidRPr="009F36E1">
              <w:rPr>
                <w:rFonts w:ascii="Arial" w:hAnsi="Arial" w:cs="Arial"/>
                <w:sz w:val="28"/>
                <w:szCs w:val="28"/>
              </w:rPr>
              <w:t>Processo nº</w:t>
            </w:r>
          </w:p>
        </w:tc>
        <w:tc>
          <w:tcPr>
            <w:tcW w:w="447" w:type="dxa"/>
            <w:vAlign w:val="center"/>
          </w:tcPr>
          <w:p w14:paraId="709DFAFC"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77B2906D" w14:textId="7452F9E5" w:rsidR="004236F7" w:rsidRPr="009F36E1" w:rsidRDefault="00D87D30">
            <w:pPr>
              <w:ind w:right="-675"/>
              <w:rPr>
                <w:rFonts w:ascii="Arial" w:hAnsi="Arial" w:cs="Arial"/>
                <w:sz w:val="28"/>
                <w:szCs w:val="28"/>
              </w:rPr>
            </w:pPr>
            <w:r w:rsidRPr="00D87D30">
              <w:rPr>
                <w:rFonts w:ascii="Arial" w:hAnsi="Arial" w:cs="Arial"/>
                <w:sz w:val="28"/>
                <w:szCs w:val="28"/>
              </w:rPr>
              <w:t>0729733-90.2026.8.07.0000</w:t>
            </w:r>
          </w:p>
        </w:tc>
      </w:tr>
      <w:tr w:rsidR="004236F7" w:rsidRPr="009F36E1" w14:paraId="4B19599A"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0E538277" w14:textId="77777777" w:rsidR="004236F7" w:rsidRPr="00F63CDB" w:rsidRDefault="0030730C">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AA1EE3EF79994F978EAA8FE4FF7A26BD"/>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EndPr/>
              <w:sdtContent>
                <w:r w:rsidR="004236F7">
                  <w:rPr>
                    <w:rFonts w:ascii="Arial" w:eastAsia="Times New Roman" w:hAnsi="Arial" w:cs="Arial"/>
                    <w:sz w:val="28"/>
                    <w:szCs w:val="28"/>
                    <w:lang w:eastAsia="zh-CN"/>
                  </w:rPr>
                  <w:t>Agravante</w:t>
                </w:r>
              </w:sdtContent>
            </w:sdt>
            <w:r w:rsidR="004236F7" w:rsidRPr="00F63CDB">
              <w:rPr>
                <w:rFonts w:ascii="Arial" w:hAnsi="Arial" w:cs="Arial"/>
                <w:sz w:val="28"/>
                <w:szCs w:val="28"/>
              </w:rPr>
              <w:t xml:space="preserve"> (s)</w:t>
            </w:r>
          </w:p>
        </w:tc>
        <w:tc>
          <w:tcPr>
            <w:tcW w:w="447" w:type="dxa"/>
            <w:vAlign w:val="center"/>
          </w:tcPr>
          <w:p w14:paraId="34C0C9D3"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630B7F23" w14:textId="10CF60C3" w:rsidR="004236F7" w:rsidRPr="009F36E1" w:rsidRDefault="00D87D30" w:rsidP="650595E1">
            <w:pPr>
              <w:jc w:val="both"/>
              <w:rPr>
                <w:rFonts w:ascii="Arial" w:hAnsi="Arial" w:cs="Arial"/>
                <w:sz w:val="28"/>
                <w:szCs w:val="28"/>
              </w:rPr>
            </w:pPr>
            <w:r w:rsidRPr="00D87D30">
              <w:rPr>
                <w:rFonts w:ascii="Arial" w:hAnsi="Arial" w:cs="Arial"/>
                <w:sz w:val="28"/>
                <w:szCs w:val="28"/>
              </w:rPr>
              <w:t>GEAP AUTOGESTÃO EM SAÚDE</w:t>
            </w:r>
          </w:p>
        </w:tc>
      </w:tr>
      <w:tr w:rsidR="004236F7" w:rsidRPr="009F36E1" w14:paraId="01956A99"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268F3466" w14:textId="77777777" w:rsidR="004236F7" w:rsidRPr="009F36E1" w:rsidRDefault="0030730C">
            <w:pPr>
              <w:jc w:val="both"/>
              <w:rPr>
                <w:rFonts w:ascii="Arial" w:hAnsi="Arial" w:cs="Arial"/>
                <w:sz w:val="28"/>
                <w:szCs w:val="28"/>
              </w:rPr>
            </w:pPr>
            <w:sdt>
              <w:sdtPr>
                <w:rPr>
                  <w:rFonts w:ascii="Arial" w:eastAsia="Times New Roman" w:hAnsi="Arial" w:cs="Arial"/>
                  <w:sz w:val="28"/>
                  <w:szCs w:val="28"/>
                  <w:lang w:eastAsia="zh-CN"/>
                </w:rPr>
                <w:id w:val="-1351640470"/>
                <w:placeholder>
                  <w:docPart w:val="BC7F39C12B0F442FBBF9AD5B583FBDE0"/>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EndPr/>
              <w:sdtContent>
                <w:r w:rsidR="004236F7">
                  <w:rPr>
                    <w:rFonts w:ascii="Arial" w:eastAsia="Times New Roman" w:hAnsi="Arial" w:cs="Arial"/>
                    <w:sz w:val="28"/>
                    <w:szCs w:val="28"/>
                    <w:lang w:eastAsia="zh-CN"/>
                  </w:rPr>
                  <w:t>Agravado</w:t>
                </w:r>
              </w:sdtContent>
            </w:sdt>
            <w:r w:rsidR="004236F7" w:rsidRPr="009F36E1">
              <w:rPr>
                <w:rFonts w:ascii="Arial" w:hAnsi="Arial" w:cs="Arial"/>
                <w:sz w:val="28"/>
                <w:szCs w:val="28"/>
              </w:rPr>
              <w:t xml:space="preserve"> </w:t>
            </w:r>
            <w:r w:rsidR="004236F7">
              <w:rPr>
                <w:rFonts w:ascii="Arial" w:hAnsi="Arial" w:cs="Arial"/>
                <w:sz w:val="28"/>
                <w:szCs w:val="28"/>
              </w:rPr>
              <w:t>(</w:t>
            </w:r>
            <w:r w:rsidR="004236F7" w:rsidRPr="009F36E1">
              <w:rPr>
                <w:rFonts w:ascii="Arial" w:hAnsi="Arial" w:cs="Arial"/>
                <w:sz w:val="28"/>
                <w:szCs w:val="28"/>
              </w:rPr>
              <w:t>a)(s)</w:t>
            </w:r>
          </w:p>
        </w:tc>
        <w:tc>
          <w:tcPr>
            <w:tcW w:w="447" w:type="dxa"/>
            <w:vAlign w:val="center"/>
          </w:tcPr>
          <w:p w14:paraId="5EDA0385"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6CC5F6AE" w14:textId="2918248E" w:rsidR="004236F7" w:rsidRPr="009F36E1" w:rsidRDefault="00D87D30" w:rsidP="650595E1">
            <w:pPr>
              <w:ind w:right="-74"/>
              <w:jc w:val="both"/>
              <w:rPr>
                <w:rFonts w:ascii="Arial" w:hAnsi="Arial" w:cs="Arial"/>
                <w:sz w:val="28"/>
                <w:szCs w:val="28"/>
              </w:rPr>
            </w:pPr>
            <w:r w:rsidRPr="00D87D30">
              <w:rPr>
                <w:rFonts w:ascii="Arial" w:hAnsi="Arial" w:cs="Arial"/>
                <w:sz w:val="28"/>
                <w:szCs w:val="28"/>
              </w:rPr>
              <w:t>B. S. L.</w:t>
            </w:r>
          </w:p>
        </w:tc>
      </w:tr>
      <w:tr w:rsidR="004236F7" w:rsidRPr="009F36E1" w14:paraId="04C2C9E0"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5C272CF2" w14:textId="77777777" w:rsidR="004236F7" w:rsidRPr="009F36E1" w:rsidRDefault="004236F7">
            <w:pPr>
              <w:rPr>
                <w:rFonts w:ascii="Arial" w:hAnsi="Arial" w:cs="Arial"/>
                <w:sz w:val="28"/>
                <w:szCs w:val="28"/>
              </w:rPr>
            </w:pPr>
            <w:r w:rsidRPr="009F36E1">
              <w:rPr>
                <w:rFonts w:ascii="Arial" w:hAnsi="Arial" w:cs="Arial"/>
                <w:sz w:val="28"/>
                <w:szCs w:val="28"/>
              </w:rPr>
              <w:t>Relator(a)</w:t>
            </w:r>
          </w:p>
        </w:tc>
        <w:tc>
          <w:tcPr>
            <w:tcW w:w="447" w:type="dxa"/>
            <w:vAlign w:val="center"/>
          </w:tcPr>
          <w:p w14:paraId="65F4370D" w14:textId="77777777" w:rsidR="004236F7" w:rsidRPr="009F36E1" w:rsidRDefault="004236F7">
            <w:pPr>
              <w:ind w:right="-11"/>
              <w:rPr>
                <w:rFonts w:ascii="Arial" w:hAnsi="Arial" w:cs="Arial"/>
                <w:sz w:val="28"/>
                <w:szCs w:val="28"/>
              </w:rPr>
            </w:pPr>
            <w:r w:rsidRPr="009F36E1">
              <w:rPr>
                <w:rFonts w:ascii="Arial" w:hAnsi="Arial" w:cs="Arial"/>
                <w:sz w:val="28"/>
                <w:szCs w:val="28"/>
              </w:rPr>
              <w:t>:</w:t>
            </w:r>
          </w:p>
        </w:tc>
        <w:tc>
          <w:tcPr>
            <w:tcW w:w="4590" w:type="dxa"/>
            <w:gridSpan w:val="2"/>
            <w:vAlign w:val="center"/>
          </w:tcPr>
          <w:p w14:paraId="64F0CBAE" w14:textId="77777777" w:rsidR="004236F7" w:rsidRPr="009F36E1" w:rsidRDefault="004236F7">
            <w:pPr>
              <w:rPr>
                <w:rFonts w:ascii="Arial" w:hAnsi="Arial" w:cs="Arial"/>
                <w:b/>
                <w:sz w:val="28"/>
                <w:szCs w:val="28"/>
              </w:rPr>
            </w:pPr>
            <w:r w:rsidRPr="009F36E1">
              <w:rPr>
                <w:rFonts w:ascii="Arial" w:hAnsi="Arial" w:cs="Arial"/>
                <w:b/>
                <w:bCs/>
                <w:sz w:val="28"/>
                <w:szCs w:val="28"/>
              </w:rPr>
              <w:t>Des. Sérgio Rocha</w:t>
            </w:r>
          </w:p>
        </w:tc>
      </w:tr>
    </w:tbl>
    <w:p w14:paraId="3FC74CEC" w14:textId="71C87D05" w:rsidR="004236F7" w:rsidRDefault="004236F7" w:rsidP="004236F7">
      <w:pPr>
        <w:spacing w:after="0" w:line="360" w:lineRule="auto"/>
        <w:rPr>
          <w:rFonts w:ascii="Arial" w:hAnsi="Arial" w:cs="Arial"/>
          <w:sz w:val="28"/>
          <w:szCs w:val="28"/>
        </w:rPr>
      </w:pPr>
    </w:p>
    <w:p w14:paraId="1A8550DC" w14:textId="77777777" w:rsidR="008C7D23" w:rsidRPr="007E1C8C" w:rsidRDefault="008C7D23" w:rsidP="008C7D23">
      <w:pPr>
        <w:spacing w:after="0" w:line="360" w:lineRule="auto"/>
        <w:jc w:val="left"/>
        <w:rPr>
          <w:rFonts w:ascii="Arial" w:hAnsi="Arial" w:cs="Arial"/>
          <w:b/>
          <w:bCs/>
          <w:sz w:val="28"/>
          <w:szCs w:val="28"/>
        </w:rPr>
      </w:pPr>
      <w:commentRangeStart w:id="1"/>
      <w:r w:rsidRPr="0C436811">
        <w:rPr>
          <w:rFonts w:ascii="Arial" w:hAnsi="Arial" w:cs="Arial"/>
          <w:b/>
          <w:bCs/>
          <w:sz w:val="28"/>
          <w:szCs w:val="28"/>
        </w:rPr>
        <w:t>EMENTA</w:t>
      </w:r>
      <w:commentRangeEnd w:id="1"/>
      <w:r>
        <w:rPr>
          <w:rStyle w:val="CommentReference"/>
        </w:rPr>
        <w:commentReference w:id="1"/>
      </w:r>
    </w:p>
    <w:p w14:paraId="077BBD46" w14:textId="77777777" w:rsidR="008C7D23" w:rsidRDefault="008C7D23" w:rsidP="008C7D23">
      <w:pPr>
        <w:spacing w:after="0" w:line="360" w:lineRule="auto"/>
        <w:jc w:val="both"/>
        <w:rPr>
          <w:rFonts w:ascii="Arial" w:hAnsi="Arial" w:cs="Arial"/>
          <w:sz w:val="28"/>
          <w:szCs w:val="28"/>
        </w:rPr>
      </w:pPr>
    </w:p>
    <w:p w14:paraId="39FC7627" w14:textId="77777777" w:rsidR="009D6112" w:rsidRPr="009D6112" w:rsidRDefault="008C7D23" w:rsidP="009D6112">
      <w:pPr>
        <w:spacing w:after="0" w:line="360" w:lineRule="auto"/>
        <w:jc w:val="both"/>
        <w:rPr>
          <w:rFonts w:ascii="Arial" w:hAnsi="Arial" w:cs="Arial"/>
          <w:sz w:val="28"/>
          <w:szCs w:val="28"/>
        </w:rPr>
      </w:pPr>
      <w:commentRangeStart w:id="2"/>
      <w:r>
        <w:rPr>
          <w:rFonts w:ascii="Arial" w:hAnsi="Arial" w:cs="Arial"/>
          <w:sz w:val="28"/>
          <w:szCs w:val="28"/>
        </w:rPr>
        <w:t xml:space="preserve">AGRAVO DE INSTRUMENTO. </w:t>
      </w:r>
      <w:r>
        <w:rPr>
          <w:rFonts w:ascii="Arial" w:hAnsi="Arial" w:cs="Arial"/>
          <w:sz w:val="28"/>
          <w:szCs w:val="28"/>
        </w:rPr>
        <w:t xml:space="preserve">DIREITO CIVIL E PROCESSUAL CIVIL. PLANO DE SAÚDE. CUMPRIMENTO PROVISÓRIO DE DECISÃO. TRATAMENTO MULTIDISCIPLINAR DE MENOR (12 ANOS). REDE CREDENCIADA INAPTA. CUSTEIO INTEGRAL EM REDE PARTICULAR. BLOQUEIO DE VALORES. CONTRADITÓRIO PRÉVIO. </w:t>
      </w:r>
      <w:r>
        <w:rPr>
          <w:rFonts w:ascii="Arial" w:hAnsi="Arial" w:cs="Arial"/>
          <w:color w:val="808080"/>
          <w:sz w:val="28"/>
          <w:szCs w:val="28"/>
        </w:rPr>
        <w:t xml:space="preserve">RECURSO</w:t>
      </w:r>
      <w:r>
        <w:rPr>
          <w:rFonts w:ascii="Arial" w:hAnsi="Arial" w:cs="Arial"/>
          <w:sz w:val="28"/>
          <w:szCs w:val="28"/>
        </w:rPr>
        <w:t xml:space="preserve"> </w:t>
      </w:r>
      <w:r>
        <w:rPr>
          <w:rFonts w:ascii="Arial" w:hAnsi="Arial" w:cs="Arial"/>
          <w:color w:val="808080"/>
          <w:sz w:val="28"/>
          <w:szCs w:val="28"/>
        </w:rPr>
        <w:t xml:space="preserve">PARCIALMENTE PROVIDO</w:t>
      </w:r>
      <w:r>
        <w:rPr>
          <w:rFonts w:ascii="Arial" w:hAnsi="Arial" w:cs="Arial"/>
          <w:sz w:val="28"/>
          <w:szCs w:val="28"/>
        </w:rPr>
        <w:t xml:space="preserve">.</w:t>
      </w:r>
      <w:commentRangeEnd w:id="2"/>
      <w:r>
        <w:rPr>
          <w:rStyle w:val="CommentReference"/>
        </w:rPr>
        <w:commentReference w:id="2"/>
      </w:r>
    </w:p>
    <w:p w14:paraId="234F553A" w14:textId="77777777" w:rsidR="008C7D23" w:rsidRPr="0034247B" w:rsidRDefault="008C7D23" w:rsidP="008C7D23">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358569AA" w14:textId="51875D5C" w:rsidR="008C7D23" w:rsidRDefault="008C7D23" w:rsidP="008C7D23">
      <w:pPr>
        <w:pStyle w:val="PargrafodaLista"/>
        <w:spacing w:after="0" w:line="360" w:lineRule="auto"/>
        <w:ind w:left="0"/>
        <w:jc w:val="both"/>
        <w:rPr>
          <w:rFonts w:ascii="Arial" w:hAnsi="Arial" w:cs="Arial"/>
          <w:sz w:val="28"/>
          <w:szCs w:val="28"/>
        </w:rPr>
      </w:pPr>
      <w:commentRangeStart w:id="3"/>
      <w:r>
        <w:rPr>
          <w:rFonts w:ascii="Arial" w:hAnsi="Arial" w:cs="Arial"/>
          <w:sz w:val="28"/>
          <w:szCs w:val="28"/>
        </w:rPr>
        <w:t xml:space="preserve">1. </w:t>
      </w:r>
      <w:r>
        <w:rPr>
          <w:rFonts w:ascii="Arial" w:hAnsi="Arial" w:cs="Arial"/>
          <w:sz w:val="28"/>
          <w:szCs w:val="28"/>
        </w:rPr>
        <w:t xml:space="preserve">Cumprimento provisório de decisão proposto por </w:t>
      </w:r>
      <w:r>
        <w:rPr>
          <w:rFonts w:ascii="Arial" w:hAnsi="Arial" w:cs="Arial"/>
          <w:color w:val="808080"/>
          <w:sz w:val="28"/>
          <w:szCs w:val="28"/>
        </w:rPr>
        <w:t xml:space="preserve">exequente</w:t>
      </w:r>
      <w:r>
        <w:rPr>
          <w:rFonts w:ascii="Arial" w:hAnsi="Arial" w:cs="Arial"/>
          <w:sz w:val="28"/>
          <w:szCs w:val="28"/>
        </w:rPr>
        <w:t xml:space="preserve"> </w:t>
      </w:r>
      <w:r>
        <w:rPr>
          <w:rFonts w:ascii="Arial" w:hAnsi="Arial" w:cs="Arial"/>
          <w:color w:val="808080"/>
          <w:sz w:val="28"/>
          <w:szCs w:val="28"/>
        </w:rPr>
        <w:t xml:space="preserve">menor, com 12 anos de idade,</w:t>
      </w:r>
      <w:r>
        <w:rPr>
          <w:rFonts w:ascii="Arial" w:hAnsi="Arial" w:cs="Arial"/>
          <w:sz w:val="28"/>
          <w:szCs w:val="28"/>
        </w:rPr>
        <w:t xml:space="preserve"> contra</w:t>
      </w:r>
      <w:r>
        <w:rPr>
          <w:rFonts w:ascii="Arial" w:hAnsi="Arial" w:cs="Arial"/>
          <w:color w:val="808080"/>
          <w:sz w:val="28"/>
          <w:szCs w:val="28"/>
        </w:rPr>
        <w:t xml:space="preserve"> a executada</w:t>
      </w:r>
      <w:r>
        <w:rPr>
          <w:rFonts w:ascii="Arial" w:hAnsi="Arial" w:cs="Arial"/>
          <w:sz w:val="28"/>
          <w:szCs w:val="28"/>
        </w:rPr>
        <w:t xml:space="preserve"> GEAP Autogestão em Saúde, visando assegurar o custeio de tratamento multidisciplinar prescrito </w:t>
      </w:r>
      <w:r>
        <w:rPr>
          <w:rFonts w:ascii="Arial" w:hAnsi="Arial" w:cs="Arial"/>
          <w:color w:val="808080"/>
          <w:sz w:val="28"/>
          <w:szCs w:val="28"/>
        </w:rPr>
        <w:t xml:space="preserve">em</w:t>
      </w:r>
      <w:r>
        <w:rPr>
          <w:rFonts w:ascii="Arial" w:hAnsi="Arial" w:cs="Arial"/>
          <w:sz w:val="28"/>
          <w:szCs w:val="28"/>
        </w:rPr>
        <w:t xml:space="preserve"> relatório médico, preferencialmente por rede credenciada e, na sua indisponibilidade, por rede particular.</w:t>
      </w:r>
      <w:commentRangeEnd w:id="3"/>
      <w:r>
        <w:rPr>
          <w:rStyle w:val="CommentReference"/>
        </w:rPr>
        <w:commentReference w:id="3"/>
      </w:r>
    </w:p>
    <w:p w14:paraId="7384F481" w14:textId="5AFD4607" w:rsidR="00BC1A88"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2.</w:t>
      </w:r>
      <w:r w:rsidR="009D6112">
        <w:rPr>
          <w:rFonts w:ascii="Arial" w:hAnsi="Arial" w:cs="Arial"/>
          <w:sz w:val="28"/>
          <w:szCs w:val="28"/>
        </w:rPr>
        <w:t xml:space="preserve"> </w:t>
      </w:r>
      <w:r w:rsidR="009D6112" w:rsidRPr="009D6112">
        <w:rPr>
          <w:rFonts w:ascii="Arial" w:hAnsi="Arial" w:cs="Arial"/>
          <w:sz w:val="28"/>
          <w:szCs w:val="28"/>
        </w:rPr>
        <w:t xml:space="preserve">A decisão agravada reconheceu o descumprimento da obrigação de fazer, diante da ausência de profissionais com as qualificações técnicas e certificações exigidas pelo relatório médico na rede credenciada, indeferiu os requerimentos da executada e determinou que a exequente indicasse estabelecimento apto a realizar o </w:t>
      </w:r>
      <w:r w:rsidR="009D6112" w:rsidRPr="009D6112">
        <w:rPr>
          <w:rFonts w:ascii="Arial" w:hAnsi="Arial" w:cs="Arial"/>
          <w:sz w:val="28"/>
          <w:szCs w:val="28"/>
        </w:rPr>
        <w:lastRenderedPageBreak/>
        <w:t>tratamento, com apresentação de orçamento e dados bancários, para posterior bloqueio eletrônico de valores.</w:t>
      </w:r>
    </w:p>
    <w:p w14:paraId="32BB596C" w14:textId="0D446001" w:rsidR="00BC1A88"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3.</w:t>
      </w:r>
      <w:r w:rsidR="009D6112">
        <w:rPr>
          <w:rFonts w:ascii="Arial" w:hAnsi="Arial" w:cs="Arial"/>
          <w:sz w:val="28"/>
          <w:szCs w:val="28"/>
        </w:rPr>
        <w:t xml:space="preserve"> </w:t>
      </w:r>
      <w:r w:rsidR="009D6112" w:rsidRPr="009D6112">
        <w:rPr>
          <w:rFonts w:ascii="Arial" w:hAnsi="Arial" w:cs="Arial"/>
          <w:sz w:val="28"/>
          <w:szCs w:val="28"/>
        </w:rPr>
        <w:t>A executada agrava requerendo a reforma da decisão para afastar o bloqueio patrimonial, reconhecer a suficiência da rede credenciada disponibilizada e condicionar eventual custeio em rede particular à prévia comprovação da aptidão técnica do estabelecimento indicado, com possibilidade de pagamento direto pela operadora.</w:t>
      </w:r>
    </w:p>
    <w:p w14:paraId="5A335F32" w14:textId="77777777" w:rsidR="008C7D23" w:rsidRPr="0034247B" w:rsidRDefault="008C7D23" w:rsidP="008C7D23">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4462F6F3" w14:textId="77777777" w:rsidR="009D6112" w:rsidRPr="009D6112" w:rsidRDefault="00BC1A88" w:rsidP="009D6112">
      <w:pPr>
        <w:spacing w:after="0" w:line="360" w:lineRule="auto"/>
        <w:jc w:val="both"/>
        <w:rPr>
          <w:rFonts w:ascii="Arial" w:hAnsi="Arial" w:cs="Arial"/>
          <w:sz w:val="28"/>
          <w:szCs w:val="28"/>
        </w:rPr>
      </w:pPr>
      <w:r>
        <w:rPr>
          <w:rFonts w:ascii="Arial" w:hAnsi="Arial" w:cs="Arial"/>
          <w:sz w:val="28"/>
          <w:szCs w:val="28"/>
        </w:rPr>
        <w:t>4</w:t>
      </w:r>
      <w:r w:rsidR="008C7D23" w:rsidRPr="005D305E">
        <w:rPr>
          <w:rFonts w:ascii="Arial" w:hAnsi="Arial" w:cs="Arial"/>
          <w:sz w:val="28"/>
          <w:szCs w:val="28"/>
        </w:rPr>
        <w:t xml:space="preserve">. </w:t>
      </w:r>
      <w:r w:rsidR="009D6112" w:rsidRPr="009D6112">
        <w:rPr>
          <w:rFonts w:ascii="Arial" w:hAnsi="Arial" w:cs="Arial"/>
          <w:sz w:val="28"/>
          <w:szCs w:val="28"/>
        </w:rPr>
        <w:t>Há duas questões em discussão: (i) saber se a rede credenciada disponibilizada pela operadora atende às exigências constantes do relatório médico e da decisão judicial; e (ii) saber se o bloqueio eletrônico de valores pode ocorrer automaticamente ou se exige prévia manifestação da operadora acerca da aptidão técnica da clínica indicada, da razoabilidade do orçamento e da possibilidade de custeio direto do tratamento.</w:t>
      </w:r>
    </w:p>
    <w:p w14:paraId="182FF912" w14:textId="23A89AC7" w:rsidR="008C7D23" w:rsidRPr="0034247B" w:rsidRDefault="008C7D23" w:rsidP="008C7D23">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0372EA01" w14:textId="28A753DB" w:rsidR="008C7D23"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5</w:t>
      </w:r>
      <w:r w:rsidR="008C7D23">
        <w:rPr>
          <w:rFonts w:ascii="Arial" w:hAnsi="Arial" w:cs="Arial"/>
          <w:sz w:val="28"/>
          <w:szCs w:val="28"/>
        </w:rPr>
        <w:t>.</w:t>
      </w:r>
      <w:r w:rsidR="009D6112">
        <w:rPr>
          <w:rFonts w:ascii="Arial" w:hAnsi="Arial" w:cs="Arial"/>
          <w:sz w:val="28"/>
          <w:szCs w:val="28"/>
        </w:rPr>
        <w:t xml:space="preserve"> </w:t>
      </w:r>
      <w:r w:rsidR="009D6112" w:rsidRPr="009D6112">
        <w:rPr>
          <w:rFonts w:ascii="Arial" w:hAnsi="Arial" w:cs="Arial"/>
          <w:sz w:val="28"/>
          <w:szCs w:val="28"/>
        </w:rPr>
        <w:t>A obrigação de custeio do tratamento multidisciplinar já foi estabelecida nos autos principais, nos exatos termos do relatório médico, com preferência pela rede credenciada e previsão de custeio integral em rede particular quando inexistente atendimento compatível.</w:t>
      </w:r>
    </w:p>
    <w:p>
      <w:pPr>
        <w:pStyle w:val="PargrafodaLista"/>
        <w:spacing w:after="0" w:line="360" w:lineRule="auto"/>
        <w:ind w:left="0"/>
        <w:jc w:val="both"/>
        <w:rPr/>
      </w:pPr>
      <w:commentRangeStart w:id="4"/>
      <w:r>
        <w:rPr>
          <w:rFonts w:ascii="Arial" w:hAnsi="Arial" w:cs="Arial"/>
          <w:sz w:val="28"/>
          <w:szCs w:val="28"/>
        </w:rPr>
        <w:t xml:space="preserve">6</w:t>
      </w:r>
      <w:r>
        <w:rPr>
          <w:rFonts w:ascii="Arial" w:hAnsi="Arial" w:cs="Arial"/>
          <w:sz w:val="28"/>
          <w:szCs w:val="28"/>
        </w:rPr>
        <w:t xml:space="preserve">.</w:t>
      </w:r>
      <w:r>
        <w:t xml:space="preserve"> </w:t>
      </w:r>
      <w:r>
        <w:rPr>
          <w:rFonts w:ascii="Arial" w:hAnsi="Arial" w:cs="Arial"/>
          <w:sz w:val="28"/>
          <w:szCs w:val="28"/>
        </w:rPr>
        <w:t xml:space="preserve">A Resolução Normativa ANS nº 539/2022 impõe </w:t>
      </w:r>
      <w:r>
        <w:rPr>
          <w:rFonts w:ascii="Arial" w:hAnsi="Arial" w:cs="Arial"/>
          <w:color w:val="808080"/>
          <w:sz w:val="28"/>
          <w:szCs w:val="28"/>
        </w:rPr>
        <w:t xml:space="preserve">à operadora o atendimento, para beneficiários com transtornos globais</w:t>
      </w:r>
      <w:r>
        <w:rPr>
          <w:rFonts w:ascii="Arial" w:hAnsi="Arial" w:cs="Arial"/>
          <w:sz w:val="28"/>
          <w:szCs w:val="28"/>
        </w:rPr>
        <w:t xml:space="preserve"> do</w:t>
      </w:r>
      <w:r>
        <w:rPr>
          <w:rFonts w:ascii="Arial" w:hAnsi="Arial" w:cs="Arial"/>
          <w:color w:val="808080"/>
          <w:sz w:val="28"/>
          <w:szCs w:val="28"/>
        </w:rPr>
        <w:t xml:space="preserve"> desenvolvimento, por prestador apto a executar o</w:t>
      </w:r>
      <w:r>
        <w:rPr>
          <w:rFonts w:ascii="Arial" w:hAnsi="Arial" w:cs="Arial"/>
          <w:sz w:val="28"/>
          <w:szCs w:val="28"/>
        </w:rPr>
        <w:t xml:space="preserve"> método ou técnica indicados pelo médico assistente</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exigência de qualificação técnica compatível decorre da própria obrigação assistencial, não </w:t>
      </w:r>
      <w:r>
        <w:rPr>
          <w:rFonts w:ascii="Arial" w:hAnsi="Arial" w:cs="Arial"/>
          <w:color w:val="808080"/>
          <w:sz w:val="28"/>
          <w:szCs w:val="28"/>
        </w:rPr>
        <w:t xml:space="preserve">de</w:t>
      </w:r>
      <w:r>
        <w:rPr>
          <w:rFonts w:ascii="Arial" w:hAnsi="Arial" w:cs="Arial"/>
          <w:sz w:val="28"/>
          <w:szCs w:val="28"/>
        </w:rPr>
        <w:t xml:space="preserve"> requisito criado judicialmente</w:t>
      </w:r>
      <w:r>
        <w:rPr>
          <w:rFonts w:ascii="Arial" w:hAnsi="Arial" w:cs="Arial"/>
          <w:color w:val="808080"/>
          <w:sz w:val="28"/>
          <w:szCs w:val="28"/>
        </w:rPr>
        <w:t xml:space="preserve">.</w:t>
      </w:r>
    </w:p>
    <w:p w14:paraId="6A87E042" w14:textId="45EB237A" w:rsidR="008C7D23" w:rsidRDefault="00BC1A88" w:rsidP="008C7D23">
      <w:pPr>
        <w:pStyle w:val="PargrafodaLista"/>
        <w:spacing w:after="0" w:line="360" w:lineRule="auto"/>
        <w:ind w:left="0"/>
        <w:jc w:val="both"/>
        <w:rPr>
          <w:rFonts w:ascii="Arial" w:hAnsi="Arial" w:cs="Arial"/>
          <w:sz w:val="28"/>
          <w:szCs w:val="28"/>
        </w:rPr>
      </w:pPr>
      <w:r>
        <w:rPr>
          <w:rFonts w:ascii="Arial" w:hAnsi="Arial" w:cs="Arial"/>
          <w:color w:val="808080"/>
          <w:sz w:val="28"/>
          <w:szCs w:val="28"/>
        </w:rPr>
        <w:t xml:space="preserve">7</w:t>
      </w:r>
      <w:r>
        <w:rPr>
          <w:rFonts w:ascii="Arial" w:hAnsi="Arial" w:cs="Arial"/>
          <w:sz w:val="28"/>
          <w:szCs w:val="28"/>
        </w:rPr>
        <w:t xml:space="preserve">. A mera existência de profissionais com formação genérica não demonstra aptidão para </w:t>
      </w:r>
      <w:r>
        <w:rPr>
          <w:rFonts w:ascii="Arial" w:hAnsi="Arial" w:cs="Arial"/>
          <w:color w:val="808080"/>
          <w:sz w:val="28"/>
          <w:szCs w:val="28"/>
        </w:rPr>
        <w:t xml:space="preserve">cumprir</w:t>
      </w:r>
      <w:r>
        <w:rPr>
          <w:rFonts w:ascii="Arial" w:hAnsi="Arial" w:cs="Arial"/>
          <w:sz w:val="28"/>
          <w:szCs w:val="28"/>
        </w:rPr>
        <w:t xml:space="preserve"> </w:t>
      </w:r>
      <w:r>
        <w:rPr>
          <w:rFonts w:ascii="Arial" w:hAnsi="Arial" w:cs="Arial"/>
          <w:color w:val="808080"/>
          <w:sz w:val="28"/>
          <w:szCs w:val="28"/>
        </w:rPr>
        <w:t xml:space="preserve">integralmente</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prescrição médica.</w:t>
      </w:r>
      <w:commentRangeEnd w:id="4"/>
      <w:r>
        <w:rPr>
          <w:rStyle w:val="CommentReference"/>
        </w:rPr>
        <w:commentReference w:id="4"/>
      </w:r>
    </w:p>
    <w:p>
      <w:pPr>
        <w:pStyle w:val="PargrafodaLista"/>
        <w:spacing w:after="0" w:line="360" w:lineRule="auto"/>
        <w:ind w:left="0"/>
        <w:jc w:val="both"/>
        <w:rPr/>
      </w:pPr>
      <w:commentRangeStart w:id="5"/>
      <w:r>
        <w:rPr>
          <w:rFonts w:ascii="Arial" w:hAnsi="Arial" w:cs="Arial"/>
          <w:color w:val="808080"/>
          <w:sz w:val="28"/>
          <w:szCs w:val="28"/>
        </w:rPr>
        <w:t xml:space="preserve">8</w:t>
      </w:r>
      <w:r>
        <w:rPr>
          <w:rFonts w:ascii="Arial" w:hAnsi="Arial" w:cs="Arial"/>
          <w:sz w:val="28"/>
          <w:szCs w:val="28"/>
        </w:rPr>
        <w:t xml:space="preserve">.</w:t>
      </w:r>
      <w:r>
        <w:t xml:space="preserve"> </w:t>
      </w:r>
      <w:r>
        <w:rPr>
          <w:rFonts w:ascii="Arial" w:hAnsi="Arial" w:cs="Arial"/>
          <w:sz w:val="28"/>
          <w:szCs w:val="28"/>
        </w:rPr>
        <w:t xml:space="preserve">Embora legítimas as medidas executivas voltadas à efetivação da tutela de saúde, o bloqueio eletrônico de valores exige prévio exame da clínica indicada pela beneficiária, da compatibilidade técnica do estabelecimento, da razoabilidade do orçamento apresentado e da eventual viabilidade de custeio direto pela operadora.</w:t>
      </w:r>
    </w:p>
    <w:p w14:paraId="36413223" w14:textId="05BA725C" w:rsidR="00A36CBE" w:rsidRDefault="00A36CBE" w:rsidP="008C7D23">
      <w:pPr>
        <w:pStyle w:val="PargrafodaLista"/>
        <w:spacing w:after="0" w:line="360" w:lineRule="auto"/>
        <w:ind w:left="0"/>
        <w:jc w:val="both"/>
        <w:rPr>
          <w:rFonts w:ascii="Arial" w:hAnsi="Arial" w:cs="Arial"/>
          <w:sz w:val="28"/>
          <w:szCs w:val="28"/>
        </w:rPr>
      </w:pPr>
      <w:r>
        <w:rPr>
          <w:rFonts w:ascii="Arial" w:hAnsi="Arial" w:cs="Arial"/>
          <w:color w:val="808080"/>
          <w:sz w:val="28"/>
          <w:szCs w:val="28"/>
        </w:rPr>
        <w:t xml:space="preserve">9.</w:t>
      </w:r>
      <w:r>
        <w:rPr>
          <w:rFonts w:ascii="Arial" w:hAnsi="Arial" w:cs="Arial"/>
          <w:sz w:val="28"/>
          <w:szCs w:val="28"/>
        </w:rPr>
        <w:t xml:space="preserve"> A observância do contraditório, nesse ponto, harmoniza a efetividade da tutela com os princípios da proporcionalidade e da menor onerosidade da execução.</w:t>
      </w:r>
      <w:commentRangeEnd w:id="5"/>
      <w:r>
        <w:rPr>
          <w:rStyle w:val="CommentReference"/>
        </w:rPr>
        <w:commentReference w:id="5"/>
      </w:r>
    </w:p>
    <w:p w14:paraId="185BE4DA" w14:textId="41002D75" w:rsidR="009D6112" w:rsidRDefault="009D6112" w:rsidP="008C7D23">
      <w:pPr>
        <w:pStyle w:val="PargrafodaLista"/>
        <w:spacing w:after="0" w:line="360" w:lineRule="auto"/>
        <w:ind w:left="0"/>
        <w:jc w:val="both"/>
        <w:rPr>
          <w:rFonts w:ascii="Arial" w:hAnsi="Arial" w:cs="Arial"/>
          <w:sz w:val="28"/>
          <w:szCs w:val="28"/>
        </w:rPr>
      </w:pPr>
      <w:r>
        <w:rPr>
          <w:rFonts w:ascii="Arial" w:hAnsi="Arial" w:cs="Arial"/>
          <w:color w:val="808080"/>
          <w:sz w:val="28"/>
          <w:szCs w:val="28"/>
        </w:rPr>
        <w:t xml:space="preserve">10</w:t>
      </w:r>
      <w:r>
        <w:rPr>
          <w:rFonts w:ascii="Arial" w:hAnsi="Arial" w:cs="Arial"/>
          <w:sz w:val="28"/>
          <w:szCs w:val="28"/>
        </w:rPr>
        <w:t xml:space="preserve">. </w:t>
      </w:r>
      <w:r>
        <w:rPr>
          <w:rFonts w:ascii="Arial" w:hAnsi="Arial" w:cs="Arial"/>
          <w:sz w:val="28"/>
          <w:szCs w:val="28"/>
        </w:rPr>
        <w:t xml:space="preserve">Revela-se adequada a manutenção das determinações voltadas à continuidade do tratamento, com suspensão apenas do bloqueio automático de ativos financeiros até manifestação prévia da operadora acerca dos elementos concretamente apresentados pela exequente.</w:t>
      </w:r>
    </w:p>
    <w:p w14:paraId="79B33125" w14:textId="77777777" w:rsidR="008C7D23" w:rsidRPr="0034247B" w:rsidRDefault="008C7D23" w:rsidP="008C7D23">
      <w:pPr>
        <w:pStyle w:val="PargrafodaLista"/>
        <w:spacing w:after="0" w:line="360" w:lineRule="auto"/>
        <w:ind w:left="0"/>
        <w:jc w:val="both"/>
        <w:rPr>
          <w:rFonts w:ascii="Arial" w:hAnsi="Arial" w:cs="Arial"/>
          <w:b/>
          <w:bCs/>
          <w:sz w:val="28"/>
          <w:szCs w:val="28"/>
        </w:rPr>
      </w:pPr>
      <w:r w:rsidRPr="77A54DBC">
        <w:rPr>
          <w:rFonts w:ascii="Arial" w:hAnsi="Arial" w:cs="Arial"/>
          <w:b/>
          <w:bCs/>
          <w:sz w:val="28"/>
          <w:szCs w:val="28"/>
        </w:rPr>
        <w:t>IV. Dispositivo</w:t>
      </w:r>
    </w:p>
    <w:p w14:paraId="42976651" w14:textId="77777777" w:rsidR="009D6112" w:rsidRPr="009D6112" w:rsidRDefault="00A36CBE" w:rsidP="009D6112">
      <w:pPr>
        <w:spacing w:after="0" w:line="360" w:lineRule="auto"/>
        <w:jc w:val="both"/>
        <w:rPr>
          <w:rFonts w:ascii="Arial" w:eastAsia="Arial" w:hAnsi="Arial" w:cs="Arial"/>
          <w:color w:val="000000" w:themeColor="text1"/>
          <w:sz w:val="28"/>
          <w:szCs w:val="28"/>
        </w:rPr>
      </w:pPr>
      <w:commentRangeStart w:id="6"/>
      <w:r>
        <w:rPr>
          <w:rFonts w:ascii="Arial" w:eastAsia="Arial" w:hAnsi="Arial" w:cs="Arial"/>
          <w:color w:val="808080"/>
          <w:sz w:val="28"/>
          <w:szCs w:val="28"/>
        </w:rPr>
        <w:t xml:space="preserve">11</w:t>
      </w:r>
      <w:r>
        <w:rPr>
          <w:rFonts w:ascii="Arial" w:eastAsia="Arial" w:hAnsi="Arial" w:cs="Arial"/>
          <w:color w:val="000000" w:themeColor="text1"/>
          <w:sz w:val="28"/>
          <w:szCs w:val="28"/>
        </w:rPr>
        <w:t xml:space="preserve">. </w:t>
      </w:r>
      <w:r>
        <w:rPr>
          <w:rFonts w:ascii="Arial" w:eastAsia="Arial" w:hAnsi="Arial" w:cs="Arial"/>
          <w:color w:val="000000" w:themeColor="text1"/>
          <w:sz w:val="28"/>
          <w:szCs w:val="28"/>
        </w:rPr>
        <w:t xml:space="preserve">Deu-se parcial provimento ao agravo de instrumento da executada para, confirmando a </w:t>
      </w:r>
      <w:r>
        <w:rPr>
          <w:rFonts w:ascii="Arial" w:eastAsia="Arial" w:hAnsi="Arial" w:cs="Arial"/>
          <w:color w:val="808080"/>
          <w:sz w:val="28"/>
          <w:szCs w:val="28"/>
        </w:rPr>
        <w:t xml:space="preserve">liminar</w:t>
      </w:r>
      <w:r>
        <w:rPr>
          <w:rFonts w:ascii="Arial" w:eastAsia="Arial" w:hAnsi="Arial" w:cs="Arial"/>
          <w:color w:val="000000" w:themeColor="text1"/>
          <w:sz w:val="28"/>
          <w:szCs w:val="28"/>
        </w:rPr>
        <w:t xml:space="preserve">, sustar a realização de bloqueio eletrônico automático de valores até que a parte exequente indique a clínica e apresente o respectivo orçamento, oportunizando-se prévia manifestação da operadora sobre a aptidão técnica do estabelecimento, a razoabilidade dos valores e a possibilidade de custeio direto do tratamento, mantidas as demais determinações da decisão agravada.</w:t>
      </w:r>
      <w:commentRangeEnd w:id="6"/>
      <w:r>
        <w:rPr>
          <w:rStyle w:val="CommentReference"/>
        </w:rPr>
        <w:commentReference w:id="6"/>
      </w:r>
    </w:p>
    <w:p w14:paraId="175FFAC4" w14:textId="77777777" w:rsidR="008C7D23" w:rsidRDefault="008C7D23" w:rsidP="008C7D23">
      <w:pPr>
        <w:spacing w:after="0" w:line="360" w:lineRule="auto"/>
        <w:jc w:val="both"/>
        <w:rPr>
          <w:rFonts w:ascii="Arial" w:eastAsia="Arial" w:hAnsi="Arial" w:cs="Arial"/>
          <w:color w:val="000000" w:themeColor="text1"/>
          <w:sz w:val="28"/>
          <w:szCs w:val="28"/>
        </w:rPr>
      </w:pPr>
      <w:r w:rsidRPr="77A54DBC">
        <w:rPr>
          <w:rFonts w:ascii="Arial" w:eastAsia="Arial" w:hAnsi="Arial" w:cs="Arial"/>
          <w:color w:val="000000" w:themeColor="text1"/>
          <w:sz w:val="28"/>
          <w:szCs w:val="28"/>
        </w:rPr>
        <w:t>______</w:t>
      </w:r>
    </w:p>
    <w:p w14:paraId="5823ECFF" w14:textId="39B260EA" w:rsidR="008C7D23" w:rsidRDefault="008C7D23" w:rsidP="008C7D23">
      <w:pPr>
        <w:spacing w:after="0" w:line="360" w:lineRule="auto"/>
        <w:jc w:val="both"/>
        <w:rPr>
          <w:rFonts w:ascii="Arial" w:eastAsia="Arial" w:hAnsi="Arial" w:cs="Arial"/>
          <w:i/>
          <w:iCs/>
          <w:color w:val="000000" w:themeColor="text1"/>
          <w:sz w:val="26"/>
          <w:szCs w:val="26"/>
        </w:rPr>
      </w:pPr>
      <w:commentRangeStart w:id="7"/>
      <w:r>
        <w:rPr>
          <w:rFonts w:ascii="Arial" w:eastAsia="Arial" w:hAnsi="Arial" w:cs="Arial"/>
          <w:i/>
          <w:iCs/>
          <w:color w:val="000000" w:themeColor="text1"/>
          <w:sz w:val="26"/>
          <w:szCs w:val="26"/>
        </w:rPr>
        <w:t xml:space="preserve">Dispositivos relevantes citados: </w:t>
      </w:r>
      <w:r>
        <w:rPr>
          <w:rFonts w:ascii="Arial" w:eastAsia="Arial" w:hAnsi="Arial" w:cs="Arial"/>
          <w:i/>
          <w:iCs/>
          <w:color w:val="808080"/>
          <w:sz w:val="26"/>
          <w:szCs w:val="26"/>
        </w:rPr>
        <w:t xml:space="preserve">Resolução Normativa ANS nº 465/2021</w:t>
      </w:r>
      <w:r>
        <w:rPr>
          <w:rFonts w:ascii="Arial" w:eastAsia="Arial" w:hAnsi="Arial" w:cs="Arial"/>
          <w:color w:val="000000" w:themeColor="text1"/>
          <w:sz w:val="26"/>
          <w:szCs w:val="26"/>
        </w:rPr>
        <w:t xml:space="preserve">, art. </w:t>
      </w:r>
      <w:r>
        <w:rPr>
          <w:rFonts w:ascii="Arial" w:eastAsia="Arial" w:hAnsi="Arial" w:cs="Arial"/>
          <w:color w:val="808080"/>
          <w:sz w:val="26"/>
          <w:szCs w:val="26"/>
        </w:rPr>
        <w:t xml:space="preserve">6º</w:t>
      </w:r>
      <w:r>
        <w:rPr>
          <w:rFonts w:ascii="Arial" w:eastAsia="Arial" w:hAnsi="Arial" w:cs="Arial"/>
          <w:color w:val="000000" w:themeColor="text1"/>
          <w:sz w:val="26"/>
          <w:szCs w:val="26"/>
        </w:rPr>
        <w:t xml:space="preserve">, </w:t>
      </w:r>
      <w:r>
        <w:rPr>
          <w:rFonts w:ascii="Arial" w:eastAsia="Arial" w:hAnsi="Arial" w:cs="Arial"/>
          <w:color w:val="808080"/>
          <w:sz w:val="26"/>
          <w:szCs w:val="26"/>
        </w:rPr>
        <w:t xml:space="preserve">§</w:t>
      </w:r>
      <w:r>
        <w:rPr>
          <w:rFonts w:ascii="Arial" w:eastAsia="Arial" w:hAnsi="Arial" w:cs="Arial"/>
          <w:color w:val="000000" w:themeColor="text1"/>
          <w:sz w:val="26"/>
          <w:szCs w:val="26"/>
        </w:rPr>
        <w:t xml:space="preserve"> </w:t>
      </w:r>
      <w:r>
        <w:rPr>
          <w:rFonts w:ascii="Arial" w:eastAsia="Arial" w:hAnsi="Arial" w:cs="Arial"/>
          <w:color w:val="808080"/>
          <w:sz w:val="26"/>
          <w:szCs w:val="26"/>
        </w:rPr>
        <w:t xml:space="preserve">4º (acrescido pela Resolução Normativa ANS nº 539/2022)</w:t>
      </w:r>
      <w:r>
        <w:rPr>
          <w:rFonts w:ascii="Arial" w:eastAsia="Arial" w:hAnsi="Arial" w:cs="Arial"/>
          <w:color w:val="000000" w:themeColor="text1"/>
          <w:sz w:val="26"/>
          <w:szCs w:val="26"/>
        </w:rPr>
        <w:t xml:space="preserve">; Resolução Normativa ANS nº 566/2022, art. 10</w:t>
      </w:r>
      <w:r>
        <w:rPr>
          <w:rFonts w:ascii="Arial" w:eastAsia="Arial" w:hAnsi="Arial" w:cs="Arial"/>
          <w:color w:val="000000" w:themeColor="text1"/>
          <w:sz w:val="26"/>
          <w:szCs w:val="26"/>
        </w:rPr>
        <w:t xml:space="preserve">.</w:t>
      </w:r>
      <w:commentRangeEnd w:id="7"/>
      <w:r>
        <w:rPr>
          <w:rStyle w:val="CommentReference"/>
        </w:rPr>
        <w:commentReference w:id="7"/>
      </w:r>
    </w:p>
    <w:p w14:paraId="16B57CC6" w14:textId="77777777" w:rsidR="008C7D23" w:rsidRDefault="008C7D23" w:rsidP="004236F7">
      <w:pPr>
        <w:spacing w:after="0" w:line="360" w:lineRule="auto"/>
        <w:rPr>
          <w:rFonts w:ascii="Arial" w:hAnsi="Arial" w:cs="Arial"/>
          <w:sz w:val="28"/>
          <w:szCs w:val="28"/>
        </w:rPr>
      </w:pPr>
    </w:p>
    <w:p w14:paraId="0AF93FD6" w14:textId="209ADB88"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RESUMO DA DECISÃO</w:t>
      </w:r>
      <w:r>
        <w:rPr>
          <w:rFonts w:ascii="Arial" w:hAnsi="Arial" w:cs="Arial"/>
          <w:b/>
          <w:bCs/>
          <w:color w:val="EE0000"/>
          <w:sz w:val="28"/>
          <w:szCs w:val="28"/>
        </w:rPr>
        <w:t xml:space="preserve"> AGRAVADA</w:t>
      </w:r>
    </w:p>
    <w:p w14:paraId="1712AB98" w14:textId="77777777" w:rsidR="00966C79" w:rsidRPr="00966C79" w:rsidRDefault="00966C79" w:rsidP="00966C79">
      <w:pPr>
        <w:spacing w:after="0" w:line="360" w:lineRule="auto"/>
        <w:jc w:val="both"/>
        <w:rPr>
          <w:rFonts w:ascii="Arial" w:hAnsi="Arial" w:cs="Arial"/>
          <w:b/>
          <w:bCs/>
          <w:color w:val="FF0000"/>
          <w:sz w:val="28"/>
          <w:szCs w:val="28"/>
        </w:rPr>
      </w:pPr>
      <w:r w:rsidRPr="00966C79">
        <w:rPr>
          <w:rFonts w:ascii="Arial" w:hAnsi="Arial" w:cs="Arial"/>
          <w:b/>
          <w:bCs/>
          <w:color w:val="EE0000"/>
          <w:sz w:val="28"/>
          <w:szCs w:val="28"/>
        </w:rPr>
        <w:t>I. RAZÕES DE DECIDIR</w:t>
      </w:r>
    </w:p>
    <w:p w14:paraId="424D9832"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Ausência de prestador credenciado apto ao tratamento prescrito</w:t>
      </w:r>
    </w:p>
    <w:p w14:paraId="35D495EC" w14:textId="77777777" w:rsidR="00966C79" w:rsidRPr="00966C79" w:rsidRDefault="00966C79" w:rsidP="00966C79">
      <w:pPr>
        <w:numPr>
          <w:ilvl w:val="0"/>
          <w:numId w:val="4"/>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O juízo reconheceu a impossibilidade de cumprimento da obrigação de fazer pela rede credenciada da operadora, diante da inexistência de profissionais que possuam as qualificações técnicas e certificações exigidas no relatório médico da beneficiária.</w:t>
      </w:r>
    </w:p>
    <w:p w14:paraId="37885DD2"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Direito ao reembolso integral</w:t>
      </w:r>
    </w:p>
    <w:p w14:paraId="05840806" w14:textId="77777777" w:rsidR="00966C79" w:rsidRPr="00966C79" w:rsidRDefault="00966C79" w:rsidP="00966C79">
      <w:pPr>
        <w:numPr>
          <w:ilvl w:val="0"/>
          <w:numId w:val="5"/>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Entendeu ser devido o reembolso integral das despesas realizadas pela exequente, em razão da ausência de prestador credenciado apto a fornecer o tratamento indicado, com fundamento no art. 10 da Resolução Normativa ANS nº 566/2022, que prevê o reembolso integral quando o beneficiário é compelido a custear o atendimento por descumprimento das obrigações da operadora.</w:t>
      </w:r>
    </w:p>
    <w:p w14:paraId="353493A4"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Aplicação da jurisprudência do TJDFT</w:t>
      </w:r>
    </w:p>
    <w:p w14:paraId="3D10BCAA" w14:textId="77777777" w:rsidR="00966C79" w:rsidRPr="00966C79" w:rsidRDefault="00966C79" w:rsidP="00966C79">
      <w:pPr>
        <w:numPr>
          <w:ilvl w:val="0"/>
          <w:numId w:val="6"/>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A decisão adotou como paradigma acórdão do TJDFT segundo o qual é cabível o reembolso integral quando o consumidor recorre à rede particular em razão da inércia da operadora em disponibilizar ou indicar rede credenciada apta a realizar o método terapêutico prescrito pelo médico assistente.</w:t>
      </w:r>
    </w:p>
    <w:p w14:paraId="4622A78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Rejeição da tese defensiva da operadora</w:t>
      </w:r>
    </w:p>
    <w:p w14:paraId="3A82348C" w14:textId="77777777" w:rsidR="00966C79" w:rsidRPr="00966C79" w:rsidRDefault="00966C79" w:rsidP="00966C79">
      <w:pPr>
        <w:numPr>
          <w:ilvl w:val="0"/>
          <w:numId w:val="7"/>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O magistrado afastou a alegação da GEAP de que os profissionais da clínica credenciada possuiriam habilitação equivalente à exigida em relatório médico, concluindo que a rede credenciada não atende às especificações técnicas necessárias ao tratamento da beneficiária.</w:t>
      </w:r>
    </w:p>
    <w:p w14:paraId="3026A96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Descumprimento da tutela provisória</w:t>
      </w:r>
    </w:p>
    <w:p w14:paraId="563E1715" w14:textId="77777777" w:rsidR="00966C79" w:rsidRPr="00966C79" w:rsidRDefault="00966C79" w:rsidP="00966C79">
      <w:pPr>
        <w:numPr>
          <w:ilvl w:val="0"/>
          <w:numId w:val="8"/>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lastRenderedPageBreak/>
        <w:t>Reconheceu o descumprimento da decisão que havia deferido a tutela provisória, por não ter sido comprovado o efetivo fornecimento do tratamento nos moldes determinados judicialmente.</w:t>
      </w:r>
    </w:p>
    <w:p w14:paraId="270856B9" w14:textId="77777777" w:rsidR="00966C79" w:rsidRPr="00966C79" w:rsidRDefault="00966C79" w:rsidP="00966C79">
      <w:pPr>
        <w:spacing w:after="0" w:line="360" w:lineRule="auto"/>
        <w:jc w:val="both"/>
        <w:rPr>
          <w:rFonts w:ascii="Arial" w:hAnsi="Arial" w:cs="Arial"/>
          <w:b/>
          <w:bCs/>
          <w:color w:val="FF0000"/>
          <w:sz w:val="28"/>
          <w:szCs w:val="28"/>
        </w:rPr>
      </w:pPr>
      <w:r w:rsidRPr="00966C79">
        <w:rPr>
          <w:rFonts w:ascii="Arial" w:hAnsi="Arial" w:cs="Arial"/>
          <w:b/>
          <w:bCs/>
          <w:color w:val="EE0000"/>
          <w:sz w:val="28"/>
          <w:szCs w:val="28"/>
        </w:rPr>
        <w:t>II. DISPOSITIVO DA DECISÃO</w:t>
      </w:r>
    </w:p>
    <w:p w14:paraId="05F3C5BC" w14:textId="77777777" w:rsidR="00966C79" w:rsidRP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Indeferiu os pedidos formulados pela executada GEAP para afastar o custeio do tratamento fora da rede credenciada ou para limitar eventual reembolso aos valores previstos contratualmente ou na tabela da operadora.</w:t>
      </w:r>
    </w:p>
    <w:p w14:paraId="73F57E8E" w14:textId="77777777" w:rsidR="00966C79" w:rsidRP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Determinou a intimação da parte exequente para, no prazo de 10 dias, indicar estabelecimento clínico que reúna as terapias e especialidades prescritas, apresentando orçamento integral e dados bancários.</w:t>
      </w:r>
    </w:p>
    <w:p w14:paraId="2C0515CF" w14:textId="77777777" w:rsid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Após a apresentação das informações pela exequente, determinou a realização de bloqueio eletrônico de valores em favor da beneficiária, em razão do descumprimento da obrigação pela operadora.</w:t>
      </w:r>
    </w:p>
    <w:p w14:paraId="31C06327" w14:textId="77777777" w:rsidR="00966C79" w:rsidRDefault="00966C79" w:rsidP="00966C79">
      <w:pPr>
        <w:spacing w:after="0" w:line="360" w:lineRule="auto"/>
        <w:jc w:val="both"/>
        <w:rPr>
          <w:rFonts w:ascii="Arial" w:hAnsi="Arial" w:cs="Arial"/>
          <w:color w:val="FF0000"/>
          <w:sz w:val="28"/>
          <w:szCs w:val="28"/>
        </w:rPr>
      </w:pPr>
    </w:p>
    <w:p w14:paraId="6057588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RESUMO DO AGRAVO DE INSTRUMENTO</w:t>
      </w:r>
    </w:p>
    <w:p w14:paraId="11EC99C0"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color w:val="EE0000"/>
          <w:sz w:val="28"/>
          <w:szCs w:val="28"/>
        </w:rPr>
        <w:t xml:space="preserve">I. </w:t>
      </w:r>
      <w:r w:rsidRPr="00966C79">
        <w:rPr>
          <w:rFonts w:ascii="Arial" w:hAnsi="Arial" w:cs="Arial"/>
          <w:b/>
          <w:bCs/>
          <w:color w:val="EE0000"/>
          <w:sz w:val="28"/>
          <w:szCs w:val="28"/>
        </w:rPr>
        <w:t>RAZÕES RECURSAIS</w:t>
      </w:r>
    </w:p>
    <w:p w14:paraId="3CD318A4"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Cabimento e admissibilidade do recurso</w:t>
      </w:r>
    </w:p>
    <w:p w14:paraId="096526C5" w14:textId="628D997C" w:rsidR="00966C79" w:rsidRPr="00966C79" w:rsidRDefault="00966C79" w:rsidP="00966C79">
      <w:pPr>
        <w:numPr>
          <w:ilvl w:val="0"/>
          <w:numId w:val="10"/>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
        <w:t xml:space="preserve">A agravante sustenta o cabimento do agravo de instrumento com fundamento no art. 1.015, parágrafo único, do CPC, por se tratar de decisão interlocutória proferida em fase de cumprimento provisório de sentença, afirmando o preenchimento dos requisitos de admissibilidade recursal. </w:t>
      </w:r>
    </w:p>
    <w:p w14:paraId="088D0938" w14:textId="59A32349"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Aptidão da rede credenciada para cumprimento da obrigação</w:t>
      </w:r>
      <w:r w:rsidRPr="00966C79">
        <w:rPr>
          <w:rFonts w:ascii="Arial" w:hAnsi="Arial" w:cs="Arial"/>
          <w:color w:val="EE0000"/>
          <w:sz w:val="28"/>
          <w:szCs w:val="28"/>
        </w:rPr>
        <w:br/>
        <w:t xml:space="preserve">2. Alega que disponibilizou atendimento junto ao Instituto Nadja Quadros, integrante da rede credenciada, cujos profissionais possuiriam qualificação técnica compatível com as terapias </w:t>
      </w:r>
      <w:r w:rsidRPr="00966C79">
        <w:rPr>
          <w:rFonts w:ascii="Arial" w:hAnsi="Arial" w:cs="Arial"/>
          <w:color w:val="EE0000"/>
          <w:sz w:val="28"/>
          <w:szCs w:val="28"/>
        </w:rPr>
        <w:lastRenderedPageBreak/>
        <w:t xml:space="preserve">prescritas. Sustenta que a única divergência apontada refere-se à certificação BCBA, a qual afirma não possuir validade ou reconhecimento profissional no Brasil, além de não ser mais concedida a profissionais residentes fora dos Estados Unidos e Canadá. </w:t>
      </w:r>
    </w:p>
    <w:p w14:paraId="25A75EEB" w14:textId="5A0A5671"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Ausência de prova da inadequação da rede credenciada</w:t>
      </w:r>
      <w:r w:rsidRPr="00966C79">
        <w:rPr>
          <w:rFonts w:ascii="Arial" w:hAnsi="Arial" w:cs="Arial"/>
          <w:color w:val="EE0000"/>
          <w:sz w:val="28"/>
          <w:szCs w:val="28"/>
        </w:rPr>
        <w:br/>
        <w:t xml:space="preserve">3. Defende que a agravada não comprovou a existência de clínica particular apta a cumprir integralmente as exigências do relatório médico, tampouco demonstrou que eventual estabelecimento não credenciado ofereceria tratamento superior ou que a rede disponibilizada pela operadora seria tecnicamente inadequada. Argumenta que a rejeição da rede credenciada decorre de mera preferência da beneficiária e de seus familiares. </w:t>
      </w:r>
    </w:p>
    <w:p w14:paraId="20F13258" w14:textId="167678F0"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Irregularidade da determinação de bloqueio de valores</w:t>
      </w:r>
      <w:r w:rsidRPr="00966C79">
        <w:rPr>
          <w:rFonts w:ascii="Arial" w:hAnsi="Arial" w:cs="Arial"/>
          <w:color w:val="EE0000"/>
          <w:sz w:val="28"/>
          <w:szCs w:val="28"/>
        </w:rPr>
        <w:br/>
        <w:t xml:space="preserve">4. Sustenta que a decisão agravada autorizou o bloqueio de valores para custeio de tratamento particular sem prévia demonstração da aptidão técnica da clínica a ser indicada pela agravada e sem oportunizar à operadora a adoção de medidas para viabilizar o atendimento ou promover pagamento direto ao prestador. Afirma haver afronta aos princípios da cooperação processual, da boa-fé e da menor onerosidade da execução. </w:t>
      </w:r>
    </w:p>
    <w:p w14:paraId="60250CB2" w14:textId="7F77153B"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t>Necessidade de prévia comprovação da qualificação do prestador particular</w:t>
      </w:r>
      <w:r w:rsidRPr="00966C79">
        <w:rPr>
          <w:rFonts w:ascii="Arial" w:hAnsi="Arial" w:cs="Arial"/>
          <w:color w:val="EE0000"/>
          <w:sz w:val="28"/>
          <w:szCs w:val="28"/>
        </w:rPr>
        <w:br/>
        <w:t xml:space="preserve">5. Argumenta que eventual tratamento fora da rede credenciada somente pode ser autorizado após a apresentação, pela agravada, dos certificados, credenciamentos e demais documentos aptos a comprovar a efetiva qualificação técnica do estabelecimento indicado para atendimento das exigências constantes da prescrição médica. </w:t>
      </w:r>
    </w:p>
    <w:p w14:paraId="0864E162" w14:textId="47396226"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
        <w:lastRenderedPageBreak/>
        <w:t>Presença dos requisitos para concessão de efeito suspensivo</w:t>
      </w:r>
      <w:r w:rsidRPr="00966C79">
        <w:rPr>
          <w:rFonts w:ascii="Arial" w:hAnsi="Arial" w:cs="Arial"/>
          <w:color w:val="EE0000"/>
          <w:sz w:val="28"/>
          <w:szCs w:val="28"/>
        </w:rPr>
        <w:br/>
        <w:t xml:space="preserve">6. Afirma estarem presentes a probabilidade do direito e o perigo de dano, pois a manutenção da decisão agravada implica reconhecimento indevido de descumprimento da obrigação, bloqueio de ativos financeiros e imposição de medida patrimonial gravosa, apesar de a operadora sustentar estar adotando todas as providências necessárias ao cumprimento da ordem judicial. </w:t>
      </w:r>
    </w:p>
    <w:p w14:paraId="2127227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color w:val="EE0000"/>
          <w:sz w:val="28"/>
          <w:szCs w:val="28"/>
        </w:rPr>
        <w:t xml:space="preserve">II. </w:t>
      </w:r>
      <w:r w:rsidRPr="00966C79">
        <w:rPr>
          <w:rFonts w:ascii="Arial" w:hAnsi="Arial" w:cs="Arial"/>
          <w:b/>
          <w:bCs/>
          <w:color w:val="EE0000"/>
          <w:sz w:val="28"/>
          <w:szCs w:val="28"/>
        </w:rPr>
        <w:t>PEDIDO</w:t>
      </w:r>
    </w:p>
    <w:p w14:paraId="75626CCC" w14:textId="77777777" w:rsidR="00966C79" w:rsidRPr="00966C79" w:rsidRDefault="00966C79" w:rsidP="00966C79">
      <w:pPr>
        <w:numPr>
          <w:ilvl w:val="0"/>
          <w:numId w:val="11"/>
        </w:numPr>
        <w:spacing w:after="0" w:line="360" w:lineRule="auto"/>
        <w:ind w:left="0" w:firstLine="0"/>
        <w:jc w:val="both"/>
        <w:rPr>
          <w:rFonts w:ascii="Arial" w:hAnsi="Arial" w:cs="Arial"/>
          <w:color w:val="FF0000"/>
          <w:sz w:val="28"/>
          <w:szCs w:val="28"/>
        </w:rPr>
      </w:pPr>
      <w:r>
        <w:rPr>
          <w:rFonts w:ascii="Arial" w:hAnsi="Arial" w:cs="Arial"/>
          <w:color w:val="EE0000"/>
          <w:sz w:val="28"/>
          <w:szCs w:val="28"/>
        </w:rPr>
        <w:t xml:space="preserve">Requer a concessão de efeito suspensivo para sustar os efeitos da decisão agravada, especialmente quanto ao reconhecimento do descumprimento da obrigação e à determinação de bloqueio de valores. Subsidiariamente, requer que o bloqueio somente seja analisado após a comprovação da aptidão técnica da clínica indicada pela agravada e após ser facultado à operadora custear diretamente o tratamento. Ao final, requer o provimento do agravo de instrumento para reformar a decisão agravada, afastar o reconhecimento do descumprimento da obrigação e revogar a ordem de bloqueio de valores</w:t>
      </w:r>
      <w:r>
        <w:rPr>
          <w:rFonts w:ascii="Arial" w:hAnsi="Arial" w:cs="Arial"/>
          <w:color w:val="808080"/>
          <w:sz w:val="28"/>
          <w:szCs w:val="28"/>
        </w:rPr>
        <w:t xml:space="preserve">.</w:t>
      </w:r>
    </w:p>
    <w:p w14:paraId="2D51846F" w14:textId="77777777" w:rsidR="00966C79" w:rsidRPr="00966C79" w:rsidRDefault="00966C79" w:rsidP="00966C79">
      <w:pPr>
        <w:spacing w:after="0" w:line="360" w:lineRule="auto"/>
        <w:jc w:val="both"/>
        <w:rPr>
          <w:rFonts w:ascii="Arial" w:hAnsi="Arial" w:cs="Arial"/>
          <w:color w:val="FF0000"/>
          <w:sz w:val="28"/>
          <w:szCs w:val="28"/>
        </w:rPr>
      </w:pPr>
    </w:p>
    <w:p w14:paraId="7B0F693C" w14:textId="77777777" w:rsidR="00173733" w:rsidRDefault="00173733" w:rsidP="004236F7">
      <w:pPr>
        <w:spacing w:after="0" w:line="360" w:lineRule="auto"/>
        <w:rPr>
          <w:rFonts w:ascii="Arial" w:hAnsi="Arial" w:cs="Arial"/>
          <w:sz w:val="28"/>
          <w:szCs w:val="28"/>
        </w:rPr>
      </w:pPr>
    </w:p>
    <w:p w14:paraId="5743428F" w14:textId="77777777" w:rsidR="008C7D23" w:rsidRDefault="008C7D23" w:rsidP="004236F7">
      <w:pPr>
        <w:spacing w:after="0" w:line="360" w:lineRule="auto"/>
        <w:rPr>
          <w:rFonts w:ascii="Arial" w:hAnsi="Arial" w:cs="Arial"/>
          <w:sz w:val="28"/>
          <w:szCs w:val="28"/>
        </w:rPr>
      </w:pPr>
    </w:p>
    <w:p w14:paraId="5990CF02" w14:textId="529635FC" w:rsidR="007E7A70" w:rsidRPr="00D87D30" w:rsidRDefault="007E7A70" w:rsidP="004236F7">
      <w:pPr>
        <w:spacing w:after="0" w:line="360" w:lineRule="auto"/>
        <w:jc w:val="center"/>
        <w:outlineLvl w:val="0"/>
        <w:rPr>
          <w:rFonts w:ascii="Arial" w:hAnsi="Arial" w:cs="Arial"/>
          <w:b/>
          <w:bCs/>
          <w:sz w:val="28"/>
          <w:szCs w:val="28"/>
        </w:rPr>
      </w:pPr>
      <w:r w:rsidRPr="00D87D30">
        <w:rPr>
          <w:rFonts w:ascii="Arial" w:hAnsi="Arial" w:cs="Arial"/>
          <w:b/>
          <w:bCs/>
          <w:sz w:val="28"/>
          <w:szCs w:val="28"/>
        </w:rPr>
        <w:t>RELATÓRIO</w:t>
      </w:r>
    </w:p>
    <w:p w14:paraId="0FC0708F" w14:textId="77777777" w:rsidR="004236F7" w:rsidRPr="00D87D30" w:rsidRDefault="004236F7" w:rsidP="004236F7">
      <w:pPr>
        <w:spacing w:after="0" w:line="360" w:lineRule="auto"/>
        <w:ind w:firstLine="2268"/>
        <w:jc w:val="both"/>
        <w:rPr>
          <w:rFonts w:ascii="Arial" w:hAnsi="Arial" w:cs="Arial"/>
          <w:sz w:val="28"/>
          <w:szCs w:val="28"/>
        </w:rPr>
      </w:pPr>
    </w:p>
    <w:p w14:paraId="670666A1" w14:textId="6B229265" w:rsidR="000701F9" w:rsidRPr="00D87D30" w:rsidRDefault="007E7A70" w:rsidP="004236F7">
      <w:pPr>
        <w:spacing w:after="0" w:line="360" w:lineRule="auto"/>
        <w:ind w:firstLine="2268"/>
        <w:jc w:val="both"/>
        <w:rPr>
          <w:rFonts w:ascii="Arial" w:hAnsi="Arial" w:cs="Arial"/>
          <w:sz w:val="28"/>
          <w:szCs w:val="28"/>
        </w:rPr>
      </w:pPr>
      <w:r w:rsidRPr="00D87D30">
        <w:rPr>
          <w:rFonts w:ascii="Arial" w:hAnsi="Arial" w:cs="Arial"/>
          <w:sz w:val="28"/>
          <w:szCs w:val="28"/>
        </w:rPr>
        <w:t xml:space="preserve">Adoto o relatório da liminar (ID </w:t>
      </w:r>
      <w:r w:rsidR="00D87D30" w:rsidRPr="00D87D30">
        <w:rPr>
          <w:rFonts w:ascii="Arial" w:hAnsi="Arial" w:cs="Arial"/>
          <w:sz w:val="28"/>
          <w:szCs w:val="28"/>
        </w:rPr>
        <w:t>86535037</w:t>
      </w:r>
      <w:r w:rsidR="000701F9" w:rsidRPr="00D87D30">
        <w:rPr>
          <w:rFonts w:ascii="Arial" w:hAnsi="Arial" w:cs="Arial"/>
          <w:sz w:val="28"/>
          <w:szCs w:val="28"/>
        </w:rPr>
        <w:t>):</w:t>
      </w:r>
    </w:p>
    <w:p w14:paraId="67A422FD" w14:textId="77777777" w:rsidR="004236F7" w:rsidRPr="00D87D30" w:rsidRDefault="004236F7" w:rsidP="004236F7">
      <w:pPr>
        <w:spacing w:after="0" w:line="360" w:lineRule="auto"/>
        <w:ind w:firstLine="2268"/>
        <w:jc w:val="both"/>
        <w:rPr>
          <w:rFonts w:ascii="Arial" w:hAnsi="Arial" w:cs="Arial"/>
          <w:sz w:val="28"/>
          <w:szCs w:val="28"/>
        </w:rPr>
      </w:pPr>
    </w:p>
    <w:p w14:paraId="3B98A74E" w14:textId="77777777" w:rsidR="00D87D30" w:rsidRPr="00D87D30" w:rsidRDefault="004236F7" w:rsidP="004236F7">
      <w:pPr>
        <w:spacing w:after="0" w:line="360" w:lineRule="auto"/>
        <w:ind w:left="2268" w:firstLine="1134"/>
        <w:jc w:val="both"/>
        <w:rPr>
          <w:rFonts w:ascii="Arial" w:hAnsi="Arial" w:cs="Arial"/>
          <w:i/>
          <w:iCs/>
          <w:sz w:val="26"/>
          <w:szCs w:val="26"/>
        </w:rPr>
      </w:pPr>
      <w:r w:rsidRPr="00D87D30">
        <w:rPr>
          <w:rFonts w:ascii="Arial" w:hAnsi="Arial" w:cs="Arial"/>
          <w:sz w:val="26"/>
          <w:szCs w:val="26"/>
        </w:rPr>
        <w:t>“</w:t>
      </w:r>
      <w:r w:rsidR="00D87D30" w:rsidRPr="00D87D30">
        <w:rPr>
          <w:rFonts w:ascii="Arial" w:hAnsi="Arial" w:cs="Arial"/>
          <w:i/>
          <w:iCs/>
          <w:sz w:val="26"/>
          <w:szCs w:val="26"/>
        </w:rPr>
        <w:t xml:space="preserve">Cuida-se, na origem, de cumprimento provisório de decisão proferida na ação de obrigação de fazer nº 0746572-27.2025.8.07.0001, proposta por B. S. L. (12 anos), em face de Geap Autogestão em </w:t>
      </w:r>
      <w:r w:rsidR="00D87D30" w:rsidRPr="00D87D30">
        <w:rPr>
          <w:rFonts w:ascii="Arial" w:hAnsi="Arial" w:cs="Arial"/>
          <w:i/>
          <w:iCs/>
          <w:sz w:val="26"/>
          <w:szCs w:val="26"/>
        </w:rPr>
        <w:lastRenderedPageBreak/>
        <w:t xml:space="preserve">Saúde, na qual se discute o fornecimento e o custeio de terapêutica multidisciplinar prescrita em relatório médico, preferencialmente em rede credenciada e, em caso de inviabilidade, em rede particular. </w:t>
      </w:r>
    </w:p>
    <w:p w14:paraId="2DB41BA0" w14:textId="77777777" w:rsidR="00D87D30"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 xml:space="preserve">Na decisão agravada, o Juízo de origem entendeu que não houve demonstração de cumprimento adequado da obrigação na rede credenciada, por considerar ausentes profissionais com as qualificações técnicas e certificações indicadas no relatório médico, indeferiu os requerimentos formulados pela executada e determinou a intimação da parte exequente para indicar estabelecimento clínico apto a reunir as terapias e especialidades prescritas, com apresentação de orçamento integral e dados bancários, para posterior bloqueio eletrônico dos valores (ID 279838122, origem). </w:t>
      </w:r>
    </w:p>
    <w:p w14:paraId="6D11BCDA" w14:textId="77777777" w:rsidR="00D87D30"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 xml:space="preserve">Inconformada, a executada interpôs o presente agravo de instrumento alegando, em síntese, que: 1) a decisão originária priorizou o atendimento em rede credenciada e apenas admitiu custeio em rede particular mediante prévia indicação, pela parte autora, de estabelecimento clínico apto; 2) o Instituto Nadja Quadros disponibilizado pela operadora possuiria profissionais com habilitação equivalente à exigida no relatório médico, sendo indevida a exigência de certificações específicas, notadamente a BCBA; 3) a parte agravada não comprovou a inadequação da rede credenciada nem indicou clínica particular tecnicamente apta a prestar o tratamento; 4) a determinação de apresentação de orçamento e posterior bloqueio de valores seria prematura, </w:t>
      </w:r>
      <w:r w:rsidRPr="00D87D30">
        <w:rPr>
          <w:rFonts w:ascii="Arial" w:hAnsi="Arial" w:cs="Arial"/>
          <w:i/>
          <w:iCs/>
          <w:sz w:val="26"/>
          <w:szCs w:val="26"/>
        </w:rPr>
        <w:lastRenderedPageBreak/>
        <w:t xml:space="preserve">excessivamente gravosa e deveria ser substituída, ao menos, pela prévia comprovação da aptidão técnica do prestador particular e pela possibilidade de pagamento direto pela operadora. </w:t>
      </w:r>
    </w:p>
    <w:p w14:paraId="1EDF24DF" w14:textId="71949B2B" w:rsidR="004236F7"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Requer a concessão de efeito suspensivo para sustar os efeitos da decisão agravada, especialmente quanto ao reconhecimento de suposto descumprimento da obrigação e à determinação de bloqueio de valores, bem como, ao final, o provimento do agravo para afastar a constrição patrimonial e condicionar eventual atendimento fora da rede credenciada à prévia comprovação da aptidão técnica do estabelecimento indicado, com oportunidade de custeio direto pela agravante (ID 86470531).</w:t>
      </w:r>
      <w:r w:rsidRPr="00D87D30">
        <w:rPr>
          <w:rFonts w:ascii="Arial" w:hAnsi="Arial" w:cs="Arial"/>
          <w:i/>
          <w:iCs/>
          <w:sz w:val="26"/>
          <w:szCs w:val="26"/>
        </w:rPr>
        <w:t xml:space="preserve"> </w:t>
      </w:r>
      <w:r w:rsidR="004236F7" w:rsidRPr="00D87D30">
        <w:rPr>
          <w:rFonts w:ascii="Arial" w:hAnsi="Arial" w:cs="Arial"/>
          <w:i/>
          <w:iCs/>
          <w:sz w:val="26"/>
          <w:szCs w:val="26"/>
        </w:rPr>
        <w:t>(...)”</w:t>
      </w:r>
    </w:p>
    <w:p w14:paraId="71963422" w14:textId="77777777" w:rsidR="004236F7" w:rsidRPr="00D87D30" w:rsidRDefault="004236F7" w:rsidP="004236F7">
      <w:pPr>
        <w:spacing w:after="0" w:line="360" w:lineRule="auto"/>
        <w:ind w:firstLine="2268"/>
        <w:jc w:val="both"/>
        <w:rPr>
          <w:rFonts w:ascii="Arial" w:hAnsi="Arial" w:cs="Arial"/>
          <w:sz w:val="28"/>
          <w:szCs w:val="28"/>
        </w:rPr>
      </w:pPr>
    </w:p>
    <w:p w14:paraId="1941FE6A" w14:textId="74037885" w:rsidR="004236F7" w:rsidRPr="00D87D30" w:rsidRDefault="004236F7" w:rsidP="004236F7">
      <w:pPr>
        <w:spacing w:after="0" w:line="360" w:lineRule="auto"/>
        <w:ind w:firstLine="2268"/>
        <w:jc w:val="both"/>
        <w:rPr>
          <w:rFonts w:ascii="Arial" w:hAnsi="Arial" w:cs="Arial"/>
          <w:sz w:val="28"/>
          <w:szCs w:val="28"/>
        </w:rPr>
      </w:pPr>
      <w:commentRangeStart w:id="8"/>
      <w:r>
        <w:rPr>
          <w:rFonts w:ascii="Arial" w:hAnsi="Arial" w:cs="Arial"/>
          <w:sz w:val="28"/>
          <w:szCs w:val="28"/>
        </w:rPr>
        <w:t xml:space="preserve">Deferi </w:t>
      </w:r>
      <w:r>
        <w:rPr>
          <w:rFonts w:ascii="Arial" w:hAnsi="Arial" w:cs="Arial"/>
          <w:sz w:val="28"/>
          <w:szCs w:val="28"/>
        </w:rPr>
        <w:t xml:space="preserve">em parte </w:t>
      </w:r>
      <w:r>
        <w:rPr>
          <w:rFonts w:ascii="Arial" w:hAnsi="Arial" w:cs="Arial"/>
          <w:sz w:val="28"/>
          <w:szCs w:val="28"/>
        </w:rPr>
        <w:t xml:space="preserve">o efeito suspensivo </w:t>
      </w:r>
      <w:r>
        <w:rPr>
          <w:rFonts w:ascii="Arial" w:hAnsi="Arial" w:cs="Arial"/>
          <w:sz w:val="28"/>
          <w:szCs w:val="28"/>
        </w:rPr>
        <w:t xml:space="preserve">apenas para sustar a realização de bloqueio eletrônico automático de valores até que, indicada a clínica pela parte exequente/</w:t>
      </w:r>
      <w:r>
        <w:rPr>
          <w:rFonts w:ascii="Arial" w:hAnsi="Arial" w:cs="Arial"/>
          <w:sz w:val="28"/>
          <w:szCs w:val="28"/>
        </w:rPr>
        <w:t xml:space="preserve">agravada e apresentado o respectivo orçamento, seja oportunizada manifestação prévia da agravante, no prazo a ser fixado pelo Juízo de origem, sobre a aptidão técnica do estabelecimento, a razoabilidade do orçamento e eventual possibilidade de custeio direto do tratamento, sem prejuízo da manutenção das demais determinações da decisão agravada</w:t>
      </w:r>
      <w:r>
        <w:rPr>
          <w:rFonts w:ascii="Arial" w:hAnsi="Arial" w:cs="Arial"/>
          <w:sz w:val="28"/>
          <w:szCs w:val="28"/>
        </w:rPr>
        <w:t xml:space="preserve"> (ID</w:t>
      </w:r>
      <w:r>
        <w:rPr>
          <w:rFonts w:ascii="Arial" w:hAnsi="Arial" w:cs="Arial"/>
          <w:sz w:val="28"/>
          <w:szCs w:val="28"/>
        </w:rPr>
        <w:t xml:space="preserve"> </w:t>
      </w:r>
      <w:r>
        <w:rPr>
          <w:rFonts w:ascii="Arial" w:hAnsi="Arial" w:cs="Arial"/>
          <w:sz w:val="28"/>
          <w:szCs w:val="28"/>
        </w:rPr>
        <w:t xml:space="preserve">86535037</w:t>
      </w:r>
      <w:r>
        <w:rPr>
          <w:rFonts w:ascii="Arial" w:hAnsi="Arial" w:cs="Arial"/>
          <w:sz w:val="28"/>
          <w:szCs w:val="28"/>
        </w:rPr>
        <w:t xml:space="preserve">).</w:t>
      </w:r>
      <w:commentRangeEnd w:id="8"/>
      <w:r>
        <w:rPr>
          <w:rStyle w:val="CommentReference"/>
        </w:rPr>
        <w:commentReference w:id="8"/>
      </w:r>
    </w:p>
    <w:p w14:paraId="4973C4B3" w14:textId="50ED95F2" w:rsidR="6BAC55FA" w:rsidRPr="00D87D30" w:rsidRDefault="6BAC55FA" w:rsidP="6BAC55FA">
      <w:pPr>
        <w:spacing w:after="0" w:line="360" w:lineRule="auto"/>
        <w:ind w:firstLine="2268"/>
        <w:jc w:val="both"/>
        <w:rPr>
          <w:rFonts w:ascii="Arial" w:hAnsi="Arial" w:cs="Arial"/>
          <w:sz w:val="28"/>
          <w:szCs w:val="28"/>
        </w:rPr>
      </w:pPr>
    </w:p>
    <w:p w14:paraId="08FF519F" w14:textId="7A5C13F8" w:rsidR="00D87D30" w:rsidRDefault="79F68BA2" w:rsidP="00D87D30">
      <w:pPr>
        <w:spacing w:after="0" w:line="360" w:lineRule="auto"/>
        <w:ind w:firstLine="2268"/>
        <w:jc w:val="both"/>
        <w:rPr>
          <w:rFonts w:ascii="Arial" w:hAnsi="Arial" w:cs="Arial"/>
          <w:sz w:val="28"/>
          <w:szCs w:val="28"/>
        </w:rPr>
      </w:pPr>
      <w:r w:rsidRPr="00D87D30">
        <w:rPr>
          <w:rFonts w:ascii="Arial" w:hAnsi="Arial" w:cs="Arial"/>
          <w:sz w:val="28"/>
          <w:szCs w:val="28"/>
        </w:rPr>
        <w:t>Contrarrazões ao agravo de instrumento (ID</w:t>
      </w:r>
      <w:r w:rsidR="00D87D30" w:rsidRPr="00D87D30">
        <w:rPr>
          <w:rFonts w:ascii="Arial" w:hAnsi="Arial" w:cs="Arial"/>
          <w:sz w:val="28"/>
          <w:szCs w:val="28"/>
        </w:rPr>
        <w:t xml:space="preserve"> </w:t>
      </w:r>
      <w:r w:rsidR="00D87D30" w:rsidRPr="00D87D30">
        <w:rPr>
          <w:rFonts w:ascii="Arial" w:hAnsi="Arial" w:cs="Arial"/>
          <w:sz w:val="28"/>
          <w:szCs w:val="28"/>
        </w:rPr>
        <w:t>87537217</w:t>
      </w:r>
      <w:r w:rsidRPr="00D87D30">
        <w:rPr>
          <w:rFonts w:ascii="Arial" w:hAnsi="Arial" w:cs="Arial"/>
          <w:sz w:val="28"/>
          <w:szCs w:val="28"/>
        </w:rPr>
        <w:t xml:space="preserve">), em que o agravado alega que: </w:t>
      </w:r>
      <w:r w:rsidRPr="00D87D30">
        <w:rPr>
          <w:rFonts w:ascii="Arial" w:hAnsi="Arial" w:cs="Arial"/>
          <w:b/>
          <w:bCs/>
          <w:sz w:val="28"/>
          <w:szCs w:val="28"/>
        </w:rPr>
        <w:t>1)</w:t>
      </w:r>
      <w:r w:rsidR="00D87D30" w:rsidRPr="00D87D30">
        <w:rPr>
          <w:rFonts w:ascii="Arial" w:hAnsi="Arial" w:cs="Arial"/>
          <w:b/>
          <w:bCs/>
          <w:sz w:val="28"/>
          <w:szCs w:val="28"/>
        </w:rPr>
        <w:t xml:space="preserve"> </w:t>
      </w:r>
      <w:r w:rsidR="00D87D30" w:rsidRPr="00D87D30">
        <w:rPr>
          <w:rFonts w:ascii="Arial" w:hAnsi="Arial" w:cs="Arial"/>
          <w:sz w:val="28"/>
          <w:szCs w:val="28"/>
        </w:rPr>
        <w:t xml:space="preserve">a clínica credenciada indicada pela agravante (Nadja Quadros) não atende integralmente às exigências do relatório médico e da tutela de urgência, por não possuir todos os profissionais, qualificações e especialidades </w:t>
      </w:r>
      <w:r w:rsidR="00D87D30" w:rsidRPr="00D87D30">
        <w:rPr>
          <w:rFonts w:ascii="Arial" w:hAnsi="Arial" w:cs="Arial"/>
          <w:sz w:val="28"/>
          <w:szCs w:val="28"/>
        </w:rPr>
        <w:lastRenderedPageBreak/>
        <w:t>prescritas, nem garantir a carga horária determinada pela médica assistente;</w:t>
      </w:r>
      <w:r w:rsidRPr="00D87D30">
        <w:rPr>
          <w:rFonts w:ascii="Arial" w:hAnsi="Arial" w:cs="Arial"/>
          <w:b/>
          <w:bCs/>
          <w:sz w:val="28"/>
          <w:szCs w:val="28"/>
        </w:rPr>
        <w:t xml:space="preserve"> 2)</w:t>
      </w:r>
      <w:r w:rsidR="00D87D30" w:rsidRPr="00D87D30">
        <w:rPr>
          <w:rFonts w:ascii="Arial" w:hAnsi="Arial" w:cs="Arial"/>
          <w:b/>
          <w:bCs/>
          <w:sz w:val="28"/>
          <w:szCs w:val="28"/>
        </w:rPr>
        <w:t xml:space="preserve"> </w:t>
      </w:r>
      <w:r w:rsidR="00D87D30" w:rsidRPr="00D87D30">
        <w:rPr>
          <w:rFonts w:ascii="Arial" w:hAnsi="Arial" w:cs="Arial"/>
          <w:sz w:val="28"/>
          <w:szCs w:val="28"/>
        </w:rPr>
        <w:t xml:space="preserve">a agravante descumpriu a decisão judicial ao tentar adaptar a prescrição médica e indicar prestadora inapta, razão pela qual permanece legítima a determinação de custeio integral do tratamento em rede particular; </w:t>
      </w:r>
      <w:r w:rsidRPr="00D87D30">
        <w:rPr>
          <w:rFonts w:ascii="Arial" w:hAnsi="Arial" w:cs="Arial"/>
          <w:b/>
          <w:bCs/>
          <w:sz w:val="28"/>
          <w:szCs w:val="28"/>
        </w:rPr>
        <w:t>3)</w:t>
      </w:r>
      <w:r w:rsidR="00D87D30" w:rsidRPr="00D87D30">
        <w:rPr>
          <w:rFonts w:ascii="Arial" w:hAnsi="Arial" w:cs="Arial"/>
          <w:b/>
          <w:bCs/>
          <w:sz w:val="28"/>
          <w:szCs w:val="28"/>
        </w:rPr>
        <w:t xml:space="preserve"> </w:t>
      </w:r>
      <w:r w:rsidR="00D87D30" w:rsidRPr="00D87D30">
        <w:rPr>
          <w:rFonts w:ascii="Arial" w:hAnsi="Arial" w:cs="Arial"/>
          <w:sz w:val="28"/>
          <w:szCs w:val="28"/>
        </w:rPr>
        <w:t>é incabível a manutenção do efeito suspensivo, pois não estão presentes os requisitos da probabilidade do direito e do perigo de dano, além de a normativa da ANS exigir atendimento por prestador apto a executar o método e as técnicas indicados pelo médico assistente</w:t>
      </w:r>
      <w:r w:rsidR="00D87D30" w:rsidRPr="00D87D30">
        <w:rPr>
          <w:rFonts w:ascii="Arial" w:hAnsi="Arial" w:cs="Arial"/>
          <w:sz w:val="28"/>
          <w:szCs w:val="28"/>
        </w:rPr>
        <w:t>.</w:t>
      </w:r>
    </w:p>
    <w:p w14:paraId="66B48372" w14:textId="77777777" w:rsidR="00D87D30" w:rsidRPr="00D87D30" w:rsidRDefault="00D87D30" w:rsidP="00D87D30">
      <w:pPr>
        <w:spacing w:after="0" w:line="360" w:lineRule="auto"/>
        <w:ind w:firstLine="2268"/>
        <w:jc w:val="both"/>
        <w:rPr>
          <w:rFonts w:ascii="Arial" w:hAnsi="Arial" w:cs="Arial"/>
          <w:b/>
          <w:bCs/>
          <w:sz w:val="28"/>
          <w:szCs w:val="28"/>
        </w:rPr>
      </w:pPr>
    </w:p>
    <w:p w14:paraId="27879B09" w14:textId="3A0E4CF4" w:rsidR="004236F7" w:rsidRPr="00D87D30" w:rsidRDefault="00D87D30" w:rsidP="004236F7">
      <w:pPr>
        <w:spacing w:after="0" w:line="360" w:lineRule="auto"/>
        <w:ind w:firstLine="2268"/>
        <w:jc w:val="both"/>
        <w:rPr>
          <w:rFonts w:ascii="Arial" w:hAnsi="Arial" w:cs="Arial"/>
          <w:sz w:val="28"/>
          <w:szCs w:val="28"/>
        </w:rPr>
      </w:pPr>
      <w:r w:rsidRPr="00D87D30">
        <w:rPr>
          <w:rFonts w:ascii="Arial" w:hAnsi="Arial" w:cs="Arial"/>
          <w:sz w:val="28"/>
          <w:szCs w:val="28"/>
        </w:rPr>
        <w:t>Manifestação da Procuradoria de Justiça pelo conhecimento e parcial provimento do agravo de instrumento, para confirmar a decisão de segundo grau que deferiu parcialmente o efeito suspensivo e condicionar o bloqueio eletrônico à prévia manifestação da agravante, em prazo fixado pelo Juízo de origem, sobre a aptidão técnica da clínica indicada, a razoabilidade do orçamento e a possibilidade de custeio direto, mantidas as demais determinações da decisão agravada</w:t>
      </w:r>
      <w:r w:rsidRPr="00D87D30">
        <w:rPr>
          <w:rFonts w:ascii="Arial" w:hAnsi="Arial" w:cs="Arial"/>
          <w:sz w:val="28"/>
          <w:szCs w:val="28"/>
        </w:rPr>
        <w:t xml:space="preserve"> (ID </w:t>
      </w:r>
      <w:r w:rsidRPr="00D87D30">
        <w:rPr>
          <w:rFonts w:ascii="Arial" w:hAnsi="Arial" w:cs="Arial"/>
          <w:sz w:val="28"/>
          <w:szCs w:val="28"/>
        </w:rPr>
        <w:t>90177103</w:t>
      </w:r>
      <w:r w:rsidRPr="00D87D30">
        <w:rPr>
          <w:rFonts w:ascii="Arial" w:hAnsi="Arial" w:cs="Arial"/>
          <w:sz w:val="28"/>
          <w:szCs w:val="28"/>
        </w:rPr>
        <w:t>).</w:t>
      </w:r>
    </w:p>
    <w:p w14:paraId="2A32A233" w14:textId="77777777" w:rsidR="00D87D30" w:rsidRPr="00D87D30" w:rsidRDefault="00D87D30" w:rsidP="004236F7">
      <w:pPr>
        <w:spacing w:after="0" w:line="360" w:lineRule="auto"/>
        <w:ind w:firstLine="2268"/>
        <w:jc w:val="both"/>
        <w:rPr>
          <w:rFonts w:ascii="Arial" w:hAnsi="Arial" w:cs="Arial"/>
          <w:sz w:val="28"/>
          <w:szCs w:val="28"/>
        </w:rPr>
      </w:pPr>
    </w:p>
    <w:p w14:paraId="64D076FE" w14:textId="19CCEB41" w:rsidR="004236F7" w:rsidRPr="00D87D30" w:rsidRDefault="004236F7" w:rsidP="00BC1A88">
      <w:pPr>
        <w:spacing w:after="0" w:line="360" w:lineRule="auto"/>
        <w:ind w:firstLine="2268"/>
        <w:jc w:val="both"/>
        <w:rPr>
          <w:rFonts w:ascii="Arial" w:hAnsi="Arial" w:cs="Arial"/>
          <w:sz w:val="28"/>
          <w:szCs w:val="28"/>
        </w:rPr>
      </w:pPr>
      <w:r w:rsidRPr="00D87D30">
        <w:rPr>
          <w:rFonts w:ascii="Arial" w:hAnsi="Arial" w:cs="Arial"/>
          <w:sz w:val="28"/>
          <w:szCs w:val="28"/>
        </w:rPr>
        <w:t>É o relatório.</w:t>
      </w:r>
    </w:p>
    <w:p w14:paraId="2C71DFA4" w14:textId="77777777" w:rsidR="004236F7" w:rsidRDefault="004236F7" w:rsidP="004236F7">
      <w:pPr>
        <w:spacing w:after="0" w:line="360" w:lineRule="auto"/>
        <w:ind w:firstLine="2268"/>
        <w:jc w:val="both"/>
        <w:rPr>
          <w:rFonts w:ascii="Arial" w:hAnsi="Arial" w:cs="Arial"/>
          <w:sz w:val="28"/>
          <w:szCs w:val="28"/>
        </w:rPr>
      </w:pPr>
    </w:p>
    <w:p w14:paraId="279D699A" w14:textId="77777777" w:rsidR="004236F7" w:rsidRPr="00355C73" w:rsidRDefault="004236F7" w:rsidP="004236F7">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CE8F64F" w14:textId="77777777" w:rsidR="004236F7" w:rsidRDefault="004236F7" w:rsidP="004236F7">
      <w:pPr>
        <w:spacing w:after="0" w:line="360" w:lineRule="auto"/>
        <w:ind w:firstLine="2268"/>
        <w:jc w:val="both"/>
        <w:rPr>
          <w:rFonts w:ascii="Arial" w:hAnsi="Arial" w:cs="Arial"/>
          <w:sz w:val="28"/>
          <w:szCs w:val="28"/>
        </w:rPr>
      </w:pPr>
    </w:p>
    <w:p w14:paraId="703E2BD5" w14:textId="77777777" w:rsidR="004236F7" w:rsidRPr="00355C73" w:rsidRDefault="004236F7" w:rsidP="004236F7">
      <w:pPr>
        <w:spacing w:after="0" w:line="360" w:lineRule="auto"/>
        <w:jc w:val="both"/>
        <w:rPr>
          <w:rFonts w:ascii="Arial" w:hAnsi="Arial" w:cs="Arial"/>
          <w:b/>
          <w:bCs/>
          <w:sz w:val="28"/>
          <w:szCs w:val="28"/>
        </w:rPr>
      </w:pPr>
      <w:r w:rsidRPr="2DA0D32B">
        <w:rPr>
          <w:rFonts w:ascii="Arial" w:hAnsi="Arial" w:cs="Arial"/>
          <w:b/>
          <w:bCs/>
          <w:sz w:val="28"/>
          <w:szCs w:val="28"/>
        </w:rPr>
        <w:t>O Senhor Desembargador SÉRGIO ROCHA – Relator.</w:t>
      </w:r>
    </w:p>
    <w:p w14:paraId="1C24833E" w14:textId="77777777" w:rsidR="004236F7" w:rsidRDefault="004236F7" w:rsidP="004236F7">
      <w:pPr>
        <w:spacing w:after="0" w:line="360" w:lineRule="auto"/>
        <w:ind w:firstLine="2268"/>
        <w:jc w:val="both"/>
        <w:rPr>
          <w:rFonts w:ascii="Arial" w:hAnsi="Arial" w:cs="Arial"/>
          <w:sz w:val="28"/>
          <w:szCs w:val="28"/>
        </w:rPr>
      </w:pPr>
    </w:p>
    <w:p w14:paraId="000EB374" w14:textId="77C34C47" w:rsidR="004236F7" w:rsidRDefault="004236F7" w:rsidP="00D87D30">
      <w:pPr>
        <w:spacing w:after="0" w:line="360" w:lineRule="auto"/>
        <w:jc w:val="center"/>
        <w:rPr>
          <w:rFonts w:ascii="Arial" w:hAnsi="Arial" w:cs="Arial"/>
          <w:b/>
          <w:bCs/>
          <w:color w:val="000000" w:themeColor="text1"/>
          <w:sz w:val="28"/>
          <w:szCs w:val="28"/>
        </w:rPr>
      </w:pPr>
      <w:r w:rsidRPr="37BE17C0">
        <w:rPr>
          <w:rFonts w:ascii="Arial" w:hAnsi="Arial" w:cs="Arial"/>
          <w:b/>
          <w:bCs/>
          <w:color w:val="000000" w:themeColor="text1"/>
          <w:sz w:val="28"/>
          <w:szCs w:val="28"/>
        </w:rPr>
        <w:t>AGRAVO DE INSTRUMENTO D</w:t>
      </w:r>
      <w:r w:rsidR="00D87D30">
        <w:rPr>
          <w:rFonts w:ascii="Arial" w:hAnsi="Arial" w:cs="Arial"/>
          <w:b/>
          <w:bCs/>
          <w:color w:val="000000" w:themeColor="text1"/>
          <w:sz w:val="28"/>
          <w:szCs w:val="28"/>
        </w:rPr>
        <w:t>A</w:t>
      </w:r>
      <w:r w:rsidRPr="37BE17C0">
        <w:rPr>
          <w:rFonts w:ascii="Arial" w:hAnsi="Arial" w:cs="Arial"/>
          <w:b/>
          <w:bCs/>
          <w:color w:val="000000" w:themeColor="text1"/>
          <w:sz w:val="28"/>
          <w:szCs w:val="28"/>
        </w:rPr>
        <w:t xml:space="preserve"> EXECUTAD</w:t>
      </w:r>
      <w:r w:rsidR="00D87D30">
        <w:rPr>
          <w:rFonts w:ascii="Arial" w:hAnsi="Arial" w:cs="Arial"/>
          <w:b/>
          <w:bCs/>
          <w:color w:val="000000" w:themeColor="text1"/>
          <w:sz w:val="28"/>
          <w:szCs w:val="28"/>
        </w:rPr>
        <w:t>A</w:t>
      </w:r>
      <w:r w:rsidRPr="37BE17C0">
        <w:rPr>
          <w:rFonts w:ascii="Arial" w:hAnsi="Arial" w:cs="Arial"/>
          <w:b/>
          <w:bCs/>
          <w:color w:val="000000" w:themeColor="text1"/>
          <w:sz w:val="28"/>
          <w:szCs w:val="28"/>
        </w:rPr>
        <w:t xml:space="preserve">, </w:t>
      </w:r>
      <w:r w:rsidR="00D87D30" w:rsidRPr="00D87D30">
        <w:rPr>
          <w:rFonts w:ascii="Arial" w:hAnsi="Arial" w:cs="Arial"/>
          <w:b/>
          <w:bCs/>
          <w:color w:val="000000" w:themeColor="text1"/>
          <w:sz w:val="28"/>
          <w:szCs w:val="28"/>
        </w:rPr>
        <w:t>GEAP AUTOGESTÃO EM SAÚDE</w:t>
      </w:r>
    </w:p>
    <w:p w14:paraId="60E3C601" w14:textId="77777777" w:rsidR="00D87D30" w:rsidRDefault="00D87D30" w:rsidP="00D87D30">
      <w:pPr>
        <w:spacing w:after="0" w:line="360" w:lineRule="auto"/>
        <w:jc w:val="center"/>
        <w:rPr>
          <w:rFonts w:ascii="Arial" w:hAnsi="Arial" w:cs="Arial"/>
          <w:color w:val="000000" w:themeColor="text1"/>
          <w:sz w:val="28"/>
          <w:szCs w:val="28"/>
        </w:rPr>
      </w:pPr>
    </w:p>
    <w:p w14:paraId="4F070E87" w14:textId="1D30049C" w:rsidR="004236F7" w:rsidRPr="00BC1A88" w:rsidRDefault="004236F7" w:rsidP="6708FB6D">
      <w:pPr>
        <w:spacing w:after="0" w:line="360" w:lineRule="auto"/>
        <w:ind w:firstLine="2268"/>
        <w:jc w:val="both"/>
        <w:rPr>
          <w:rFonts w:ascii="Arial" w:hAnsi="Arial" w:cs="Arial"/>
          <w:strike/>
          <w:color w:val="000000" w:themeColor="text1"/>
          <w:sz w:val="28"/>
          <w:szCs w:val="28"/>
        </w:rPr>
      </w:pPr>
      <w:r w:rsidRPr="6708FB6D">
        <w:rPr>
          <w:rFonts w:ascii="Arial" w:hAnsi="Arial" w:cs="Arial"/>
          <w:color w:val="000000" w:themeColor="text1"/>
          <w:sz w:val="28"/>
          <w:szCs w:val="28"/>
        </w:rPr>
        <w:lastRenderedPageBreak/>
        <w:t>Presentes os pressupostos de admissibilidade, conheço do agravo de instrumento</w:t>
      </w:r>
      <w:r w:rsidR="00BC1A88">
        <w:rPr>
          <w:rFonts w:ascii="Arial" w:hAnsi="Arial" w:cs="Arial"/>
          <w:color w:val="000000" w:themeColor="text1"/>
          <w:sz w:val="28"/>
          <w:szCs w:val="28"/>
        </w:rPr>
        <w:t>.</w:t>
      </w:r>
      <w:r w:rsidRPr="6708FB6D">
        <w:rPr>
          <w:rFonts w:ascii="Arial" w:hAnsi="Arial" w:cs="Arial"/>
          <w:color w:val="000000" w:themeColor="text1"/>
          <w:sz w:val="28"/>
          <w:szCs w:val="28"/>
        </w:rPr>
        <w:t xml:space="preserve"> </w:t>
      </w:r>
    </w:p>
    <w:p w14:paraId="5CC54362" w14:textId="77777777" w:rsidR="004236F7" w:rsidRDefault="004236F7" w:rsidP="004236F7">
      <w:pPr>
        <w:spacing w:after="0" w:line="360" w:lineRule="auto"/>
        <w:ind w:firstLine="2268"/>
        <w:jc w:val="both"/>
        <w:rPr>
          <w:rFonts w:ascii="Arial" w:hAnsi="Arial" w:cs="Arial"/>
          <w:sz w:val="28"/>
          <w:szCs w:val="28"/>
        </w:rPr>
      </w:pPr>
    </w:p>
    <w:p w14:paraId="03E67D08" w14:textId="7066019C" w:rsidR="004236F7" w:rsidRDefault="000B1F20" w:rsidP="000B1F20">
      <w:pPr>
        <w:spacing w:after="0" w:line="360" w:lineRule="auto"/>
        <w:jc w:val="center"/>
        <w:rPr>
          <w:rFonts w:ascii="Arial" w:hAnsi="Arial" w:cs="Arial"/>
          <w:sz w:val="28"/>
          <w:szCs w:val="28"/>
        </w:rPr>
      </w:pPr>
      <w:commentRangeStart w:id="9"/>
      <w:r>
        <w:rPr>
          <w:rFonts w:ascii="Arial" w:hAnsi="Arial" w:cs="Arial"/>
          <w:sz w:val="28"/>
          <w:szCs w:val="28"/>
          <w:highlight w:val="yellow"/>
        </w:rPr>
        <w:t xml:space="preserve">DA </w:t>
      </w:r>
      <w:r>
        <w:rPr>
          <w:rFonts w:ascii="Arial" w:hAnsi="Arial" w:cs="Arial"/>
          <w:color w:val="808080"/>
          <w:sz w:val="28"/>
          <w:szCs w:val="28"/>
          <w:highlight w:val="yellow"/>
        </w:rPr>
        <w:t xml:space="preserve">INAPTIDÃO</w:t>
      </w:r>
      <w:r>
        <w:rPr>
          <w:rFonts w:ascii="Arial" w:hAnsi="Arial" w:cs="Arial"/>
          <w:sz w:val="28"/>
          <w:szCs w:val="28"/>
          <w:highlight w:val="yellow"/>
        </w:rPr>
        <w:t xml:space="preserve"> DA </w:t>
      </w:r>
      <w:r>
        <w:rPr>
          <w:rFonts w:ascii="Arial" w:hAnsi="Arial" w:cs="Arial"/>
          <w:color w:val="808080"/>
          <w:sz w:val="28"/>
          <w:szCs w:val="28"/>
          <w:highlight w:val="yellow"/>
        </w:rPr>
        <w:t xml:space="preserve">REDE CREDENCIADA E DA PRÉVIA MANIFESTAÇÃO DA OPERADORA ANTES DO BLOQUEIO</w:t>
      </w:r>
      <w:r>
        <w:rPr>
          <w:rFonts w:ascii="Arial" w:hAnsi="Arial" w:cs="Arial"/>
          <w:sz w:val="28"/>
          <w:szCs w:val="28"/>
          <w:highlight w:val="yellow"/>
        </w:rPr>
        <w:t xml:space="preserve"> DE </w:t>
      </w:r>
      <w:r>
        <w:rPr>
          <w:rFonts w:ascii="Arial" w:hAnsi="Arial" w:cs="Arial"/>
          <w:color w:val="808080"/>
          <w:sz w:val="28"/>
          <w:szCs w:val="28"/>
          <w:highlight w:val="yellow"/>
        </w:rPr>
        <w:t xml:space="preserve">VALORES</w:t>
      </w:r>
      <w:commentRangeEnd w:id="9"/>
      <w:r>
        <w:rPr>
          <w:rStyle w:val="CommentReference"/>
        </w:rPr>
        <w:commentReference w:id="9"/>
      </w:r>
    </w:p>
    <w:p w14:paraId="28D2AAA5" w14:textId="77777777" w:rsidR="000B1F20" w:rsidRPr="000B1F20" w:rsidRDefault="000B1F20" w:rsidP="000B1F20">
      <w:pPr>
        <w:spacing w:after="0" w:line="360" w:lineRule="auto"/>
        <w:jc w:val="center"/>
        <w:rPr>
          <w:rFonts w:ascii="Arial" w:hAnsi="Arial" w:cs="Arial"/>
          <w:sz w:val="28"/>
          <w:szCs w:val="28"/>
        </w:rPr>
      </w:pPr>
    </w:p>
    <w:p w14:paraId="48927D65" w14:textId="3BA83E7B" w:rsidR="00E47E65" w:rsidRDefault="00D87D30" w:rsidP="004236F7">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A</w:t>
      </w:r>
      <w:r w:rsidR="00E47E65" w:rsidRPr="007E1C8C">
        <w:rPr>
          <w:rFonts w:ascii="Arial" w:hAnsi="Arial" w:cs="Arial"/>
          <w:color w:val="000000" w:themeColor="text1"/>
          <w:sz w:val="28"/>
          <w:szCs w:val="28"/>
        </w:rPr>
        <w:t xml:space="preserve"> </w:t>
      </w:r>
      <w:r w:rsidR="00E47E65">
        <w:rPr>
          <w:rFonts w:ascii="Arial" w:hAnsi="Arial" w:cs="Arial"/>
          <w:color w:val="000000" w:themeColor="text1"/>
          <w:sz w:val="28"/>
          <w:szCs w:val="28"/>
        </w:rPr>
        <w:t xml:space="preserve">agravante </w:t>
      </w:r>
      <w:r w:rsidR="00E47E65" w:rsidRPr="007E1C8C">
        <w:rPr>
          <w:rFonts w:ascii="Arial" w:hAnsi="Arial" w:cs="Arial"/>
          <w:color w:val="000000" w:themeColor="text1"/>
          <w:sz w:val="28"/>
          <w:szCs w:val="28"/>
        </w:rPr>
        <w:t>alega que</w:t>
      </w:r>
      <w:r w:rsidR="00E47E65">
        <w:rPr>
          <w:rFonts w:ascii="Arial" w:hAnsi="Arial" w:cs="Arial"/>
          <w:color w:val="000000" w:themeColor="text1"/>
          <w:sz w:val="28"/>
          <w:szCs w:val="28"/>
        </w:rPr>
        <w:t xml:space="preserve">: </w:t>
      </w:r>
      <w:r w:rsidRPr="00D87D30">
        <w:rPr>
          <w:rFonts w:ascii="Arial" w:hAnsi="Arial" w:cs="Arial"/>
          <w:b/>
          <w:bCs/>
          <w:color w:val="000000" w:themeColor="text1"/>
          <w:sz w:val="28"/>
          <w:szCs w:val="28"/>
        </w:rPr>
        <w:t xml:space="preserve">1) </w:t>
      </w:r>
      <w:r w:rsidRPr="00D87D30">
        <w:rPr>
          <w:rFonts w:ascii="Arial" w:hAnsi="Arial" w:cs="Arial"/>
          <w:color w:val="000000" w:themeColor="text1"/>
          <w:sz w:val="28"/>
          <w:szCs w:val="28"/>
        </w:rPr>
        <w:t>a decisão originária priorizou o atendimento em rede credenciada e apenas admitiu custeio em rede particular mediante prévia indicação, pela parte autora, de estabelecimento clínico apto;</w:t>
      </w:r>
      <w:r w:rsidRPr="00D87D30">
        <w:rPr>
          <w:rFonts w:ascii="Arial" w:hAnsi="Arial" w:cs="Arial"/>
          <w:b/>
          <w:bCs/>
          <w:color w:val="000000" w:themeColor="text1"/>
          <w:sz w:val="28"/>
          <w:szCs w:val="28"/>
        </w:rPr>
        <w:t xml:space="preserve"> 2) </w:t>
      </w:r>
      <w:r w:rsidRPr="00D87D30">
        <w:rPr>
          <w:rFonts w:ascii="Arial" w:hAnsi="Arial" w:cs="Arial"/>
          <w:color w:val="000000" w:themeColor="text1"/>
          <w:sz w:val="28"/>
          <w:szCs w:val="28"/>
        </w:rPr>
        <w:t>o Instituto Nadja Quadros disponibilizado pela operadora possuiria profissionais com habilitação equivalente à exigida no relatório médico, sendo indevida a exigência de certificações específicas, notadamente a BCBA;</w:t>
      </w:r>
      <w:r w:rsidRPr="00D87D30">
        <w:rPr>
          <w:rFonts w:ascii="Arial" w:hAnsi="Arial" w:cs="Arial"/>
          <w:b/>
          <w:bCs/>
          <w:color w:val="000000" w:themeColor="text1"/>
          <w:sz w:val="28"/>
          <w:szCs w:val="28"/>
        </w:rPr>
        <w:t xml:space="preserve"> 3) </w:t>
      </w:r>
      <w:r w:rsidRPr="00D87D30">
        <w:rPr>
          <w:rFonts w:ascii="Arial" w:hAnsi="Arial" w:cs="Arial"/>
          <w:color w:val="000000" w:themeColor="text1"/>
          <w:sz w:val="28"/>
          <w:szCs w:val="28"/>
        </w:rPr>
        <w:t>a parte agravada não comprovou a inadequação da rede credenciada nem indicou clínica particular tecnicamente apta a prestar o tratamento;</w:t>
      </w:r>
      <w:r w:rsidRPr="00D87D30">
        <w:rPr>
          <w:rFonts w:ascii="Arial" w:hAnsi="Arial" w:cs="Arial"/>
          <w:b/>
          <w:bCs/>
          <w:color w:val="000000" w:themeColor="text1"/>
          <w:sz w:val="28"/>
          <w:szCs w:val="28"/>
        </w:rPr>
        <w:t xml:space="preserve"> 4) </w:t>
      </w:r>
      <w:r w:rsidRPr="00D87D30">
        <w:rPr>
          <w:rFonts w:ascii="Arial" w:hAnsi="Arial" w:cs="Arial"/>
          <w:color w:val="000000" w:themeColor="text1"/>
          <w:sz w:val="28"/>
          <w:szCs w:val="28"/>
        </w:rPr>
        <w:t>a determinação de apresentação de orçamento e posterior bloqueio de valores seria prematura, excessivamente gravosa e deveria ser substituída, ao menos, pela prévia comprovação da aptidão técnica do prestador particular e pela possibilidade de pagamento direto pela operadora.</w:t>
      </w:r>
    </w:p>
    <w:p w14:paraId="0B372F1B" w14:textId="77777777" w:rsidR="00D87D30" w:rsidRPr="00D87D30" w:rsidRDefault="00D87D30" w:rsidP="004236F7">
      <w:pPr>
        <w:spacing w:after="0" w:line="360" w:lineRule="auto"/>
        <w:ind w:firstLine="2268"/>
        <w:jc w:val="both"/>
        <w:rPr>
          <w:rFonts w:ascii="Arial" w:hAnsi="Arial" w:cs="Arial"/>
          <w:color w:val="000000" w:themeColor="text1"/>
          <w:sz w:val="28"/>
          <w:szCs w:val="28"/>
        </w:rPr>
      </w:pPr>
    </w:p>
    <w:p w14:paraId="4E143D4E" w14:textId="1287AF8D" w:rsidR="004B14BB" w:rsidRDefault="004B14BB" w:rsidP="00C54367">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Requer</w:t>
      </w:r>
      <w:r w:rsidR="00D87D30">
        <w:rPr>
          <w:rFonts w:ascii="Arial" w:hAnsi="Arial" w:cs="Arial"/>
          <w:color w:val="000000" w:themeColor="text1"/>
          <w:sz w:val="28"/>
          <w:szCs w:val="28"/>
        </w:rPr>
        <w:t xml:space="preserve"> a reforma da decisão agravada para </w:t>
      </w:r>
      <w:r w:rsidR="00C54367" w:rsidRPr="00C54367">
        <w:rPr>
          <w:rFonts w:ascii="Arial" w:hAnsi="Arial" w:cs="Arial"/>
          <w:color w:val="000000" w:themeColor="text1"/>
          <w:sz w:val="28"/>
          <w:szCs w:val="28"/>
        </w:rPr>
        <w:t>afastar a constrição patrimonial</w:t>
      </w:r>
      <w:r w:rsidR="00C54367">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e condicionar eventual atendimento fora da rede credenciada à prévia</w:t>
      </w:r>
      <w:r w:rsidR="008B5CB0">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comprovação da aptidão técnica do estabelecimento indicado, com oportunidade</w:t>
      </w:r>
      <w:r w:rsidR="008B5CB0">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de custeio direto pela agravante</w:t>
      </w:r>
      <w:r w:rsidR="008B5CB0">
        <w:rPr>
          <w:rFonts w:ascii="Arial" w:hAnsi="Arial" w:cs="Arial"/>
          <w:color w:val="000000" w:themeColor="text1"/>
          <w:sz w:val="28"/>
          <w:szCs w:val="28"/>
        </w:rPr>
        <w:t>.</w:t>
      </w:r>
    </w:p>
    <w:p w14:paraId="5C82D332" w14:textId="77777777" w:rsidR="004B14BB" w:rsidRDefault="004B14BB" w:rsidP="004236F7">
      <w:pPr>
        <w:spacing w:after="0" w:line="360" w:lineRule="auto"/>
        <w:ind w:firstLine="2268"/>
        <w:jc w:val="both"/>
        <w:rPr>
          <w:rFonts w:ascii="Arial" w:hAnsi="Arial" w:cs="Arial"/>
          <w:color w:val="000000" w:themeColor="text1"/>
          <w:sz w:val="28"/>
          <w:szCs w:val="28"/>
        </w:rPr>
      </w:pPr>
    </w:p>
    <w:p w14:paraId="43F733CB" w14:textId="39CA7347" w:rsidR="004236F7" w:rsidRPr="007E1C8C" w:rsidRDefault="004236F7" w:rsidP="004236F7">
      <w:pPr>
        <w:spacing w:after="0" w:line="360" w:lineRule="auto"/>
        <w:ind w:firstLine="2268"/>
        <w:jc w:val="both"/>
        <w:rPr>
          <w:rFonts w:ascii="Arial" w:hAnsi="Arial" w:cs="Arial"/>
          <w:color w:val="000000" w:themeColor="text1"/>
          <w:sz w:val="28"/>
          <w:szCs w:val="28"/>
        </w:rPr>
      </w:pPr>
      <w:commentRangeStart w:id="10"/>
      <w:r w:rsidRPr="007E1C8C">
        <w:rPr>
          <w:rFonts w:ascii="Arial" w:hAnsi="Arial" w:cs="Arial"/>
          <w:color w:val="000000" w:themeColor="text1"/>
          <w:sz w:val="28"/>
          <w:szCs w:val="28"/>
          <w:highlight w:val="yellow"/>
        </w:rPr>
        <w:t xml:space="preserve">Com parcial razão</w:t>
      </w:r>
      <w:r w:rsidR="008B5CB0">
        <w:rPr>
          <w:rFonts w:ascii="Arial" w:hAnsi="Arial" w:cs="Arial"/>
          <w:color w:val="000000" w:themeColor="text1"/>
          <w:sz w:val="28"/>
          <w:szCs w:val="28"/>
          <w:highlight w:val="yellow"/>
        </w:rPr>
        <w:t xml:space="preserve"> a</w:t>
      </w:r>
      <w:r w:rsidRPr="007E1C8C">
        <w:rPr>
          <w:rFonts w:ascii="Arial" w:hAnsi="Arial" w:cs="Arial"/>
          <w:color w:val="000000" w:themeColor="text1"/>
          <w:sz w:val="28"/>
          <w:szCs w:val="28"/>
          <w:highlight w:val="yellow"/>
        </w:rPr>
        <w:t xml:space="preserve"> </w:t>
      </w:r>
      <w:r>
        <w:rPr>
          <w:rFonts w:ascii="Arial" w:hAnsi="Arial" w:cs="Arial"/>
          <w:color w:val="000000" w:themeColor="text1"/>
          <w:sz w:val="28"/>
          <w:szCs w:val="28"/>
          <w:highlight w:val="yellow"/>
        </w:rPr>
        <w:t xml:space="preserve">agravante</w:t>
      </w:r>
      <w:r w:rsidRPr="007E1C8C">
        <w:rPr>
          <w:rFonts w:ascii="Arial" w:hAnsi="Arial" w:cs="Arial"/>
          <w:color w:val="000000" w:themeColor="text1"/>
          <w:sz w:val="28"/>
          <w:szCs w:val="28"/>
          <w:highlight w:val="yellow"/>
        </w:rPr>
        <w:t xml:space="preserve">.</w:t>
      </w:r>
      <w:commentRangeEnd w:id="10"/>
      <w:r>
        <w:rPr>
          <w:rStyle w:val="CommentReference"/>
        </w:rPr>
        <w:commentReference w:id="10"/>
      </w:r>
    </w:p>
    <w:p w14:paraId="7D8ADBDE" w14:textId="77777777" w:rsidR="004236F7" w:rsidRPr="007E1C8C" w:rsidRDefault="004236F7" w:rsidP="004236F7">
      <w:pPr>
        <w:spacing w:after="0" w:line="360" w:lineRule="auto"/>
        <w:ind w:firstLine="2268"/>
        <w:jc w:val="both"/>
        <w:rPr>
          <w:rFonts w:ascii="Arial" w:hAnsi="Arial" w:cs="Arial"/>
          <w:color w:val="000000" w:themeColor="text1"/>
          <w:sz w:val="28"/>
          <w:szCs w:val="28"/>
        </w:rPr>
      </w:pPr>
    </w:p>
    <w:p w14:paraId="2CC957D7" w14:textId="77777777" w:rsidR="006B0D47" w:rsidRDefault="006B0D47" w:rsidP="004236F7">
      <w:pPr>
        <w:spacing w:after="0" w:line="360" w:lineRule="auto"/>
        <w:ind w:firstLine="2268"/>
        <w:jc w:val="both"/>
        <w:rPr>
          <w:rFonts w:ascii="Arial" w:hAnsi="Arial" w:cs="Arial"/>
          <w:color w:val="000000" w:themeColor="text1"/>
          <w:sz w:val="28"/>
          <w:szCs w:val="28"/>
        </w:rPr>
      </w:pPr>
      <w:commentRangeStart w:id="11"/>
      <w:r>
        <w:rPr>
          <w:rFonts w:ascii="Arial" w:hAnsi="Arial" w:cs="Arial"/>
          <w:color w:val="000000" w:themeColor="text1"/>
          <w:sz w:val="28"/>
          <w:szCs w:val="28"/>
        </w:rPr>
        <w:t xml:space="preserve">Mantenho as razões expostas na decisão </w:t>
      </w:r>
      <w:r>
        <w:rPr>
          <w:rFonts w:ascii="Arial" w:hAnsi="Arial" w:cs="Arial"/>
          <w:color w:val="808080"/>
          <w:sz w:val="28"/>
          <w:szCs w:val="28"/>
        </w:rPr>
        <w:t xml:space="preserve">liminar </w:t>
      </w:r>
      <w:r>
        <w:rPr>
          <w:rFonts w:ascii="Arial" w:hAnsi="Arial" w:cs="Arial"/>
          <w:color w:val="000000" w:themeColor="text1"/>
          <w:sz w:val="28"/>
          <w:szCs w:val="28"/>
        </w:rPr>
        <w:t xml:space="preserve">que </w:t>
      </w:r>
      <w:r>
        <w:rPr>
          <w:rFonts w:ascii="Arial" w:hAnsi="Arial" w:cs="Arial"/>
          <w:color w:val="808080"/>
          <w:sz w:val="28"/>
          <w:szCs w:val="28"/>
        </w:rPr>
        <w:t xml:space="preserve">deferiu</w:t>
      </w:r>
      <w:r>
        <w:rPr>
          <w:rFonts w:ascii="Arial" w:hAnsi="Arial" w:cs="Arial"/>
          <w:color w:val="000000" w:themeColor="text1"/>
          <w:sz w:val="28"/>
          <w:szCs w:val="28"/>
        </w:rPr>
        <w:t xml:space="preserve"> </w:t>
      </w:r>
      <w:r>
        <w:rPr>
          <w:rFonts w:ascii="Arial" w:hAnsi="Arial" w:cs="Arial"/>
          <w:color w:val="808080"/>
          <w:sz w:val="28"/>
          <w:szCs w:val="28"/>
        </w:rPr>
        <w:t xml:space="preserve">em</w:t>
      </w:r>
      <w:r>
        <w:rPr>
          <w:rFonts w:ascii="Arial" w:hAnsi="Arial" w:cs="Arial"/>
          <w:color w:val="000000" w:themeColor="text1"/>
          <w:sz w:val="28"/>
          <w:szCs w:val="28"/>
        </w:rPr>
        <w:t xml:space="preserve"> </w:t>
      </w:r>
      <w:r>
        <w:rPr>
          <w:rFonts w:ascii="Arial" w:hAnsi="Arial" w:cs="Arial"/>
          <w:color w:val="808080"/>
          <w:sz w:val="28"/>
          <w:szCs w:val="28"/>
        </w:rPr>
        <w:t xml:space="preserve">parte</w:t>
      </w:r>
      <w:r>
        <w:rPr>
          <w:rFonts w:ascii="Arial" w:hAnsi="Arial" w:cs="Arial"/>
          <w:color w:val="000000" w:themeColor="text1"/>
          <w:sz w:val="28"/>
          <w:szCs w:val="28"/>
        </w:rPr>
        <w:t xml:space="preserve"> </w:t>
      </w:r>
      <w:r>
        <w:rPr>
          <w:rFonts w:ascii="Arial" w:hAnsi="Arial" w:cs="Arial"/>
          <w:color w:val="808080"/>
          <w:sz w:val="28"/>
          <w:szCs w:val="28"/>
        </w:rPr>
        <w:t xml:space="preserve">o efeito suspensivo (ID 86535037)</w:t>
      </w:r>
      <w:r>
        <w:rPr>
          <w:rFonts w:ascii="Arial" w:hAnsi="Arial" w:cs="Arial"/>
          <w:color w:val="000000" w:themeColor="text1"/>
          <w:sz w:val="28"/>
          <w:szCs w:val="28"/>
        </w:rPr>
        <w:t xml:space="preserve">:</w:t>
      </w:r>
      <w:commentRangeEnd w:id="11"/>
      <w:r>
        <w:rPr>
          <w:rStyle w:val="CommentReference"/>
        </w:rPr>
        <w:commentReference w:id="11"/>
      </w:r>
    </w:p>
    <w:p w14:paraId="1504EA78" w14:textId="77777777" w:rsidR="006B0D47" w:rsidRDefault="006B0D47" w:rsidP="004236F7">
      <w:pPr>
        <w:spacing w:after="0" w:line="360" w:lineRule="auto"/>
        <w:ind w:firstLine="2268"/>
        <w:jc w:val="both"/>
        <w:rPr>
          <w:rFonts w:ascii="Arial" w:hAnsi="Arial" w:cs="Arial"/>
          <w:color w:val="000000" w:themeColor="text1"/>
          <w:sz w:val="28"/>
          <w:szCs w:val="28"/>
        </w:rPr>
      </w:pPr>
    </w:p>
    <w:p w14:paraId="6B4EA7C4" w14:textId="77777777" w:rsidR="008B5CB0" w:rsidRDefault="006B0D47" w:rsidP="006B0D47">
      <w:pPr>
        <w:spacing w:after="0" w:line="360" w:lineRule="auto"/>
        <w:ind w:left="2268" w:firstLine="1134"/>
        <w:jc w:val="both"/>
        <w:rPr>
          <w:rFonts w:ascii="Arial" w:hAnsi="Arial" w:cs="Arial"/>
          <w:i/>
          <w:iCs/>
          <w:sz w:val="26"/>
          <w:szCs w:val="26"/>
        </w:rPr>
      </w:pPr>
      <w:r w:rsidRPr="000A7009">
        <w:rPr>
          <w:rFonts w:ascii="Arial" w:hAnsi="Arial" w:cs="Arial"/>
          <w:sz w:val="26"/>
          <w:szCs w:val="26"/>
        </w:rPr>
        <w:t>“</w:t>
      </w:r>
      <w:r w:rsidR="008B5CB0" w:rsidRPr="008B5CB0">
        <w:rPr>
          <w:rFonts w:ascii="Arial" w:hAnsi="Arial" w:cs="Arial"/>
          <w:i/>
          <w:iCs/>
          <w:sz w:val="26"/>
          <w:szCs w:val="26"/>
        </w:rPr>
        <w:t xml:space="preserve">Vislumbro em parte a probabilidade do direito alegado, ao menos nesta sede de cognição sumária. </w:t>
      </w:r>
    </w:p>
    <w:p w14:paraId="2F172490"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Constou da r. decisão agravada, in verbis: </w:t>
      </w:r>
    </w:p>
    <w:p w14:paraId="51C6F83F" w14:textId="77777777" w:rsidR="008B5CB0" w:rsidRPr="008B5CB0" w:rsidRDefault="008B5CB0" w:rsidP="008B5CB0">
      <w:pPr>
        <w:spacing w:after="0" w:line="360" w:lineRule="auto"/>
        <w:ind w:left="3402" w:firstLine="1134"/>
        <w:jc w:val="both"/>
        <w:rPr>
          <w:rFonts w:ascii="Arial" w:hAnsi="Arial" w:cs="Arial"/>
          <w:i/>
          <w:iCs/>
          <w:sz w:val="26"/>
          <w:szCs w:val="26"/>
          <w:u w:val="single"/>
        </w:rPr>
      </w:pPr>
      <w:r>
        <w:rPr>
          <w:rFonts w:ascii="Arial" w:hAnsi="Arial" w:cs="Arial"/>
          <w:i/>
          <w:iCs/>
          <w:sz w:val="26"/>
          <w:szCs w:val="26"/>
        </w:rPr>
        <w:t>‘</w:t>
      </w:r>
      <w:r w:rsidRPr="008B5CB0">
        <w:rPr>
          <w:rFonts w:ascii="Arial" w:hAnsi="Arial" w:cs="Arial"/>
          <w:i/>
          <w:iCs/>
          <w:sz w:val="26"/>
          <w:szCs w:val="26"/>
        </w:rPr>
        <w:t xml:space="preserve">(...) </w:t>
      </w:r>
      <w:r w:rsidRPr="008B5CB0">
        <w:rPr>
          <w:rFonts w:ascii="Arial" w:hAnsi="Arial" w:cs="Arial"/>
          <w:i/>
          <w:iCs/>
          <w:sz w:val="26"/>
          <w:szCs w:val="26"/>
          <w:u w:val="single"/>
        </w:rPr>
        <w:t xml:space="preserve">No caso dos autos verifico a impossibilidade de cumprimento da obrigação de fazer exequenda junto à rede credenciada, considerando a ausência de profissionais com as qualificações técnicas e certificações havidas em relatório médico. </w:t>
      </w:r>
    </w:p>
    <w:p w14:paraId="64EA1B97"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u w:val="single"/>
        </w:rPr>
        <w:t>Diante disso, razão assiste à parte exequente quanto à obrigação de reembolso integral na ausência de prestador credenciado à operadora de plano de saúde,</w:t>
      </w:r>
      <w:r w:rsidRPr="008B5CB0">
        <w:rPr>
          <w:rFonts w:ascii="Arial" w:hAnsi="Arial" w:cs="Arial"/>
          <w:i/>
          <w:iCs/>
          <w:sz w:val="26"/>
          <w:szCs w:val="26"/>
        </w:rPr>
        <w:t xml:space="preserve"> conforme com o teor da art. 10, cabeça, da Resolução Normativa ANS nº 566/2022 ("Na hipótese de descumprimento do disposto nos arts. 4º, 5º ou 6º, caso o beneficiário seja obrigado a pagar os custos do atendimento, a operadora deverá reembolsá-lo integralmente no prazo de até trinta dias, contado da data da solicitação de reembolso, inclusive as despesas com transporte"). </w:t>
      </w:r>
    </w:p>
    <w:p w14:paraId="779661C4"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rPr>
        <w:t xml:space="preserve">(...) Ante tudo o quanto expus, indefiro os requerimentos formulados ela executada Geap (ID: 270571465). </w:t>
      </w:r>
    </w:p>
    <w:p w14:paraId="41029F19"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rPr>
        <w:lastRenderedPageBreak/>
        <w:t xml:space="preserve">Por derradeiro, tendo sido demonstrado o descumprimento da decisão que deferiu a tutela provisória, </w:t>
      </w:r>
      <w:r w:rsidRPr="008B5CB0">
        <w:rPr>
          <w:rFonts w:ascii="Arial" w:hAnsi="Arial" w:cs="Arial"/>
          <w:i/>
          <w:iCs/>
          <w:sz w:val="26"/>
          <w:szCs w:val="26"/>
          <w:u w:val="single"/>
        </w:rPr>
        <w:t>intime</w:t>
      </w:r>
      <w:r w:rsidRPr="008B5CB0">
        <w:rPr>
          <w:rFonts w:ascii="Arial" w:hAnsi="Arial" w:cs="Arial"/>
          <w:i/>
          <w:iCs/>
          <w:sz w:val="26"/>
          <w:szCs w:val="26"/>
          <w:u w:val="single"/>
        </w:rPr>
        <w:t>-</w:t>
      </w:r>
      <w:r w:rsidRPr="008B5CB0">
        <w:rPr>
          <w:rFonts w:ascii="Arial" w:hAnsi="Arial" w:cs="Arial"/>
          <w:i/>
          <w:iCs/>
          <w:sz w:val="26"/>
          <w:szCs w:val="26"/>
          <w:u w:val="single"/>
        </w:rPr>
        <w:t>se a parte exequente para que indique um ‘estabelecimento clínico que reúna as terapias e especialidades prescritas em relatório médico’ (ID: 268673413,) apresentando o orçamento (de forma integral) e os respectivos dados bancários no prazo de 10 dias. Feito isso, proceda-se ao bloqueio por meio eletrônico em favor da favorecida a ser indicada</w:t>
      </w:r>
      <w:r w:rsidRPr="008B5CB0">
        <w:rPr>
          <w:rFonts w:ascii="Arial" w:hAnsi="Arial" w:cs="Arial"/>
          <w:i/>
          <w:iCs/>
          <w:sz w:val="26"/>
          <w:szCs w:val="26"/>
        </w:rPr>
        <w:t xml:space="preserve">. (...)” (ID 279838122, origem) – Grifei. </w:t>
      </w:r>
    </w:p>
    <w:p w14:paraId="4C0FDDBC"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Com efeito, em cognição sumária, não verifico fundamento suficiente para suspender integralmente a decisão recorrida. </w:t>
      </w:r>
    </w:p>
    <w:p w14:paraId="63215060"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A obrigação de custeio do tratamento multidisciplinar foi anteriormente deferida nos autos principais (ID 259350650 do processo nº 0746572-27.2025.8.07.0001), nos exatos termos do relatório médico, preferencialmente em rede credenciada, mas com previsão de custeio integral em rede particular caso não disponibilizado atendimento compatível. </w:t>
      </w:r>
    </w:p>
    <w:p w14:paraId="0B6A8960"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Além disso, a controvérsia envolve tratamento de saúde cuja interrupção ou postergação pode acarretar prejuízo relevante à parte beneficiária da tutela. </w:t>
      </w:r>
    </w:p>
    <w:p w14:paraId="4C36D1EE"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Todavia, há plausibilidade parcial na insurgência quanto à determinação de bloqueio de valores sem prévia análise, em contraditório, da clínica a ser indicada, do orçamento apresentado e da efetiva </w:t>
      </w:r>
      <w:r w:rsidRPr="008B5CB0">
        <w:rPr>
          <w:rFonts w:ascii="Arial" w:hAnsi="Arial" w:cs="Arial"/>
          <w:i/>
          <w:iCs/>
          <w:sz w:val="26"/>
          <w:szCs w:val="26"/>
        </w:rPr>
        <w:lastRenderedPageBreak/>
        <w:t xml:space="preserve">compatibilidade técnica do estabelecimento com as terapias prescritas. </w:t>
      </w:r>
    </w:p>
    <w:p w14:paraId="6E0C041E"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Isso porque a própria decisão originária condicionou o custeio em rede particular à indicação de estabelecimento clínico que reúna as terapias e especialidades constantes do relatório médico. </w:t>
      </w:r>
    </w:p>
    <w:p w14:paraId="473C7125"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Assim, a constrição patrimonial deve ser precedida de exame mínimo sobre a adequação do prestador, a razoabilidade do orçamento e a possibilidade de adoção de meio executivo menos gravoso, desde que igualmente eficaz, como eventual pagamento direto ao prestador.</w:t>
      </w:r>
    </w:p>
    <w:p w14:paraId="78355BD7" w14:textId="74CD853C" w:rsidR="006B0D47" w:rsidRPr="000A7009" w:rsidRDefault="008B5CB0" w:rsidP="008B5CB0">
      <w:pPr>
        <w:spacing w:after="0" w:line="360" w:lineRule="auto"/>
        <w:ind w:left="2268" w:firstLine="1134"/>
        <w:jc w:val="both"/>
        <w:rPr>
          <w:rFonts w:ascii="Arial" w:hAnsi="Arial" w:cs="Arial"/>
          <w:i/>
          <w:iCs/>
          <w:sz w:val="26"/>
          <w:szCs w:val="26"/>
        </w:rPr>
      </w:pPr>
      <w:commentRangeStart w:id="12"/>
      <w:r>
        <w:rPr>
          <w:rFonts w:ascii="Arial" w:hAnsi="Arial" w:cs="Arial"/>
          <w:i/>
          <w:iCs/>
          <w:sz w:val="26"/>
          <w:szCs w:val="26"/>
        </w:rPr>
        <w:t xml:space="preserve">Portanto, neste exame inicial, a solução mais adequada é preservar a efetividade da tutela de saúde, sem autorizar, desde logo, bloqueio automático de ativos financeiros antes da definição concreta do prestador, do orçamento e da aptidão técnica do estabelecimento indicado. Eventual conclusão em sentido contrário demanda análise mais aprofundada da controvérsia, incompatível com a presente fase processual.</w:t>
      </w:r>
      <w:r>
        <w:rPr>
          <w:rFonts w:ascii="Arial" w:hAnsi="Arial" w:cs="Arial"/>
          <w:i/>
          <w:iCs/>
          <w:sz w:val="26"/>
          <w:szCs w:val="26"/>
        </w:rPr>
        <w:t xml:space="preserve"> (...)”</w:t>
      </w:r>
      <w:r>
        <w:rPr>
          <w:rFonts w:ascii="Arial" w:hAnsi="Arial" w:cs="Arial"/>
          <w:i/>
          <w:iCs/>
          <w:color w:val="808080"/>
          <w:sz w:val="26"/>
          <w:szCs w:val="26"/>
        </w:rPr>
        <w:t xml:space="preserve"> (ID 86535037)</w:t>
      </w:r>
      <w:commentRangeEnd w:id="12"/>
      <w:r>
        <w:rPr>
          <w:rStyle w:val="CommentReference"/>
        </w:rPr>
        <w:commentReference w:id="12"/>
      </w:r>
    </w:p>
    <w:p w14:paraId="63AB8E7B" w14:textId="77777777" w:rsidR="006B0D47" w:rsidRDefault="006B0D47" w:rsidP="004236F7">
      <w:pPr>
        <w:spacing w:after="0" w:line="360" w:lineRule="auto"/>
        <w:ind w:firstLine="2268"/>
        <w:jc w:val="both"/>
        <w:rPr>
          <w:rFonts w:ascii="Arial" w:hAnsi="Arial" w:cs="Arial"/>
          <w:color w:val="000000" w:themeColor="text1"/>
          <w:sz w:val="28"/>
          <w:szCs w:val="28"/>
        </w:rPr>
      </w:pPr>
    </w:p>
    <w:p w14:paraId="198CFC04"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commentRangeStart w:id="13"/>
      <w:r>
        <w:rPr>
          <w:rFonts w:ascii="Arial" w:hAnsi="Arial" w:cs="Arial"/>
          <w:color w:val="808080"/>
          <w:sz w:val="28"/>
          <w:szCs w:val="28"/>
        </w:rPr>
        <w:t xml:space="preserve">Destaco</w:t>
      </w:r>
      <w:r>
        <w:rPr>
          <w:rFonts w:ascii="Arial" w:hAnsi="Arial" w:cs="Arial"/>
          <w:color w:val="3B3838" w:themeColor="background2" w:themeShade="40"/>
          <w:sz w:val="28"/>
          <w:szCs w:val="28"/>
        </w:rPr>
        <w:t xml:space="preserve"> que a</w:t>
      </w:r>
      <w:r>
        <w:rPr>
          <w:rFonts w:ascii="Arial" w:hAnsi="Arial" w:cs="Arial"/>
          <w:color w:val="3B3838" w:themeColor="background2" w:themeShade="40"/>
          <w:sz w:val="28"/>
          <w:szCs w:val="28"/>
        </w:rPr>
        <w:t xml:space="preserve"> controvérsia não reside no dever de custeio do tratamento multidisciplinar prescrito à beneficiária, mas na definição do prestador apto a executá-lo e na forma de satisfação da obrigação.</w:t>
      </w:r>
      <w:commentRangeEnd w:id="13"/>
      <w:r>
        <w:rPr>
          <w:rStyle w:val="CommentReference"/>
        </w:rPr>
        <w:commentReference w:id="13"/>
      </w:r>
    </w:p>
    <w:p w14:paraId="162424EF"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p>
    <w:p>
      <w:pPr>
        <w:spacing w:after="0" w:line="360" w:lineRule="auto"/>
        <w:ind w:firstLine="2268"/>
        <w:jc w:val="both"/>
        <w:rPr/>
      </w:pPr>
      <w:commentRangeStart w:id="14"/>
      <w:r>
        <w:rPr>
          <w:rFonts w:ascii="Arial" w:hAnsi="Arial" w:cs="Arial"/>
          <w:color w:val="3B3838" w:themeColor="background2" w:themeShade="40"/>
          <w:sz w:val="28"/>
          <w:szCs w:val="28"/>
        </w:rPr>
        <w:t xml:space="preserve">Nesse contexto, a insurgência da agravante quanto à exigência de certificações específicas, notadamente a certificação BCBA, não encontra amparo na normativa de regência</w:t>
      </w:r>
      <w:r>
        <w:rPr>
          <w:rFonts w:ascii="Arial" w:hAnsi="Arial" w:cs="Arial"/>
          <w:color w:val="808080"/>
          <w:sz w:val="28"/>
          <w:szCs w:val="28"/>
        </w:rPr>
        <w:t xml:space="preserve">.</w:t>
      </w:r>
    </w:p>
    <w:p>
      <w:pPr>
        <w:spacing w:after="0" w:line="360" w:lineRule="auto"/>
        <w:ind w:firstLine="2268"/>
        <w:jc w:val="both"/>
        <w:rPr/>
      </w:pPr>
    </w:p>
    <w:p>
      <w:pPr>
        <w:spacing w:after="0" w:line="360" w:lineRule="auto"/>
        <w:ind w:firstLine="2268"/>
        <w:jc w:val="both"/>
        <w:rPr/>
      </w:pPr>
      <w:r>
        <w:rPr>
          <w:rFonts w:ascii="Arial" w:hAnsi="Arial" w:cs="Arial"/>
          <w:color w:val="808080"/>
          <w:sz w:val="28"/>
          <w:szCs w:val="28"/>
        </w:rPr>
        <w:t xml:space="preserve">A</w:t>
      </w:r>
      <w:r>
        <w:rPr>
          <w:rFonts w:ascii="Arial" w:hAnsi="Arial" w:cs="Arial"/>
          <w:color w:val="3B3838" w:themeColor="background2" w:themeShade="40"/>
          <w:sz w:val="28"/>
          <w:szCs w:val="28"/>
        </w:rPr>
        <w:t xml:space="preserve"> Resolução Normativa ANS nº 539/2022 </w:t>
      </w:r>
      <w:r>
        <w:rPr>
          <w:rFonts w:ascii="Arial" w:hAnsi="Arial" w:cs="Arial"/>
          <w:color w:val="808080"/>
          <w:sz w:val="28"/>
          <w:szCs w:val="28"/>
        </w:rPr>
        <w:t xml:space="preserve">impõe</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à</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operadora</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o</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atendimento,</w:t>
      </w:r>
      <w:r>
        <w:rPr>
          <w:rFonts w:ascii="Arial" w:hAnsi="Arial" w:cs="Arial"/>
          <w:color w:val="3B3838" w:themeColor="background2" w:themeShade="40"/>
          <w:sz w:val="28"/>
          <w:szCs w:val="28"/>
        </w:rPr>
        <w:t xml:space="preserve"> para </w:t>
      </w:r>
      <w:r>
        <w:rPr>
          <w:rFonts w:ascii="Arial" w:hAnsi="Arial" w:cs="Arial"/>
          <w:color w:val="808080"/>
          <w:sz w:val="28"/>
          <w:szCs w:val="28"/>
        </w:rPr>
        <w:t xml:space="preserve">beneficiários</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com</w:t>
      </w:r>
      <w:r>
        <w:rPr>
          <w:rFonts w:ascii="Arial" w:hAnsi="Arial" w:cs="Arial"/>
          <w:color w:val="3B3838" w:themeColor="background2" w:themeShade="40"/>
          <w:sz w:val="28"/>
          <w:szCs w:val="28"/>
        </w:rPr>
        <w:t xml:space="preserve"> transtornos </w:t>
      </w:r>
      <w:r>
        <w:rPr>
          <w:rFonts w:ascii="Arial" w:hAnsi="Arial" w:cs="Arial"/>
          <w:color w:val="808080"/>
          <w:sz w:val="28"/>
          <w:szCs w:val="28"/>
        </w:rPr>
        <w:t xml:space="preserve">globais</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do</w:t>
      </w:r>
      <w:r>
        <w:rPr>
          <w:rFonts w:ascii="Arial" w:hAnsi="Arial" w:cs="Arial"/>
          <w:color w:val="3B3838" w:themeColor="background2" w:themeShade="40"/>
          <w:sz w:val="28"/>
          <w:szCs w:val="28"/>
        </w:rPr>
        <w:t xml:space="preserve"> </w:t>
      </w:r>
      <w:r>
        <w:rPr>
          <w:rFonts w:ascii="Arial" w:hAnsi="Arial" w:cs="Arial"/>
          <w:color w:val="808080"/>
          <w:sz w:val="28"/>
          <w:szCs w:val="28"/>
        </w:rPr>
        <w:t xml:space="preserve">desenvolvimento</w:t>
      </w:r>
      <w:r>
        <w:rPr>
          <w:rFonts w:ascii="Arial" w:hAnsi="Arial" w:cs="Arial"/>
          <w:color w:val="3B3838" w:themeColor="background2" w:themeShade="40"/>
          <w:sz w:val="28"/>
          <w:szCs w:val="28"/>
        </w:rPr>
        <w:t xml:space="preserve">,</w:t>
      </w:r>
      <w:r>
        <w:rPr>
          <w:rFonts w:ascii="Arial" w:hAnsi="Arial" w:cs="Arial"/>
          <w:color w:val="3B3838" w:themeColor="background2" w:themeShade="40"/>
          <w:sz w:val="28"/>
          <w:szCs w:val="28"/>
        </w:rPr>
        <w:t xml:space="preserve"> por prestador apto a executar o método ou </w:t>
      </w:r>
      <w:r>
        <w:rPr>
          <w:rFonts w:ascii="Arial" w:hAnsi="Arial" w:cs="Arial"/>
          <w:color w:val="3B3838" w:themeColor="background2" w:themeShade="40"/>
          <w:sz w:val="28"/>
          <w:szCs w:val="28"/>
        </w:rPr>
        <w:t xml:space="preserve">técnica </w:t>
      </w:r>
      <w:r>
        <w:rPr>
          <w:rFonts w:ascii="Arial" w:hAnsi="Arial" w:cs="Arial"/>
          <w:color w:val="808080"/>
          <w:sz w:val="28"/>
          <w:szCs w:val="28"/>
        </w:rPr>
        <w:t xml:space="preserve">indicados pelo médico assistente</w:t>
      </w:r>
      <w:r>
        <w:rPr>
          <w:rFonts w:ascii="Arial" w:hAnsi="Arial" w:cs="Arial"/>
          <w:color w:val="3B3838" w:themeColor="background2" w:themeShade="40"/>
          <w:sz w:val="28"/>
          <w:szCs w:val="28"/>
        </w:rPr>
        <w:t xml:space="preserve">.</w:t>
      </w:r>
    </w:p>
    <w:p>
      <w:pPr>
        <w:spacing w:after="0" w:line="360" w:lineRule="auto"/>
        <w:ind w:firstLine="2268"/>
        <w:jc w:val="both"/>
        <w:rPr/>
      </w:pPr>
    </w:p>
    <w:p w14:paraId="5321CDC8" w14:textId="50ACF447" w:rsidR="004236F7" w:rsidRPr="00966C79" w:rsidRDefault="000B1F20" w:rsidP="004236F7">
      <w:pPr>
        <w:spacing w:after="0" w:line="360" w:lineRule="auto"/>
        <w:ind w:firstLine="2268"/>
        <w:jc w:val="both"/>
        <w:rPr>
          <w:rFonts w:ascii="Arial" w:hAnsi="Arial" w:cs="Arial"/>
          <w:color w:val="3B3838" w:themeColor="background2" w:themeShade="40"/>
          <w:sz w:val="28"/>
          <w:szCs w:val="28"/>
        </w:rPr>
      </w:pPr>
      <w:r>
        <w:rPr>
          <w:rFonts w:ascii="Arial" w:hAnsi="Arial" w:cs="Arial"/>
          <w:color w:val="3B3838" w:themeColor="background2" w:themeShade="40"/>
          <w:sz w:val="28"/>
          <w:szCs w:val="28"/>
        </w:rPr>
        <w:t xml:space="preserve">A exigência de habilitação técnica compatível com a prescrição não constitui criação judicial de requisito, mas decorrência direta do dever de preservar a integralidade da terapêutica determinada, de modo que a simples existência de profissionais com formação genérica na área não supre, por si só, a inaptidão da rede credenciada.</w:t>
      </w:r>
      <w:commentRangeEnd w:id="14"/>
      <w:r>
        <w:rPr>
          <w:rStyle w:val="CommentReference"/>
        </w:rPr>
        <w:commentReference w:id="14"/>
      </w:r>
    </w:p>
    <w:p w14:paraId="3F9202AF"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p>
    <w:p w14:paraId="55553C39" w14:textId="3E536D60" w:rsidR="00A036F5" w:rsidRPr="00A036F5" w:rsidRDefault="00A036F5" w:rsidP="00A036F5">
      <w:pPr>
        <w:spacing w:after="0" w:line="360" w:lineRule="auto"/>
        <w:ind w:firstLine="2268"/>
        <w:jc w:val="both"/>
        <w:rPr>
          <w:rFonts w:ascii="Arial" w:hAnsi="Arial" w:cs="Arial"/>
          <w:color w:val="000000" w:themeColor="text1"/>
          <w:sz w:val="28"/>
          <w:szCs w:val="28"/>
        </w:rPr>
      </w:pPr>
      <w:commentRangeStart w:id="15"/>
      <w:r>
        <w:rPr>
          <w:rFonts w:ascii="Arial" w:hAnsi="Arial" w:cs="Arial"/>
          <w:color w:val="808080"/>
          <w:sz w:val="28"/>
          <w:szCs w:val="28"/>
          <w:highlight w:val="yellow"/>
        </w:rPr>
        <w:t xml:space="preserve">Dito isso</w:t>
      </w:r>
      <w:r>
        <w:rPr>
          <w:rFonts w:ascii="Arial" w:hAnsi="Arial" w:cs="Arial"/>
          <w:color w:val="000000" w:themeColor="text1"/>
          <w:sz w:val="28"/>
          <w:szCs w:val="28"/>
          <w:highlight w:val="yellow"/>
        </w:rPr>
        <w:t xml:space="preserve">,</w:t>
      </w:r>
      <w:r>
        <w:rPr>
          <w:rFonts w:ascii="Arial" w:hAnsi="Arial" w:cs="Arial"/>
          <w:color w:val="808080"/>
          <w:sz w:val="28"/>
          <w:szCs w:val="28"/>
          <w:highlight w:val="yellow"/>
        </w:rPr>
        <w:t xml:space="preserve"> e não havendo alteração do quadro fático-jurídico delineado nos autos, com a máxima vênia ao d. Juízo de origem, deve ser parcialmente reformada a r. decisão agravada, pois</w:t>
      </w:r>
      <w:r>
        <w:rPr>
          <w:rFonts w:ascii="Arial" w:hAnsi="Arial" w:cs="Arial"/>
          <w:color w:val="000000" w:themeColor="text1"/>
          <w:sz w:val="28"/>
          <w:szCs w:val="28"/>
          <w:highlight w:val="yellow"/>
        </w:rPr>
        <w:t xml:space="preserve"> </w:t>
      </w:r>
      <w:r>
        <w:rPr>
          <w:rFonts w:ascii="Arial" w:hAnsi="Arial" w:cs="Arial"/>
          <w:color w:val="000000" w:themeColor="text1"/>
          <w:sz w:val="28"/>
          <w:szCs w:val="28"/>
          <w:highlight w:val="yellow"/>
        </w:rPr>
        <w:t xml:space="preserve">a solução </w:t>
      </w:r>
      <w:r>
        <w:rPr>
          <w:rFonts w:ascii="Arial" w:hAnsi="Arial" w:cs="Arial"/>
          <w:color w:val="808080"/>
          <w:sz w:val="28"/>
          <w:szCs w:val="28"/>
          <w:highlight w:val="yellow"/>
        </w:rPr>
        <w:t xml:space="preserve">da</w:t>
      </w:r>
      <w:r>
        <w:rPr>
          <w:rFonts w:ascii="Arial" w:hAnsi="Arial" w:cs="Arial"/>
          <w:color w:val="000000" w:themeColor="text1"/>
          <w:sz w:val="28"/>
          <w:szCs w:val="28"/>
          <w:highlight w:val="yellow"/>
        </w:rPr>
        <w:t xml:space="preserve"> liminar</w:t>
      </w:r>
      <w:r>
        <w:rPr>
          <w:rFonts w:ascii="Arial" w:hAnsi="Arial" w:cs="Arial"/>
          <w:color w:val="000000" w:themeColor="text1"/>
          <w:sz w:val="28"/>
          <w:szCs w:val="28"/>
          <w:highlight w:val="yellow"/>
        </w:rPr>
        <w:t xml:space="preserve"> preserva a continuidade e a efetividade do tratamento da </w:t>
      </w:r>
      <w:r>
        <w:rPr>
          <w:rFonts w:ascii="Arial" w:hAnsi="Arial" w:cs="Arial"/>
          <w:color w:val="808080"/>
          <w:sz w:val="28"/>
          <w:szCs w:val="28"/>
          <w:highlight w:val="yellow"/>
        </w:rPr>
        <w:t xml:space="preserve">menor</w:t>
      </w:r>
      <w:r>
        <w:rPr>
          <w:rFonts w:ascii="Arial" w:hAnsi="Arial" w:cs="Arial"/>
          <w:color w:val="000000" w:themeColor="text1"/>
          <w:sz w:val="28"/>
          <w:szCs w:val="28"/>
          <w:highlight w:val="yellow"/>
        </w:rPr>
        <w:t xml:space="preserve"> </w:t>
      </w:r>
      <w:r>
        <w:rPr>
          <w:rFonts w:ascii="Arial" w:hAnsi="Arial" w:cs="Arial"/>
          <w:color w:val="808080"/>
          <w:sz w:val="28"/>
          <w:szCs w:val="28"/>
          <w:highlight w:val="yellow"/>
        </w:rPr>
        <w:t xml:space="preserve">e</w:t>
      </w:r>
      <w:r>
        <w:rPr>
          <w:rFonts w:ascii="Arial" w:hAnsi="Arial" w:cs="Arial"/>
          <w:color w:val="000000" w:themeColor="text1"/>
          <w:sz w:val="28"/>
          <w:szCs w:val="28"/>
          <w:highlight w:val="yellow"/>
        </w:rPr>
        <w:t xml:space="preserve"> assegura à agravante a </w:t>
      </w:r>
      <w:r>
        <w:rPr>
          <w:rFonts w:ascii="Arial" w:hAnsi="Arial" w:cs="Arial"/>
          <w:color w:val="808080"/>
          <w:sz w:val="28"/>
          <w:szCs w:val="28"/>
          <w:highlight w:val="yellow"/>
        </w:rPr>
        <w:t xml:space="preserve">prévia</w:t>
      </w:r>
      <w:r>
        <w:rPr>
          <w:rFonts w:ascii="Arial" w:hAnsi="Arial" w:cs="Arial"/>
          <w:color w:val="000000" w:themeColor="text1"/>
          <w:sz w:val="28"/>
          <w:szCs w:val="28"/>
          <w:highlight w:val="yellow"/>
        </w:rPr>
        <w:t xml:space="preserve"> </w:t>
      </w:r>
      <w:r>
        <w:rPr>
          <w:rFonts w:ascii="Arial" w:hAnsi="Arial" w:cs="Arial"/>
          <w:color w:val="808080"/>
          <w:sz w:val="28"/>
          <w:szCs w:val="28"/>
          <w:highlight w:val="yellow"/>
        </w:rPr>
        <w:t xml:space="preserve">manifestação</w:t>
      </w:r>
      <w:r>
        <w:rPr>
          <w:rFonts w:ascii="Arial" w:hAnsi="Arial" w:cs="Arial"/>
          <w:color w:val="000000" w:themeColor="text1"/>
          <w:sz w:val="28"/>
          <w:szCs w:val="28"/>
          <w:highlight w:val="yellow"/>
        </w:rPr>
        <w:t xml:space="preserve"> </w:t>
      </w:r>
      <w:r>
        <w:rPr>
          <w:rFonts w:ascii="Arial" w:hAnsi="Arial" w:cs="Arial"/>
          <w:color w:val="808080"/>
          <w:sz w:val="28"/>
          <w:szCs w:val="28"/>
          <w:highlight w:val="yellow"/>
        </w:rPr>
        <w:t xml:space="preserve">sobre</w:t>
      </w:r>
      <w:r>
        <w:rPr>
          <w:rFonts w:ascii="Arial" w:hAnsi="Arial" w:cs="Arial"/>
          <w:color w:val="000000" w:themeColor="text1"/>
          <w:sz w:val="28"/>
          <w:szCs w:val="28"/>
          <w:highlight w:val="yellow"/>
        </w:rPr>
        <w:t xml:space="preserve"> </w:t>
      </w:r>
      <w:r>
        <w:rPr>
          <w:rFonts w:ascii="Arial" w:hAnsi="Arial" w:cs="Arial"/>
          <w:color w:val="808080"/>
          <w:sz w:val="28"/>
          <w:szCs w:val="28"/>
          <w:highlight w:val="yellow"/>
        </w:rPr>
        <w:t xml:space="preserve">a</w:t>
      </w:r>
      <w:r>
        <w:rPr>
          <w:rFonts w:ascii="Arial" w:hAnsi="Arial" w:cs="Arial"/>
          <w:color w:val="000000" w:themeColor="text1"/>
          <w:sz w:val="28"/>
          <w:szCs w:val="28"/>
          <w:highlight w:val="yellow"/>
        </w:rPr>
        <w:t xml:space="preserve"> aptidão técnica da clínica indicada</w:t>
      </w:r>
      <w:r>
        <w:rPr>
          <w:rFonts w:ascii="Arial" w:hAnsi="Arial" w:cs="Arial"/>
          <w:color w:val="000000" w:themeColor="text1"/>
          <w:sz w:val="28"/>
          <w:szCs w:val="28"/>
          <w:highlight w:val="yellow"/>
        </w:rPr>
        <w:t xml:space="preserve"> </w:t>
      </w:r>
      <w:r>
        <w:rPr>
          <w:rFonts w:ascii="Arial" w:hAnsi="Arial" w:cs="Arial"/>
          <w:color w:val="808080"/>
          <w:sz w:val="28"/>
          <w:szCs w:val="28"/>
          <w:highlight w:val="yellow"/>
        </w:rPr>
        <w:t xml:space="preserve">e a</w:t>
      </w:r>
      <w:r>
        <w:rPr>
          <w:rFonts w:ascii="Arial" w:hAnsi="Arial" w:cs="Arial"/>
          <w:color w:val="000000" w:themeColor="text1"/>
          <w:sz w:val="28"/>
          <w:szCs w:val="28"/>
          <w:highlight w:val="yellow"/>
        </w:rPr>
        <w:t xml:space="preserve"> compatibilidade do orçamento apresentado</w:t>
      </w:r>
      <w:r>
        <w:rPr>
          <w:rFonts w:ascii="Arial" w:hAnsi="Arial" w:cs="Arial"/>
          <w:color w:val="000000" w:themeColor="text1"/>
          <w:sz w:val="28"/>
          <w:szCs w:val="28"/>
          <w:highlight w:val="yellow"/>
        </w:rPr>
        <w:t xml:space="preserve">.</w:t>
      </w:r>
      <w:commentRangeEnd w:id="15"/>
      <w:r>
        <w:rPr>
          <w:rStyle w:val="CommentReference"/>
        </w:rPr>
        <w:commentReference w:id="15"/>
      </w:r>
    </w:p>
    <w:p w14:paraId="0F4B7616" w14:textId="41F44514" w:rsidR="000B1F20" w:rsidRPr="007E1C8C" w:rsidRDefault="000B1F20" w:rsidP="004236F7">
      <w:pPr>
        <w:spacing w:after="0" w:line="360" w:lineRule="auto"/>
        <w:ind w:firstLine="2268"/>
        <w:jc w:val="both"/>
        <w:rPr>
          <w:rFonts w:ascii="Arial" w:hAnsi="Arial" w:cs="Arial"/>
          <w:color w:val="000000" w:themeColor="text1"/>
          <w:sz w:val="28"/>
          <w:szCs w:val="28"/>
        </w:rPr>
      </w:pPr>
    </w:p>
    <w:p w14:paraId="51F7901E" w14:textId="77777777" w:rsidR="004236F7" w:rsidRPr="00D516B2" w:rsidRDefault="004236F7" w:rsidP="004236F7">
      <w:pPr>
        <w:spacing w:after="0" w:line="360" w:lineRule="auto"/>
        <w:jc w:val="center"/>
        <w:rPr>
          <w:rFonts w:ascii="Arial" w:hAnsi="Arial" w:cs="Arial"/>
          <w:b/>
          <w:bCs/>
          <w:sz w:val="28"/>
          <w:szCs w:val="28"/>
        </w:rPr>
      </w:pPr>
      <w:r w:rsidRPr="00D516B2">
        <w:rPr>
          <w:rFonts w:ascii="Arial" w:hAnsi="Arial" w:cs="Arial"/>
          <w:b/>
          <w:bCs/>
          <w:sz w:val="28"/>
          <w:szCs w:val="28"/>
        </w:rPr>
        <w:t>DISPOSITIVO</w:t>
      </w:r>
    </w:p>
    <w:p w14:paraId="21609FF9" w14:textId="77777777" w:rsidR="004236F7" w:rsidRDefault="004236F7" w:rsidP="004236F7">
      <w:pPr>
        <w:spacing w:after="0" w:line="360" w:lineRule="auto"/>
        <w:ind w:firstLine="2268"/>
        <w:jc w:val="both"/>
        <w:rPr>
          <w:rFonts w:ascii="Arial" w:hAnsi="Arial" w:cs="Arial"/>
          <w:sz w:val="28"/>
          <w:szCs w:val="28"/>
        </w:rPr>
      </w:pPr>
    </w:p>
    <w:p w14:paraId="1A7B852F" w14:textId="0979CC1E" w:rsidR="4495E4C2" w:rsidRPr="00966C79" w:rsidRDefault="21529E37" w:rsidP="4495E4C2">
      <w:pPr>
        <w:spacing w:after="0" w:line="360" w:lineRule="auto"/>
        <w:ind w:firstLine="2268"/>
        <w:jc w:val="both"/>
        <w:rPr>
          <w:rFonts w:ascii="Arial" w:hAnsi="Arial" w:cs="Arial"/>
          <w:sz w:val="28"/>
          <w:szCs w:val="28"/>
        </w:rPr>
      </w:pPr>
      <w:commentRangeStart w:id="16"/>
      <w:r>
        <w:rPr>
          <w:rFonts w:ascii="Arial" w:hAnsi="Arial" w:cs="Arial"/>
          <w:sz w:val="28"/>
          <w:szCs w:val="28"/>
        </w:rPr>
        <w:t xml:space="preserve">Ante o exposto,</w:t>
      </w:r>
      <w:r>
        <w:rPr>
          <w:rFonts w:ascii="Arial" w:hAnsi="Arial" w:cs="Arial"/>
          <w:sz w:val="28"/>
          <w:szCs w:val="28"/>
        </w:rPr>
        <w:t xml:space="preserve"> reiteradas as vênias,</w:t>
      </w:r>
      <w:r>
        <w:rPr>
          <w:rFonts w:ascii="Arial" w:hAnsi="Arial" w:cs="Arial"/>
          <w:sz w:val="28"/>
          <w:szCs w:val="28"/>
        </w:rPr>
        <w:t xml:space="preserve"> </w:t>
      </w:r>
      <w:r>
        <w:rPr>
          <w:rFonts w:ascii="Arial" w:hAnsi="Arial" w:cs="Arial"/>
          <w:b/>
          <w:bCs/>
          <w:sz w:val="28"/>
          <w:szCs w:val="28"/>
        </w:rPr>
        <w:t xml:space="preserve">dou </w:t>
      </w:r>
      <w:r>
        <w:rPr>
          <w:rFonts w:ascii="Arial" w:hAnsi="Arial" w:cs="Arial"/>
          <w:b/>
          <w:bCs/>
          <w:sz w:val="28"/>
          <w:szCs w:val="28"/>
        </w:rPr>
        <w:t xml:space="preserve">parcial </w:t>
      </w:r>
      <w:r>
        <w:rPr>
          <w:rFonts w:ascii="Arial" w:hAnsi="Arial" w:cs="Arial"/>
          <w:b/>
          <w:bCs/>
          <w:sz w:val="28"/>
          <w:szCs w:val="28"/>
        </w:rPr>
        <w:t xml:space="preserve">provimento</w:t>
      </w:r>
      <w:r>
        <w:rPr>
          <w:rFonts w:ascii="Arial" w:hAnsi="Arial" w:cs="Arial"/>
          <w:sz w:val="28"/>
          <w:szCs w:val="28"/>
        </w:rPr>
        <w:t xml:space="preserve"> ao agravo de instrumento </w:t>
      </w:r>
      <w:r>
        <w:rPr>
          <w:rFonts w:ascii="Arial" w:hAnsi="Arial" w:cs="Arial"/>
          <w:color w:val="808080"/>
          <w:sz w:val="28"/>
          <w:szCs w:val="28"/>
        </w:rPr>
        <w:t xml:space="preserve">da</w:t>
      </w:r>
      <w:r>
        <w:rPr>
          <w:rFonts w:ascii="Arial" w:hAnsi="Arial" w:cs="Arial"/>
          <w:sz w:val="28"/>
          <w:szCs w:val="28"/>
        </w:rPr>
        <w:t xml:space="preserve"> </w:t>
      </w:r>
      <w:r>
        <w:rPr>
          <w:rFonts w:ascii="Arial" w:hAnsi="Arial" w:cs="Arial"/>
          <w:color w:val="808080"/>
          <w:sz w:val="28"/>
          <w:szCs w:val="28"/>
        </w:rPr>
        <w:t xml:space="preserve">executada</w:t>
      </w:r>
      <w:r>
        <w:rPr>
          <w:rFonts w:ascii="Arial" w:hAnsi="Arial" w:cs="Arial"/>
          <w:sz w:val="28"/>
          <w:szCs w:val="28"/>
        </w:rPr>
        <w:t xml:space="preserve">, </w:t>
      </w:r>
      <w:r>
        <w:rPr>
          <w:rFonts w:ascii="Arial" w:hAnsi="Arial" w:cs="Arial"/>
          <w:sz w:val="28"/>
          <w:szCs w:val="28"/>
        </w:rPr>
        <w:t xml:space="preserve">GEAP AUTOGESTÃO EM SAÚDE</w:t>
      </w:r>
      <w:r>
        <w:rPr>
          <w:rFonts w:ascii="Arial" w:hAnsi="Arial" w:cs="Arial"/>
          <w:sz w:val="28"/>
          <w:szCs w:val="28"/>
        </w:rPr>
        <w:t xml:space="preserve">, para, confirmando a liminar,</w:t>
      </w:r>
      <w:r>
        <w:rPr>
          <w:rFonts w:ascii="Arial" w:hAnsi="Arial" w:cs="Arial"/>
          <w:sz w:val="28"/>
          <w:szCs w:val="28"/>
        </w:rPr>
        <w:t xml:space="preserve"> </w:t>
      </w:r>
      <w:r>
        <w:rPr>
          <w:rFonts w:ascii="Arial" w:hAnsi="Arial" w:cs="Arial"/>
          <w:sz w:val="28"/>
          <w:szCs w:val="28"/>
        </w:rPr>
        <w:t xml:space="preserve">sustar a realização de bloqueio eletrônico automático de valores até que, indicada a clínica pela parte exequente/</w:t>
      </w:r>
      <w:r>
        <w:rPr>
          <w:rFonts w:ascii="Arial" w:hAnsi="Arial" w:cs="Arial"/>
          <w:sz w:val="28"/>
          <w:szCs w:val="28"/>
        </w:rPr>
        <w:t xml:space="preserve">agravada e apresentado o respectivo orçamento, seja oportunizada manifestação prévia da agravante, no prazo a ser fixado pelo Juízo de origem, sobre a aptidão técnica do estabelecimento, a razoabilidade do orçamento e </w:t>
      </w:r>
      <w:r>
        <w:rPr>
          <w:rFonts w:ascii="Arial" w:hAnsi="Arial" w:cs="Arial"/>
          <w:sz w:val="28"/>
          <w:szCs w:val="28"/>
        </w:rPr>
        <w:t xml:space="preserve">eventual possibilidade de custeio direto do tratamento, sem prejuízo da manutenção das demais determinações da decisão agravada.</w:t>
      </w:r>
      <w:commentRangeEnd w:id="16"/>
      <w:r>
        <w:rPr>
          <w:rStyle w:val="CommentReference"/>
        </w:rPr>
        <w:commentReference w:id="16"/>
      </w:r>
    </w:p>
    <w:p w14:paraId="4BBE6883" w14:textId="77777777" w:rsidR="00966C79" w:rsidRDefault="00966C79" w:rsidP="4495E4C2">
      <w:pPr>
        <w:spacing w:after="0" w:line="360" w:lineRule="auto"/>
        <w:ind w:firstLine="2268"/>
        <w:jc w:val="both"/>
        <w:rPr>
          <w:rFonts w:ascii="Arial" w:hAnsi="Arial" w:cs="Arial"/>
          <w:sz w:val="28"/>
          <w:szCs w:val="28"/>
        </w:rPr>
      </w:pPr>
    </w:p>
    <w:p w14:paraId="3727AA61" w14:textId="77777777" w:rsidR="008C7D23" w:rsidRDefault="004236F7" w:rsidP="008C7D23">
      <w:pPr>
        <w:spacing w:after="0" w:line="360" w:lineRule="auto"/>
        <w:ind w:firstLine="2268"/>
        <w:jc w:val="both"/>
        <w:rPr>
          <w:rFonts w:ascii="Arial" w:hAnsi="Arial" w:cs="Arial"/>
          <w:sz w:val="28"/>
          <w:szCs w:val="28"/>
        </w:rPr>
      </w:pPr>
      <w:r>
        <w:rPr>
          <w:rFonts w:ascii="Arial" w:hAnsi="Arial" w:cs="Arial"/>
          <w:sz w:val="28"/>
          <w:szCs w:val="28"/>
        </w:rPr>
        <w:t>É como voto.</w:t>
      </w:r>
    </w:p>
    <w:p w14:paraId="1E759F54" w14:textId="44100F4C" w:rsidR="004236F7" w:rsidRDefault="004236F7" w:rsidP="008C7D23">
      <w:pPr>
        <w:spacing w:after="0" w:line="360" w:lineRule="auto"/>
        <w:ind w:firstLine="2268"/>
        <w:jc w:val="both"/>
        <w:rPr>
          <w:rFonts w:ascii="Arial" w:hAnsi="Arial" w:cs="Arial"/>
          <w:sz w:val="28"/>
          <w:szCs w:val="28"/>
        </w:rPr>
      </w:pPr>
      <w:r>
        <w:rPr>
          <w:rFonts w:ascii="Arial" w:hAnsi="Arial" w:cs="Arial"/>
          <w:sz w:val="28"/>
          <w:szCs w:val="28"/>
        </w:rPr>
        <w:br w:type="page"/>
      </w:r>
    </w:p>
    <w:p w14:paraId="216E1589" w14:textId="77777777" w:rsidR="004236F7" w:rsidRDefault="004236F7" w:rsidP="004236F7">
      <w:pPr>
        <w:spacing w:after="0" w:line="360" w:lineRule="auto"/>
        <w:jc w:val="both"/>
        <w:rPr>
          <w:rFonts w:ascii="Arial" w:hAnsi="Arial" w:cs="Arial"/>
          <w:sz w:val="28"/>
          <w:szCs w:val="28"/>
        </w:rPr>
      </w:pPr>
    </w:p>
    <w:tbl>
      <w:tblPr>
        <w:tblW w:w="8647" w:type="dxa"/>
        <w:tblCellSpacing w:w="0" w:type="dxa"/>
        <w:tblCellMar>
          <w:top w:w="75" w:type="dxa"/>
          <w:left w:w="75" w:type="dxa"/>
          <w:bottom w:w="75" w:type="dxa"/>
          <w:right w:w="75" w:type="dxa"/>
        </w:tblCellMar>
        <w:tblLook w:val="04A0" w:firstRow="1" w:lastRow="0" w:firstColumn="1" w:lastColumn="0" w:noHBand="0" w:noVBand="1"/>
      </w:tblPr>
      <w:tblGrid>
        <w:gridCol w:w="2041"/>
        <w:gridCol w:w="6606"/>
      </w:tblGrid>
      <w:tr w:rsidR="00966C79" w:rsidRPr="00966C79" w14:paraId="1D11DA24" w14:textId="77777777" w:rsidTr="00966C79">
        <w:trPr>
          <w:tblCellSpacing w:w="0" w:type="dxa"/>
        </w:trPr>
        <w:tc>
          <w:tcPr>
            <w:tcW w:w="0" w:type="auto"/>
            <w:hideMark/>
          </w:tcPr>
          <w:p w14:paraId="519C49AB" w14:textId="00244467" w:rsidR="00966C79" w:rsidRPr="00966C79" w:rsidRDefault="00966C79" w:rsidP="00966C79">
            <w:pPr>
              <w:jc w:val="both"/>
              <w:rPr>
                <w:b/>
                <w:color w:val="008000"/>
              </w:rPr>
            </w:pPr>
            <w:r w:rsidRPr="00966C79">
              <w:rPr>
                <w:b/>
                <w:color w:val="008000"/>
              </w:rPr>
              <w:drawing>
                <wp:inline distT="0" distB="0" distL="0" distR="0" wp14:anchorId="77E970E0" wp14:editId="73D9A88E">
                  <wp:extent cx="1190625" cy="323850"/>
                  <wp:effectExtent l="0" t="0" r="9525" b="0"/>
                  <wp:docPr id="189003154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90625" cy="323850"/>
                          </a:xfrm>
                          <a:prstGeom prst="rect">
                            <a:avLst/>
                          </a:prstGeom>
                          <a:noFill/>
                          <a:ln>
                            <a:noFill/>
                          </a:ln>
                        </pic:spPr>
                      </pic:pic>
                    </a:graphicData>
                  </a:graphic>
                </wp:inline>
              </w:drawing>
            </w:r>
          </w:p>
        </w:tc>
        <w:tc>
          <w:tcPr>
            <w:tcW w:w="3820" w:type="pct"/>
            <w:vAlign w:val="center"/>
            <w:hideMark/>
          </w:tcPr>
          <w:p w14:paraId="73C30E8B" w14:textId="77777777" w:rsidR="00966C79" w:rsidRPr="00966C79" w:rsidRDefault="00966C79" w:rsidP="00966C79">
            <w:pPr>
              <w:jc w:val="both"/>
              <w:rPr>
                <w:b/>
                <w:color w:val="008000"/>
              </w:rPr>
            </w:pPr>
            <w:r w:rsidRPr="00966C79">
              <w:rPr>
                <w:b/>
                <w:color w:val="008000"/>
              </w:rPr>
              <w:t>Poder Judiciário da União</w:t>
            </w:r>
            <w:r w:rsidRPr="00966C79">
              <w:rPr>
                <w:b/>
                <w:color w:val="008000"/>
              </w:rPr>
              <w:br/>
              <w:t>TRIBUNAL DE JUSTIÇA DO DISTRITO FEDERAL E DOS TERRITÓRIOS</w:t>
            </w:r>
            <w:r w:rsidRPr="00966C79">
              <w:rPr>
                <w:b/>
                <w:color w:val="008000"/>
              </w:rPr>
              <w:br/>
            </w:r>
            <w:r w:rsidRPr="00966C79">
              <w:rPr>
                <w:b/>
                <w:bCs/>
                <w:color w:val="008000"/>
              </w:rPr>
              <w:t>11VARCVBSB</w:t>
            </w:r>
            <w:r w:rsidRPr="00966C79">
              <w:rPr>
                <w:b/>
                <w:color w:val="008000"/>
              </w:rPr>
              <w:br/>
              <w:t>11ª Vara Cível de Brasília</w:t>
            </w:r>
          </w:p>
        </w:tc>
      </w:tr>
    </w:tbl>
    <w:p w14:paraId="50EA636E" w14:textId="77777777" w:rsidR="00966C79" w:rsidRPr="00966C79" w:rsidRDefault="00966C79" w:rsidP="00966C79">
      <w:pPr>
        <w:jc w:val="both"/>
        <w:rPr>
          <w:b/>
          <w:color w:val="008000"/>
        </w:rPr>
      </w:pPr>
      <w:r w:rsidRPr="00966C79">
        <w:rPr>
          <w:b/>
          <w:color w:val="00B050"/>
        </w:rPr>
        <w:t xml:space="preserve">Número do processo: </w:t>
      </w:r>
      <w:hyperlink r:id="rId16" w:tooltip="Clique com o botão direito para copiar" w:history="1">
        <w:r w:rsidRPr="00966C79">
          <w:rPr>
            <w:rStyle w:val="Hyperlink"/>
            <w:b/>
          </w:rPr>
          <w:t>0712844-58.2026.8.07.0001</w:t>
        </w:r>
      </w:hyperlink>
      <w:r w:rsidRPr="00966C79">
        <w:rPr>
          <w:b/>
          <w:color w:val="00B050"/>
        </w:rPr>
        <w:br/>
        <w:t>Classe judicial: CUMPRIMENTO PROVISÓRIO DE DECISÃO (10980)</w:t>
      </w:r>
      <w:r w:rsidRPr="00966C79">
        <w:rPr>
          <w:b/>
          <w:color w:val="00B050"/>
        </w:rPr>
        <w:br/>
        <w:t>EXEQUENTE: B. S. L.</w:t>
      </w:r>
      <w:r w:rsidRPr="00966C79">
        <w:rPr>
          <w:b/>
          <w:color w:val="00B050"/>
        </w:rPr>
        <w:br/>
        <w:t>REPRESENTANTE LEGAL: BARBARA SALATIEL MATOS DE ALENCAR</w:t>
      </w:r>
      <w:r w:rsidRPr="00966C79">
        <w:rPr>
          <w:b/>
          <w:color w:val="008000"/>
        </w:rPr>
        <w:br/>
      </w:r>
      <w:r w:rsidRPr="00966C79">
        <w:rPr>
          <w:b/>
          <w:color w:val="00B050"/>
        </w:rPr>
        <w:br/>
        <w:t>EXECUTADO: GEAP AUTOGESTAO EM SAUDE</w:t>
      </w:r>
    </w:p>
    <w:p w14:paraId="4AF55052" w14:textId="77777777" w:rsidR="00966C79" w:rsidRPr="00966C79" w:rsidRDefault="00966C79" w:rsidP="00966C79">
      <w:pPr>
        <w:jc w:val="both"/>
        <w:rPr>
          <w:b/>
          <w:color w:val="008000"/>
        </w:rPr>
      </w:pPr>
    </w:p>
    <w:p w14:paraId="40174011" w14:textId="77777777" w:rsidR="00966C79" w:rsidRPr="00966C79" w:rsidRDefault="00966C79" w:rsidP="00966C79">
      <w:pPr>
        <w:jc w:val="both"/>
        <w:rPr>
          <w:b/>
          <w:color w:val="008000"/>
        </w:rPr>
      </w:pPr>
      <w:r w:rsidRPr="00966C79">
        <w:rPr>
          <w:b/>
          <w:bCs/>
          <w:color w:val="00B050"/>
        </w:rPr>
        <w:t>DECISÃO</w:t>
      </w:r>
    </w:p>
    <w:p w14:paraId="5701A3B1" w14:textId="77777777" w:rsidR="00966C79" w:rsidRPr="00966C79" w:rsidRDefault="00966C79" w:rsidP="00966C79">
      <w:pPr>
        <w:jc w:val="both"/>
        <w:rPr>
          <w:b/>
          <w:color w:val="008000"/>
        </w:rPr>
      </w:pPr>
    </w:p>
    <w:p w14:paraId="74F19D22" w14:textId="77777777" w:rsidR="00966C79" w:rsidRPr="00966C79" w:rsidRDefault="00966C79" w:rsidP="00966C79">
      <w:pPr>
        <w:jc w:val="both"/>
        <w:rPr>
          <w:b/>
          <w:color w:val="008000"/>
        </w:rPr>
      </w:pPr>
      <w:r w:rsidRPr="00966C79">
        <w:rPr>
          <w:b/>
          <w:color w:val="00B050"/>
        </w:rPr>
        <w:t xml:space="preserve">Na petição do ID: </w:t>
      </w:r>
      <w:hyperlink r:id="rId17" w:tgtFrame="_blank" w:tooltip="Clique com o botão direito para copiar" w:history="1">
        <w:r w:rsidRPr="00966C79">
          <w:rPr>
            <w:rStyle w:val="Hyperlink"/>
            <w:b/>
          </w:rPr>
          <w:t>270571465</w:t>
        </w:r>
      </w:hyperlink>
      <w:r w:rsidRPr="00966C79">
        <w:rPr>
          <w:b/>
          <w:color w:val="00B050"/>
        </w:rPr>
        <w:t xml:space="preserve"> a executada </w:t>
      </w:r>
      <w:r w:rsidRPr="00966C79">
        <w:rPr>
          <w:b/>
          <w:i/>
          <w:iCs/>
          <w:color w:val="00B050"/>
        </w:rPr>
        <w:t>Geap</w:t>
      </w:r>
      <w:r w:rsidRPr="00966C79">
        <w:rPr>
          <w:b/>
          <w:color w:val="00B050"/>
        </w:rPr>
        <w:t> noticiou o cumprimento da obrigação de fazer exequenda, argumentando "</w:t>
      </w:r>
      <w:r w:rsidRPr="00966C79">
        <w:rPr>
          <w:b/>
          <w:i/>
          <w:iCs/>
          <w:color w:val="00B050"/>
        </w:rPr>
        <w:t>a aptidão dos profissionais vinculados a clínica credenciada</w:t>
      </w:r>
      <w:r w:rsidRPr="00966C79">
        <w:rPr>
          <w:b/>
          <w:color w:val="00B050"/>
        </w:rPr>
        <w:t>"; que "</w:t>
      </w:r>
      <w:r w:rsidRPr="00966C79">
        <w:rPr>
          <w:b/>
          <w:i/>
          <w:iCs/>
          <w:color w:val="00B050"/>
        </w:rPr>
        <w:t>o prestador credenciado, Instituto Nadja Quadros, possui profissionais com habilitação equivalente ao disposto em relatório médico</w:t>
      </w:r>
      <w:r w:rsidRPr="00966C79">
        <w:rPr>
          <w:b/>
          <w:color w:val="00B050"/>
        </w:rPr>
        <w:t>"</w:t>
      </w:r>
      <w:r w:rsidRPr="00966C79">
        <w:rPr>
          <w:b/>
          <w:i/>
          <w:iCs/>
          <w:color w:val="00B050"/>
        </w:rPr>
        <w:t> </w:t>
      </w:r>
      <w:r w:rsidRPr="00966C79">
        <w:rPr>
          <w:b/>
          <w:color w:val="00B050"/>
        </w:rPr>
        <w:t>sendo que</w:t>
      </w:r>
      <w:r w:rsidRPr="00966C79">
        <w:rPr>
          <w:b/>
          <w:i/>
          <w:iCs/>
          <w:color w:val="00B050"/>
        </w:rPr>
        <w:t> "a única diferença refere-se à certificação BCBA, concedida pela Behavior Analyst Certification Board® (BACB), instituição americana que, desde 2023, restringiu sua área de abrangência, emitindo certificados apenas para profissionais residentes nos Estados Unidos e Canadá</w:t>
      </w:r>
      <w:r w:rsidRPr="00966C79">
        <w:rPr>
          <w:b/>
          <w:color w:val="00B050"/>
        </w:rPr>
        <w:t>", destacando que "</w:t>
      </w:r>
      <w:r w:rsidRPr="00966C79">
        <w:rPr>
          <w:b/>
          <w:i/>
          <w:iCs/>
          <w:color w:val="00B050"/>
        </w:rPr>
        <w:t>há resistência dos familiares em realizar o atendimento em local credenciado, vez que pretendem prosseguir com o tratamento em local de sua preferência e não conveniado à Operadora e serem reembolsados</w:t>
      </w:r>
      <w:r w:rsidRPr="00966C79">
        <w:rPr>
          <w:b/>
          <w:color w:val="00B050"/>
        </w:rPr>
        <w:t>". Requereu, alfim, que seja afastada "</w:t>
      </w:r>
      <w:r w:rsidRPr="00966C79">
        <w:rPr>
          <w:b/>
          <w:i/>
          <w:iCs/>
          <w:color w:val="00B050"/>
        </w:rPr>
        <w:t>a possibilidade de custeio de tratamento fora da rede credenciada e consequentemente o seu reembolso integral"</w:t>
      </w:r>
      <w:r w:rsidRPr="00966C79">
        <w:rPr>
          <w:b/>
          <w:color w:val="00B050"/>
        </w:rPr>
        <w:t> e, </w:t>
      </w:r>
      <w:r w:rsidRPr="00966C79">
        <w:rPr>
          <w:b/>
          <w:i/>
          <w:iCs/>
          <w:color w:val="00B050"/>
        </w:rPr>
        <w:t>"alternativamente, (...) que eventual reembolso seja limitado aos termos contratuais e/ou tabela de reembolso</w:t>
      </w:r>
      <w:r w:rsidRPr="00966C79">
        <w:rPr>
          <w:b/>
          <w:color w:val="00B050"/>
        </w:rPr>
        <w:t>".</w:t>
      </w:r>
    </w:p>
    <w:p w14:paraId="74260767" w14:textId="77777777" w:rsidR="00966C79" w:rsidRPr="00966C79" w:rsidRDefault="00966C79" w:rsidP="00966C79">
      <w:pPr>
        <w:jc w:val="both"/>
        <w:rPr>
          <w:b/>
          <w:color w:val="008000"/>
        </w:rPr>
      </w:pPr>
      <w:r w:rsidRPr="00966C79">
        <w:rPr>
          <w:b/>
          <w:color w:val="00B050"/>
        </w:rPr>
        <w:t>Em contraditório a parte exequente asseverou que "</w:t>
      </w:r>
      <w:r w:rsidRPr="00966C79">
        <w:rPr>
          <w:b/>
          <w:i/>
          <w:iCs/>
          <w:color w:val="00B050"/>
        </w:rPr>
        <w:t>a r. decisão liminar concedida por esse douto juízo, jamais deu margem para que a parte adversa pudesse 'adaptar' a prescrição médica ao seu entendimento sobre o tratamento</w:t>
      </w:r>
      <w:r w:rsidRPr="00966C79">
        <w:rPr>
          <w:b/>
          <w:color w:val="00B050"/>
        </w:rPr>
        <w:t>"; que "</w:t>
      </w:r>
      <w:r w:rsidRPr="00966C79">
        <w:rPr>
          <w:b/>
          <w:i/>
          <w:iCs/>
          <w:color w:val="00B050"/>
        </w:rPr>
        <w:t>a requerida já reconheceu a inadequação de vários outros profissionais indicados da clínica Nadja Quadros</w:t>
      </w:r>
      <w:r w:rsidRPr="00966C79">
        <w:rPr>
          <w:b/>
          <w:color w:val="00B050"/>
        </w:rPr>
        <w:t>"; e que "</w:t>
      </w:r>
      <w:r w:rsidRPr="00966C79">
        <w:rPr>
          <w:b/>
          <w:i/>
          <w:iCs/>
          <w:color w:val="00B050"/>
        </w:rPr>
        <w:t>o reembolso integral, como alhures tratado, tem previsão normativa - RN ANS nº. 566/22, arts. 5.º e 10.º, que é inequívoca ao determinar a obrigação de reembolso integral quando diante de ausência de prestador</w:t>
      </w:r>
      <w:r w:rsidRPr="00966C79">
        <w:rPr>
          <w:b/>
          <w:color w:val="00B050"/>
        </w:rPr>
        <w:t xml:space="preserve">" (ID: </w:t>
      </w:r>
      <w:hyperlink r:id="rId18" w:tgtFrame="_blank" w:tooltip="Clique com o botão direito para copiar" w:history="1">
        <w:r w:rsidRPr="00966C79">
          <w:rPr>
            <w:rStyle w:val="Hyperlink"/>
            <w:b/>
          </w:rPr>
          <w:t>273109252</w:t>
        </w:r>
      </w:hyperlink>
      <w:r w:rsidRPr="00966C79">
        <w:rPr>
          <w:b/>
          <w:color w:val="00B050"/>
        </w:rPr>
        <w:t>).</w:t>
      </w:r>
    </w:p>
    <w:p w14:paraId="71F6E38A" w14:textId="77777777" w:rsidR="00966C79" w:rsidRPr="00966C79" w:rsidRDefault="00966C79" w:rsidP="00966C79">
      <w:pPr>
        <w:jc w:val="both"/>
        <w:rPr>
          <w:b/>
          <w:color w:val="008000"/>
        </w:rPr>
      </w:pPr>
      <w:r w:rsidRPr="00966C79">
        <w:rPr>
          <w:b/>
          <w:color w:val="00B050"/>
        </w:rPr>
        <w:t xml:space="preserve">Parecer ministerial em ID: </w:t>
      </w:r>
      <w:hyperlink r:id="rId19" w:tgtFrame="_blank" w:tooltip="Clique com o botão direito para copiar" w:history="1">
        <w:r w:rsidRPr="00966C79">
          <w:rPr>
            <w:rStyle w:val="Hyperlink"/>
            <w:b/>
          </w:rPr>
          <w:t>277673877</w:t>
        </w:r>
      </w:hyperlink>
      <w:r w:rsidRPr="00966C79">
        <w:rPr>
          <w:b/>
          <w:color w:val="00B050"/>
        </w:rPr>
        <w:t>.</w:t>
      </w:r>
    </w:p>
    <w:p w14:paraId="27841F58" w14:textId="77777777" w:rsidR="00966C79" w:rsidRPr="00966C79" w:rsidRDefault="00966C79" w:rsidP="00966C79">
      <w:pPr>
        <w:jc w:val="both"/>
        <w:rPr>
          <w:b/>
          <w:color w:val="008000"/>
        </w:rPr>
      </w:pPr>
      <w:r w:rsidRPr="00966C79">
        <w:rPr>
          <w:b/>
          <w:bCs/>
          <w:color w:val="00B050"/>
        </w:rPr>
        <w:t>É o relatório. Fundamento e decido</w:t>
      </w:r>
      <w:r w:rsidRPr="00966C79">
        <w:rPr>
          <w:b/>
          <w:color w:val="00B050"/>
        </w:rPr>
        <w:t>.</w:t>
      </w:r>
    </w:p>
    <w:p w14:paraId="12B33057" w14:textId="77777777" w:rsidR="00966C79" w:rsidRPr="00966C79" w:rsidRDefault="00966C79" w:rsidP="00966C79">
      <w:pPr>
        <w:jc w:val="both"/>
        <w:rPr>
          <w:b/>
          <w:color w:val="008000"/>
        </w:rPr>
      </w:pPr>
      <w:r w:rsidRPr="00966C79">
        <w:rPr>
          <w:b/>
          <w:color w:val="00B050"/>
        </w:rPr>
        <w:t>No caso dos autos verifico a impossibilidade de cumprimento da obrigação de fazer exequenda junto à </w:t>
      </w:r>
      <w:r w:rsidRPr="00966C79">
        <w:rPr>
          <w:b/>
          <w:i/>
          <w:iCs/>
          <w:color w:val="00B050"/>
        </w:rPr>
        <w:t>rede credenciada</w:t>
      </w:r>
      <w:r w:rsidRPr="00966C79">
        <w:rPr>
          <w:b/>
          <w:color w:val="00B050"/>
        </w:rPr>
        <w:t>, considerando a ausência de profissionais com as qualificações técnicas e certificações havidas em relatório médico.</w:t>
      </w:r>
    </w:p>
    <w:p w14:paraId="7F522403" w14:textId="77777777" w:rsidR="00966C79" w:rsidRPr="00966C79" w:rsidRDefault="00966C79" w:rsidP="00966C79">
      <w:pPr>
        <w:jc w:val="both"/>
        <w:rPr>
          <w:b/>
          <w:color w:val="008000"/>
        </w:rPr>
      </w:pPr>
      <w:r w:rsidRPr="00966C79">
        <w:rPr>
          <w:b/>
          <w:color w:val="00B050"/>
        </w:rPr>
        <w:t xml:space="preserve">Diante disso, razão assiste à parte exequente quanto à obrigação de reembolso integral na ausência de prestador credenciado à operadora de plano de saúde, conforme com o teor da </w:t>
      </w:r>
      <w:r w:rsidRPr="00966C79">
        <w:rPr>
          <w:b/>
          <w:color w:val="00B050"/>
        </w:rPr>
        <w:lastRenderedPageBreak/>
        <w:t>art. 10, cabeça, da Resolução Normativa ANS nº 566/2022 ("Na hipótese de descumprimento do disposto nos arts. 4º, 5º ou 6º, caso o beneficiário seja obrigado a pagar os custos do atendimento, a operadora deverá reembolsá-lo integralmente no prazo de até trinta dias, contado da data da solicitação de reembolso, inclusive as despesas com transporte"). Nesse sentido confira-se o teor do seguinte r. Acórdão tomado por paradigma:</w:t>
      </w:r>
    </w:p>
    <w:p w14:paraId="0D3C7FF4" w14:textId="77777777" w:rsidR="00966C79" w:rsidRPr="00966C79" w:rsidRDefault="00966C79" w:rsidP="00966C79">
      <w:pPr>
        <w:jc w:val="both"/>
        <w:rPr>
          <w:b/>
          <w:color w:val="008000"/>
        </w:rPr>
      </w:pPr>
      <w:r w:rsidRPr="00966C79">
        <w:rPr>
          <w:b/>
          <w:color w:val="00B050"/>
        </w:rPr>
        <w:t>APELAÇÃO. DIREITO CIVIL, PROCESSUAL CIVIL E DO CONSUMIDOR. OBRIGAÇÃO DE FAZER. PLANO DE SAÚDE. CDC. APLICAÇÃO. ENUNCIADO Nº 469, DA SÚMULA DO STJ. TRATAMENTO PSIQUIÁTRICO. SÍNDROME DE DEPENDÊNCIA DE MÚLTIPLAS DROGAS. INTERNAÇÃO COM URGÊNCIA. NÃO FORNECIMENTO DE REDE CREDENCIADA. ABUSIVIDADE. REEMBOLSO INTEGRAL. INTERNAÇÃO SUPERIOR A TRINTA (30) DIAS. COPARTICIPAÇÃO</w:t>
      </w:r>
      <w:r w:rsidRPr="00966C79">
        <w:rPr>
          <w:b/>
          <w:color w:val="00B050"/>
        </w:rPr>
        <w:br/>
        <w:t xml:space="preserve">1. Aplica-se o Código de Defesa do Consumidor nas relações envolvendo plano de saúde, tendo em vista que a atividade securitária está abrangida na definição de fornecedor descrita no art. 3.º, </w:t>
      </w:r>
      <w:r w:rsidRPr="00966C79">
        <w:rPr>
          <w:b/>
          <w:i/>
          <w:iCs/>
          <w:color w:val="00B050"/>
        </w:rPr>
        <w:t>caput</w:t>
      </w:r>
      <w:r w:rsidRPr="00966C79">
        <w:rPr>
          <w:b/>
          <w:color w:val="00B050"/>
        </w:rPr>
        <w:t>, do referido diploma legal, e o beneficiário é destinatário final do produto (art. 2.º, do CDC). Inteligência do Enunciado n.º 469, da Súmula do colendo STJ.</w:t>
      </w:r>
      <w:r w:rsidRPr="00966C79">
        <w:rPr>
          <w:b/>
          <w:color w:val="00B050"/>
        </w:rPr>
        <w:br/>
        <w:t>2. Em se tratando de reembolso de despesas médicas, somente será devida a integralidade dos valores vertidos pelo segurado em situações excepcionais, como a inexistência de estabelecimento conveniado, recusa deste em atender o segurado e urgência da internação.</w:t>
      </w:r>
      <w:r w:rsidRPr="00966C79">
        <w:rPr>
          <w:b/>
          <w:color w:val="00B050"/>
        </w:rPr>
        <w:br/>
        <w:t xml:space="preserve">3. </w:t>
      </w:r>
      <w:r w:rsidRPr="00966C79">
        <w:rPr>
          <w:b/>
          <w:i/>
          <w:iCs/>
          <w:color w:val="00B050"/>
        </w:rPr>
        <w:t>Deve ser determinado o reembolso integral ao consumidor que buscou rede particular em razão da inércia da operadora em informar sobre rede credenciada apta a realizar o método terapêutico indicado pelo médico assistente responsável, obstaculizando seu tratamento.</w:t>
      </w:r>
      <w:r w:rsidRPr="00966C79">
        <w:rPr>
          <w:b/>
          <w:i/>
          <w:iCs/>
          <w:color w:val="008000"/>
        </w:rPr>
        <w:br/>
      </w:r>
      <w:r w:rsidRPr="00966C79">
        <w:rPr>
          <w:b/>
          <w:color w:val="00B050"/>
        </w:rPr>
        <w:t>4. “Nos contratos de plano de saúde não é abusiva a cláusula de coparticipação expressamente ajustada e informada ao consumidor, à razão máxima de 50% (cinquenta por cento) do valor das despesas, nos casos de internação superior a 30 (trinta) dias por ano, decorrente de transtornos psiquiátricos, preservada a manutenção do equilíbrio financeiro” (Tema 1.032, do STJ).</w:t>
      </w:r>
      <w:r w:rsidRPr="00966C79">
        <w:rPr>
          <w:b/>
          <w:color w:val="00B050"/>
        </w:rPr>
        <w:br/>
        <w:t>5. Apelo parcialmente provido.</w:t>
      </w:r>
      <w:r w:rsidRPr="00966C79">
        <w:rPr>
          <w:b/>
          <w:color w:val="00B050"/>
        </w:rPr>
        <w:br/>
        <w:t xml:space="preserve">(TJDFT. Acórdão 1925323, </w:t>
      </w:r>
      <w:hyperlink r:id="rId20" w:tooltip="Clique com o botão direito para copiar" w:history="1">
        <w:r w:rsidRPr="00966C79">
          <w:rPr>
            <w:rStyle w:val="Hyperlink"/>
            <w:b/>
          </w:rPr>
          <w:t>0751769-31.2023.8.07.0001</w:t>
        </w:r>
      </w:hyperlink>
      <w:r w:rsidRPr="00966C79">
        <w:rPr>
          <w:b/>
          <w:color w:val="00B050"/>
        </w:rPr>
        <w:t>, Relator: ARNOLDO CAMANHO DE ASSIS, 4.ª Turma Cível, data de julgamento: 19.09.2024, publicado no DJe: 07.10.2024).</w:t>
      </w:r>
    </w:p>
    <w:p w14:paraId="650566AA" w14:textId="77777777" w:rsidR="00966C79" w:rsidRPr="00966C79" w:rsidRDefault="00966C79" w:rsidP="00966C79">
      <w:pPr>
        <w:jc w:val="both"/>
        <w:rPr>
          <w:b/>
          <w:color w:val="008000"/>
        </w:rPr>
      </w:pPr>
      <w:r w:rsidRPr="00966C79">
        <w:rPr>
          <w:b/>
          <w:color w:val="00B050"/>
        </w:rPr>
        <w:t xml:space="preserve">Ante tudo o quanto expus, </w:t>
      </w:r>
      <w:r w:rsidRPr="00966C79">
        <w:rPr>
          <w:b/>
          <w:i/>
          <w:iCs/>
          <w:color w:val="00B050"/>
        </w:rPr>
        <w:t>indefiro os requerimentos</w:t>
      </w:r>
      <w:r w:rsidRPr="00966C79">
        <w:rPr>
          <w:b/>
          <w:color w:val="00B050"/>
        </w:rPr>
        <w:t xml:space="preserve"> formulados ela executada </w:t>
      </w:r>
      <w:r w:rsidRPr="00966C79">
        <w:rPr>
          <w:b/>
          <w:i/>
          <w:iCs/>
          <w:color w:val="00B050"/>
        </w:rPr>
        <w:t>Geap</w:t>
      </w:r>
      <w:r w:rsidRPr="00966C79">
        <w:rPr>
          <w:b/>
          <w:color w:val="00B050"/>
        </w:rPr>
        <w:t xml:space="preserve"> (ID: </w:t>
      </w:r>
      <w:hyperlink r:id="rId21" w:tgtFrame="_blank" w:tooltip="Clique com o botão direito para copiar" w:history="1">
        <w:r w:rsidRPr="00966C79">
          <w:rPr>
            <w:rStyle w:val="Hyperlink"/>
            <w:b/>
          </w:rPr>
          <w:t>270571465</w:t>
        </w:r>
      </w:hyperlink>
      <w:r w:rsidRPr="00966C79">
        <w:rPr>
          <w:b/>
          <w:color w:val="00B050"/>
        </w:rPr>
        <w:t>).</w:t>
      </w:r>
    </w:p>
    <w:p w14:paraId="1B407C59" w14:textId="77777777" w:rsidR="00966C79" w:rsidRPr="00966C79" w:rsidRDefault="00966C79" w:rsidP="00966C79">
      <w:pPr>
        <w:jc w:val="both"/>
        <w:rPr>
          <w:b/>
          <w:color w:val="008000"/>
        </w:rPr>
      </w:pPr>
      <w:r w:rsidRPr="00966C79">
        <w:rPr>
          <w:b/>
          <w:color w:val="00B050"/>
        </w:rPr>
        <w:t xml:space="preserve">Por derradeiro, tendo sido demonstrado o </w:t>
      </w:r>
      <w:r w:rsidRPr="00966C79">
        <w:rPr>
          <w:b/>
          <w:i/>
          <w:iCs/>
          <w:color w:val="00B050"/>
        </w:rPr>
        <w:t>descumprimento</w:t>
      </w:r>
      <w:r w:rsidRPr="00966C79">
        <w:rPr>
          <w:b/>
          <w:color w:val="00B050"/>
        </w:rPr>
        <w:t xml:space="preserve"> da decisão que deferiu a tutela provisória, intime-se a parte exequente para que indique um "</w:t>
      </w:r>
      <w:r w:rsidRPr="00966C79">
        <w:rPr>
          <w:b/>
          <w:i/>
          <w:iCs/>
          <w:color w:val="00B050"/>
        </w:rPr>
        <w:t>estabelecimento clínico que reúna as terapias e especialidades prescritas em relatório médico</w:t>
      </w:r>
      <w:r w:rsidRPr="00966C79">
        <w:rPr>
          <w:b/>
          <w:color w:val="00B050"/>
        </w:rPr>
        <w:t xml:space="preserve">" (ID: </w:t>
      </w:r>
      <w:hyperlink r:id="rId22" w:tgtFrame="_blank" w:tooltip="Clique com o botão direito para copiar" w:history="1">
        <w:r w:rsidRPr="00966C79">
          <w:rPr>
            <w:rStyle w:val="Hyperlink"/>
            <w:b/>
          </w:rPr>
          <w:t>268673413</w:t>
        </w:r>
      </w:hyperlink>
      <w:r w:rsidRPr="00966C79">
        <w:rPr>
          <w:b/>
          <w:color w:val="00B050"/>
        </w:rPr>
        <w:t xml:space="preserve">,) apresentando o orçamento (de forma integral) e os respectivos dados bancários no prazo de 10 dias. Feito isso, proceda-se ao </w:t>
      </w:r>
      <w:r w:rsidRPr="00966C79">
        <w:rPr>
          <w:b/>
          <w:i/>
          <w:iCs/>
          <w:color w:val="00B050"/>
        </w:rPr>
        <w:t>bloqueio</w:t>
      </w:r>
      <w:r w:rsidRPr="00966C79">
        <w:rPr>
          <w:b/>
          <w:color w:val="00B050"/>
        </w:rPr>
        <w:t> por meio eletrônico em favor da favorecida a ser indicada.</w:t>
      </w:r>
    </w:p>
    <w:p w14:paraId="13EF2E16" w14:textId="77777777" w:rsidR="00966C79" w:rsidRPr="00966C79" w:rsidRDefault="00966C79" w:rsidP="00966C79">
      <w:pPr>
        <w:jc w:val="both"/>
        <w:rPr>
          <w:b/>
          <w:color w:val="008000"/>
        </w:rPr>
      </w:pPr>
      <w:r w:rsidRPr="00966C79">
        <w:rPr>
          <w:b/>
          <w:i/>
          <w:iCs/>
          <w:color w:val="00B050"/>
        </w:rPr>
        <w:t>Intimem-se e cumpra-se.</w:t>
      </w:r>
    </w:p>
    <w:p w14:paraId="59C7CDF8" w14:textId="77777777" w:rsidR="00966C79" w:rsidRPr="00966C79" w:rsidRDefault="00966C79" w:rsidP="00966C79">
      <w:pPr>
        <w:jc w:val="both"/>
        <w:rPr>
          <w:b/>
          <w:color w:val="008000"/>
        </w:rPr>
      </w:pPr>
      <w:r w:rsidRPr="00966C79">
        <w:rPr>
          <w:b/>
          <w:color w:val="00B050"/>
        </w:rPr>
        <w:t>Brasília, 16 de junho de 2026, 15:53:22.</w:t>
      </w:r>
    </w:p>
    <w:p w14:paraId="613583F9" w14:textId="77777777" w:rsidR="00966C79" w:rsidRPr="00966C79" w:rsidRDefault="00966C79" w:rsidP="00966C79">
      <w:pPr>
        <w:jc w:val="both"/>
        <w:rPr>
          <w:b/>
          <w:color w:val="008000"/>
        </w:rPr>
      </w:pPr>
      <w:r w:rsidRPr="00966C79">
        <w:rPr>
          <w:b/>
          <w:color w:val="008000"/>
        </w:rPr>
        <w:br/>
      </w:r>
    </w:p>
    <w:p w14:paraId="5D14E257" w14:textId="77777777" w:rsidR="00966C79" w:rsidRPr="00966C79" w:rsidRDefault="00966C79" w:rsidP="00966C79">
      <w:pPr>
        <w:jc w:val="both"/>
        <w:rPr>
          <w:b/>
          <w:color w:val="008000"/>
        </w:rPr>
      </w:pPr>
      <w:r w:rsidRPr="00966C79">
        <w:rPr>
          <w:b/>
          <w:color w:val="00B050"/>
        </w:rPr>
        <w:t>PAULO CERQUEIRA CAMPOS</w:t>
      </w:r>
      <w:r w:rsidRPr="00966C79">
        <w:rPr>
          <w:b/>
          <w:color w:val="00B050"/>
        </w:rPr>
        <w:br/>
        <w:t>Juiz de Direito</w:t>
      </w:r>
    </w:p>
    <w:sectPr w:rsidR="00966C79" w:rsidRPr="00966C79">
      <w:footerReference w:type="default" r:id="rId2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yane Rodrigues Lazzari Wegener - GDSXSR" w:date="2026-10-30T17:12:00Z" w:initials="NR">
    <w:p w14:paraId="683505D5" w14:textId="77777777" w:rsidR="00A036F5" w:rsidRDefault="00A036F5" w:rsidP="00A036F5">
      <w:pPr>
        <w:pStyle w:val="Textodecomentrio"/>
      </w:pPr>
      <w:r>
        <w:rPr>
          <w:rStyle w:val="Refdecomentrio"/>
        </w:rPr>
        <w:annotationRef/>
      </w:r>
      <w:r>
        <w:t>Conclusão: 01/10/26</w:t>
      </w:r>
      <w:r>
        <w:br/>
        <w:t>Entrega: 30/10/26</w:t>
      </w:r>
      <w:r>
        <w:br/>
        <w:t>Certeza: 9</w:t>
      </w:r>
    </w:p>
  </w:comment>
  <w:comment w:id="1" w:author="Assessor GDSXSR" w:initials="AG" w:date="2026-10-30T23:55:15Z">
    <w:p>
      <w:pPr>
        <w:pStyle w:val="CommentText"/>
      </w:pPr>
      <w:r>
        <w:rPr>
          <w:rStyle w:val="CommentReference"/>
        </w:rPr>
        <w:annotationRef/>
      </w:r>
      <w:r>
        <w:t>ASSESSOR GDSXSR — Alterações mecânicas: título EMENTA à esquerda (C-42); resumos em vermelho EE0000, sem mexer no conteúdo (C-39); decisão anexada em verde 00B050 (C-45); IDs ao final dos períodos (C-20). O CPC não é citado no voto; a RN ANS nº 566/2022, art. 10, aparece só dentro da decisão agravada transcrita. Citação conferida: RN ANS nº 539/2022 (comentário do item 6).</w:t>
      </w:r>
    </w:p>
  </w:comment>
  <w:comment w:id="2" w:author="Assessor GDSXSR" w:initials="AG" w:date="2026-10-30T23:55:15Z">
    <w:p>
      <w:pPr>
        <w:pStyle w:val="CommentText"/>
      </w:pPr>
      <w:r>
        <w:rPr>
          <w:rStyle w:val="CommentReference"/>
        </w:rPr>
        <w:annotationRef/>
      </w:r>
      <w:r>
        <w:t>ASSESSOR GDSXSR — Fecho do cabeçalho: “RECURSO PARCIALMENTE PROVIDO.” (C-3E).</w:t>
      </w:r>
    </w:p>
  </w:comment>
  <w:comment w:id="3" w:author="Assessor GDSXSR" w:initials="AG" w:date="2026-10-30T23:55:15Z">
    <w:p>
      <w:pPr>
        <w:pStyle w:val="CommentText"/>
      </w:pPr>
      <w:r>
        <w:rPr>
          <w:rStyle w:val="CommentReference"/>
        </w:rPr>
        <w:annotationRef/>
      </w:r>
      <w:r>
        <w:t>ASSESSOR GDSXSR — Item 1: a parte autora vem qualificada como menor, com 12 anos (relatório da liminar, ID 86535037), e pelo papel de exequente e executada (C-34A (c)); “pessoa natural” sai porque já há qualificação (C-34, v60). Não há diagnóstico nos autos recebidos, por isso não o nomeei (C-34A (d), C-24).</w:t>
      </w:r>
    </w:p>
  </w:comment>
  <w:comment w:id="4" w:author="Assessor GDSXSR" w:initials="AG" w:date="2026-10-30T23:55:15Z">
    <w:p>
      <w:pPr>
        <w:pStyle w:val="CommentText"/>
      </w:pPr>
      <w:r>
        <w:rPr>
          <w:rStyle w:val="CommentReference"/>
        </w:rPr>
        <w:annotationRef/>
      </w:r>
      <w:r>
        <w:t>ASSESSOR GDSXSR — Reescrevi o item 6 conforme o texto da RN ANS nº 539/2022 (art. 3º, que acrescentou o § 4º ao art. 6º da RN nº 465/2021) e cindi em item próprio o fundamento da formação genérica, um fundamento por item (C-35); renumerei os seguintes. Texto literal (C-63): “Para a cobertura dos procedimentos que envolvam o tratamento/manejo dos beneficiários portadores de transtornos globais do desenvolvimento, incluindo o transtorno do espectro autista, a operadora deverá oferecer atendimento por prestador apto a executar o método ou técnica indicados pelo médico assistente para tratar a doença ou agravo do paciente.” (fonte: DOU de 24/06/2022, Seção 1, p. 93, em cópia divulgada na web). Pendência (C-52): conferir no site da ANS a redação e a vigência atuais do § 4º do art. 6º da RN nº 465/2021; o relatório médico, que não veio nos autos recebidos, é que mostra se a menor se enquadra em transtorno global do desenvolvimento (CID F84) (C-24).</w:t>
      </w:r>
    </w:p>
  </w:comment>
  <w:comment w:id="5" w:author="Assessor GDSXSR" w:initials="AG" w:date="2026-10-30T23:55:15Z">
    <w:p>
      <w:pPr>
        <w:pStyle w:val="CommentText"/>
      </w:pPr>
      <w:r>
        <w:rPr>
          <w:rStyle w:val="CommentReference"/>
        </w:rPr>
        <w:annotationRef/>
      </w:r>
      <w:r>
        <w:t>ASSESSOR GDSXSR — Cindi o item 7 em dois (exame prévio da clínica; contraditório), um fundamento por item (C-35).</w:t>
      </w:r>
    </w:p>
  </w:comment>
  <w:comment w:id="6" w:author="Assessor GDSXSR" w:initials="AG" w:date="2026-10-30T23:55:15Z">
    <w:p>
      <w:pPr>
        <w:pStyle w:val="CommentText"/>
      </w:pPr>
      <w:r>
        <w:rPr>
          <w:rStyle w:val="CommentReference"/>
        </w:rPr>
        <w:annotationRef/>
      </w:r>
      <w:r>
        <w:t>ASSESSOR GDSXSR — Troquei “tutela recursal” por “liminar”, como no voto (C-17), e renumerei (item 11).</w:t>
      </w:r>
    </w:p>
  </w:comment>
  <w:comment w:id="7" w:author="Assessor GDSXSR" w:initials="AG" w:date="2026-10-30T23:55:15Z">
    <w:p>
      <w:pPr>
        <w:pStyle w:val="CommentText"/>
      </w:pPr>
      <w:r>
        <w:rPr>
          <w:rStyle w:val="CommentReference"/>
        </w:rPr>
        <w:annotationRef/>
      </w:r>
      <w:r>
        <w:t>ASSESSOR GDSXSR — Retirei o CPC 1.015, parágrafo único, que só aparece no resumo do agravo, e acrescentei a RN ANS nº 465/2021, art. 6º, § 4º, que o voto aplica. Retirei também a linha de jurisprudência: o Acórdão 1925323 consta só da decisão agravada anexada e o voto não o cita (C-33, C-65).</w:t>
      </w:r>
    </w:p>
  </w:comment>
  <w:comment w:id="8" w:author="Assessor GDSXSR" w:initials="AG" w:date="2026-10-30T23:55:15Z">
    <w:p>
      <w:pPr>
        <w:pStyle w:val="CommentText"/>
      </w:pPr>
      <w:r>
        <w:rPr>
          <w:rStyle w:val="CommentReference"/>
        </w:rPr>
        <w:annotationRef/>
      </w:r>
      <w:r>
        <w:t>ASSESSOR GDSXSR — Corrigi “exequente/ agravada” e levei o ID para antes do ponto final (C-20, C-28).</w:t>
      </w:r>
    </w:p>
  </w:comment>
  <w:comment w:id="9" w:author="Assessor GDSXSR" w:initials="AG" w:date="2026-10-30T23:55:15Z">
    <w:p>
      <w:pPr>
        <w:pStyle w:val="CommentText"/>
      </w:pPr>
      <w:r>
        <w:rPr>
          <w:rStyle w:val="CommentReference"/>
        </w:rPr>
        <w:annotationRef/>
      </w:r>
      <w:r>
        <w:t>ASSESSOR GDSXSR — Retitulei pelo que o capítulo decide: a rede credenciada e o bloqueio de valores, pedidos do agravo, e realcei o título em amarelo (C-3W (b), C-3C, C-42).</w:t>
      </w:r>
    </w:p>
  </w:comment>
  <w:comment w:id="10" w:author="Assessor GDSXSR" w:initials="AG" w:date="2026-10-30T23:55:15Z">
    <w:p>
      <w:pPr>
        <w:pStyle w:val="CommentText"/>
      </w:pPr>
      <w:r>
        <w:rPr>
          <w:rStyle w:val="CommentReference"/>
        </w:rPr>
        <w:annotationRef/>
      </w:r>
      <w:r>
        <w:t>ASSESSOR GDSXSR — Realcei o veredito em amarelo (C-42).</w:t>
      </w:r>
    </w:p>
  </w:comment>
  <w:comment w:id="11" w:author="Assessor GDSXSR" w:initials="AG" w:date="2026-10-30T23:55:15Z">
    <w:p>
      <w:pPr>
        <w:pStyle w:val="CommentText"/>
      </w:pPr>
      <w:r>
        <w:rPr>
          <w:rStyle w:val="CommentReference"/>
        </w:rPr>
        <w:annotationRef/>
      </w:r>
      <w:r>
        <w:t>ASSESSOR GDSXSR — Fórmula “Mantenho as razões expostas na decisão liminar que deferiu em parte o efeito suspensivo (ID 86535037)”, conforme o relatório; a minuta dizia “decisão que antecipou a tutela recursal” e não trazia o ID (C-17, C-3S).</w:t>
      </w:r>
    </w:p>
  </w:comment>
  <w:comment w:id="12" w:author="Assessor GDSXSR" w:initials="AG" w:date="2026-10-30T23:55:15Z">
    <w:p>
      <w:pPr>
        <w:pStyle w:val="CommentText"/>
      </w:pPr>
      <w:r>
        <w:rPr>
          <w:rStyle w:val="CommentReference"/>
        </w:rPr>
        <w:annotationRef/>
      </w:r>
      <w:r>
        <w:t>ASSESSOR GDSXSR — Acrescentei o ID da liminar ao fim da transcrição (C-66 (c)).</w:t>
      </w:r>
    </w:p>
  </w:comment>
  <w:comment w:id="13" w:author="Assessor GDSXSR" w:initials="AG" w:date="2026-10-30T23:55:15Z">
    <w:p>
      <w:pPr>
        <w:pStyle w:val="CommentText"/>
      </w:pPr>
      <w:r>
        <w:rPr>
          <w:rStyle w:val="CommentReference"/>
        </w:rPr>
        <w:annotationRef/>
      </w:r>
      <w:r>
        <w:t>ASSESSOR GDSXSR — Mantive só o enfrentamento que a liminar não cobria (certificação BCBA e RN ANS nº 539/2022). Cortei a segunda frase deste parágrafo, que repetia a obrigação já transcrita da liminar, e tirei o “Dito isso…”, que é a fórmula do fecho (C-17).</w:t>
      </w:r>
    </w:p>
  </w:comment>
  <w:comment w:id="14" w:author="Assessor GDSXSR" w:initials="AG" w:date="2026-10-30T23:55:15Z">
    <w:p>
      <w:pPr>
        <w:pStyle w:val="CommentText"/>
      </w:pPr>
      <w:r>
        <w:rPr>
          <w:rStyle w:val="CommentReference"/>
        </w:rPr>
        <w:annotationRef/>
      </w:r>
      <w:r>
        <w:t>ASSESSOR GDSXSR — Ajustei a descrição da RN ANS nº 539/2022 ao texto da norma (comentário do item 6 da ementa) e cindi o parágrafo (C-12, C-11).</w:t>
      </w:r>
    </w:p>
  </w:comment>
  <w:comment w:id="15" w:author="Assessor GDSXSR" w:initials="AG" w:date="2026-10-30T23:55:15Z">
    <w:p>
      <w:pPr>
        <w:pStyle w:val="CommentText"/>
      </w:pPr>
      <w:r>
        <w:rPr>
          <w:rStyle w:val="CommentReference"/>
        </w:rPr>
        <w:annotationRef/>
      </w:r>
      <w:r>
        <w:t>ASSESSOR GDSXSR — Suprimi os parágrafos sobre o bloqueio eletrônico e a legitimidade das medidas coercitivas, que repetiam a liminar transcrita, e fundi a conclusão no fecho de AGI aderente à liminar (C-17, C-02). Corrigi a frase truncada “da compatibilidade do orçamento apresentado”.</w:t>
      </w:r>
    </w:p>
  </w:comment>
  <w:comment w:id="16" w:author="Assessor GDSXSR" w:initials="AG" w:date="2026-10-30T23:55:15Z">
    <w:p>
      <w:pPr>
        <w:pStyle w:val="CommentText"/>
      </w:pPr>
      <w:r>
        <w:rPr>
          <w:rStyle w:val="CommentReference"/>
        </w:rPr>
        <w:annotationRef/>
      </w:r>
      <w:r>
        <w:t>ASSESSOR GDSXSR — Corrigi “do executado” para “da executada” (C-3D) e “exequente/ agravada”; o dispositivo não repete o conhecimento, já declarado no voto (C-3T).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3505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5A8AF7" w16cex:dateUtc="2026-10-30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3505D5" w16cid:durableId="6D5A8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FFD2D" w14:textId="77777777" w:rsidR="0030730C" w:rsidRDefault="0030730C" w:rsidP="003A42DE">
      <w:pPr>
        <w:spacing w:after="0" w:line="240" w:lineRule="auto"/>
      </w:pPr>
      <w:r>
        <w:separator/>
      </w:r>
    </w:p>
  </w:endnote>
  <w:endnote w:type="continuationSeparator" w:id="0">
    <w:p w14:paraId="6D63B7B3" w14:textId="77777777" w:rsidR="0030730C" w:rsidRDefault="0030730C" w:rsidP="003A42DE">
      <w:pPr>
        <w:spacing w:after="0" w:line="240" w:lineRule="auto"/>
      </w:pPr>
      <w:r>
        <w:continuationSeparator/>
      </w:r>
    </w:p>
  </w:endnote>
  <w:endnote w:type="continuationNotice" w:id="1">
    <w:p w14:paraId="6C4D9EDD" w14:textId="77777777" w:rsidR="0030730C" w:rsidRDefault="0030730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End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DE4A4" w14:textId="77777777" w:rsidR="0030730C" w:rsidRDefault="0030730C" w:rsidP="003A42DE">
      <w:pPr>
        <w:spacing w:after="0" w:line="240" w:lineRule="auto"/>
      </w:pPr>
      <w:r>
        <w:separator/>
      </w:r>
    </w:p>
  </w:footnote>
  <w:footnote w:type="continuationSeparator" w:id="0">
    <w:p w14:paraId="7DC9BC20" w14:textId="77777777" w:rsidR="0030730C" w:rsidRDefault="0030730C" w:rsidP="003A42DE">
      <w:pPr>
        <w:spacing w:after="0" w:line="240" w:lineRule="auto"/>
      </w:pPr>
      <w:r>
        <w:continuationSeparator/>
      </w:r>
    </w:p>
  </w:footnote>
  <w:footnote w:type="continuationNotice" w:id="1">
    <w:p w14:paraId="0A8EA202" w14:textId="77777777" w:rsidR="0030730C" w:rsidRDefault="0030730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625C"/>
    <w:multiLevelType w:val="multilevel"/>
    <w:tmpl w:val="39F495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8343E"/>
    <w:multiLevelType w:val="multilevel"/>
    <w:tmpl w:val="B640485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F7A3898"/>
    <w:multiLevelType w:val="multilevel"/>
    <w:tmpl w:val="DB12C7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9E06F1"/>
    <w:multiLevelType w:val="multilevel"/>
    <w:tmpl w:val="16F8A7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5F4375"/>
    <w:multiLevelType w:val="multilevel"/>
    <w:tmpl w:val="3C8E95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182B9B"/>
    <w:multiLevelType w:val="multilevel"/>
    <w:tmpl w:val="05BEA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21276C"/>
    <w:multiLevelType w:val="multilevel"/>
    <w:tmpl w:val="4D10D1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B160D3"/>
    <w:multiLevelType w:val="hybridMultilevel"/>
    <w:tmpl w:val="F3A22752"/>
    <w:lvl w:ilvl="0" w:tplc="332EDA1C">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abstractNum w:abstractNumId="10" w15:restartNumberingAfterBreak="0">
    <w:nsid w:val="7EEB5727"/>
    <w:multiLevelType w:val="multilevel"/>
    <w:tmpl w:val="94121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040057">
    <w:abstractNumId w:val="3"/>
  </w:num>
  <w:num w:numId="2" w16cid:durableId="1365403601">
    <w:abstractNumId w:val="2"/>
  </w:num>
  <w:num w:numId="3" w16cid:durableId="1872036300">
    <w:abstractNumId w:val="9"/>
  </w:num>
  <w:num w:numId="4" w16cid:durableId="1377319943">
    <w:abstractNumId w:val="7"/>
  </w:num>
  <w:num w:numId="5" w16cid:durableId="1264343038">
    <w:abstractNumId w:val="4"/>
  </w:num>
  <w:num w:numId="6" w16cid:durableId="1133594282">
    <w:abstractNumId w:val="0"/>
  </w:num>
  <w:num w:numId="7" w16cid:durableId="2060396670">
    <w:abstractNumId w:val="5"/>
  </w:num>
  <w:num w:numId="8" w16cid:durableId="1375696129">
    <w:abstractNumId w:val="6"/>
  </w:num>
  <w:num w:numId="9" w16cid:durableId="1617642684">
    <w:abstractNumId w:val="1"/>
  </w:num>
  <w:num w:numId="10" w16cid:durableId="684554499">
    <w:abstractNumId w:val="10"/>
  </w:num>
  <w:num w:numId="11" w16cid:durableId="174857244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yane Rodrigues Lazzari Wegener - GDSXSR">
    <w15:presenceInfo w15:providerId="AD" w15:userId="S::t320330@tjdft.jus.br::7d89a8a8-58b5-4181-b2d0-c175980459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4C11"/>
    <w:rsid w:val="00005FE1"/>
    <w:rsid w:val="00012123"/>
    <w:rsid w:val="0002189B"/>
    <w:rsid w:val="00022D84"/>
    <w:rsid w:val="0002738F"/>
    <w:rsid w:val="00033AFD"/>
    <w:rsid w:val="00034BFA"/>
    <w:rsid w:val="000354CF"/>
    <w:rsid w:val="000364B1"/>
    <w:rsid w:val="0005261A"/>
    <w:rsid w:val="00052AE3"/>
    <w:rsid w:val="00054434"/>
    <w:rsid w:val="000564D1"/>
    <w:rsid w:val="0006080C"/>
    <w:rsid w:val="000619E0"/>
    <w:rsid w:val="00064301"/>
    <w:rsid w:val="00067717"/>
    <w:rsid w:val="000701F9"/>
    <w:rsid w:val="00074DCF"/>
    <w:rsid w:val="00076D7D"/>
    <w:rsid w:val="00077579"/>
    <w:rsid w:val="00080991"/>
    <w:rsid w:val="0009174A"/>
    <w:rsid w:val="00091ABC"/>
    <w:rsid w:val="000A7009"/>
    <w:rsid w:val="000B0FC6"/>
    <w:rsid w:val="000B1F20"/>
    <w:rsid w:val="000D184E"/>
    <w:rsid w:val="000D1D2F"/>
    <w:rsid w:val="000D2E62"/>
    <w:rsid w:val="000D59B2"/>
    <w:rsid w:val="000F10FD"/>
    <w:rsid w:val="000F1358"/>
    <w:rsid w:val="000F1817"/>
    <w:rsid w:val="000F5CB5"/>
    <w:rsid w:val="001009CC"/>
    <w:rsid w:val="0011527A"/>
    <w:rsid w:val="00115458"/>
    <w:rsid w:val="00115569"/>
    <w:rsid w:val="00122133"/>
    <w:rsid w:val="00125329"/>
    <w:rsid w:val="00126B66"/>
    <w:rsid w:val="00131A63"/>
    <w:rsid w:val="00134765"/>
    <w:rsid w:val="00137A7E"/>
    <w:rsid w:val="00143475"/>
    <w:rsid w:val="00151611"/>
    <w:rsid w:val="00161CD2"/>
    <w:rsid w:val="001653BF"/>
    <w:rsid w:val="00173733"/>
    <w:rsid w:val="001801E9"/>
    <w:rsid w:val="00182C91"/>
    <w:rsid w:val="00183178"/>
    <w:rsid w:val="00183B77"/>
    <w:rsid w:val="00183D34"/>
    <w:rsid w:val="00187D84"/>
    <w:rsid w:val="001A09B8"/>
    <w:rsid w:val="001B5F56"/>
    <w:rsid w:val="001C3A23"/>
    <w:rsid w:val="001C466B"/>
    <w:rsid w:val="001D2162"/>
    <w:rsid w:val="001D300D"/>
    <w:rsid w:val="001D385D"/>
    <w:rsid w:val="001E4974"/>
    <w:rsid w:val="001E7903"/>
    <w:rsid w:val="001F7AC2"/>
    <w:rsid w:val="00200670"/>
    <w:rsid w:val="00203B1D"/>
    <w:rsid w:val="002047FF"/>
    <w:rsid w:val="00204F2E"/>
    <w:rsid w:val="00205849"/>
    <w:rsid w:val="00205FCC"/>
    <w:rsid w:val="00206304"/>
    <w:rsid w:val="002126F1"/>
    <w:rsid w:val="0021526A"/>
    <w:rsid w:val="00215557"/>
    <w:rsid w:val="00231427"/>
    <w:rsid w:val="00232EEB"/>
    <w:rsid w:val="00252006"/>
    <w:rsid w:val="00253393"/>
    <w:rsid w:val="00254E51"/>
    <w:rsid w:val="0026070B"/>
    <w:rsid w:val="00264107"/>
    <w:rsid w:val="00274644"/>
    <w:rsid w:val="00277029"/>
    <w:rsid w:val="0028319F"/>
    <w:rsid w:val="0028377E"/>
    <w:rsid w:val="00283BF5"/>
    <w:rsid w:val="00292D3B"/>
    <w:rsid w:val="00292E82"/>
    <w:rsid w:val="00296DAE"/>
    <w:rsid w:val="002A2038"/>
    <w:rsid w:val="002A3D11"/>
    <w:rsid w:val="002A5205"/>
    <w:rsid w:val="002B1184"/>
    <w:rsid w:val="002B210E"/>
    <w:rsid w:val="002B6CCD"/>
    <w:rsid w:val="002C2464"/>
    <w:rsid w:val="002C42D2"/>
    <w:rsid w:val="002D0BA1"/>
    <w:rsid w:val="002D127E"/>
    <w:rsid w:val="002D2D56"/>
    <w:rsid w:val="002D3FF3"/>
    <w:rsid w:val="002F13AB"/>
    <w:rsid w:val="00303FAE"/>
    <w:rsid w:val="0030730C"/>
    <w:rsid w:val="0031063D"/>
    <w:rsid w:val="00312291"/>
    <w:rsid w:val="00312DDE"/>
    <w:rsid w:val="00314FAC"/>
    <w:rsid w:val="00316B1F"/>
    <w:rsid w:val="00321068"/>
    <w:rsid w:val="00323779"/>
    <w:rsid w:val="00323D27"/>
    <w:rsid w:val="0033305F"/>
    <w:rsid w:val="00337362"/>
    <w:rsid w:val="0034511C"/>
    <w:rsid w:val="00347818"/>
    <w:rsid w:val="00351653"/>
    <w:rsid w:val="00351BF2"/>
    <w:rsid w:val="003524E5"/>
    <w:rsid w:val="00352D66"/>
    <w:rsid w:val="00353DC8"/>
    <w:rsid w:val="00354AA2"/>
    <w:rsid w:val="00355C73"/>
    <w:rsid w:val="00361B6F"/>
    <w:rsid w:val="003624B4"/>
    <w:rsid w:val="003668EB"/>
    <w:rsid w:val="003717FC"/>
    <w:rsid w:val="003749AB"/>
    <w:rsid w:val="00375FE4"/>
    <w:rsid w:val="0038370F"/>
    <w:rsid w:val="0038410E"/>
    <w:rsid w:val="00396413"/>
    <w:rsid w:val="003A42DE"/>
    <w:rsid w:val="003A4E55"/>
    <w:rsid w:val="003B3398"/>
    <w:rsid w:val="003D11BE"/>
    <w:rsid w:val="003D3FEE"/>
    <w:rsid w:val="003D4AC5"/>
    <w:rsid w:val="003E436D"/>
    <w:rsid w:val="003F6A6A"/>
    <w:rsid w:val="00413928"/>
    <w:rsid w:val="00423538"/>
    <w:rsid w:val="004236F7"/>
    <w:rsid w:val="00423F93"/>
    <w:rsid w:val="004310D8"/>
    <w:rsid w:val="0044278D"/>
    <w:rsid w:val="004436D1"/>
    <w:rsid w:val="004451BA"/>
    <w:rsid w:val="00445ED9"/>
    <w:rsid w:val="00447ECC"/>
    <w:rsid w:val="00451A6D"/>
    <w:rsid w:val="00456F19"/>
    <w:rsid w:val="00460071"/>
    <w:rsid w:val="00463883"/>
    <w:rsid w:val="00466CB5"/>
    <w:rsid w:val="00467E86"/>
    <w:rsid w:val="00470D8F"/>
    <w:rsid w:val="0047216B"/>
    <w:rsid w:val="00475E1F"/>
    <w:rsid w:val="004762F1"/>
    <w:rsid w:val="00480A33"/>
    <w:rsid w:val="00485185"/>
    <w:rsid w:val="00485643"/>
    <w:rsid w:val="00495EB5"/>
    <w:rsid w:val="00496EB5"/>
    <w:rsid w:val="004A11BC"/>
    <w:rsid w:val="004A3312"/>
    <w:rsid w:val="004B14BB"/>
    <w:rsid w:val="004B2A9C"/>
    <w:rsid w:val="004C0465"/>
    <w:rsid w:val="004C33F1"/>
    <w:rsid w:val="004C591E"/>
    <w:rsid w:val="004C7418"/>
    <w:rsid w:val="004D3E2F"/>
    <w:rsid w:val="004E27C1"/>
    <w:rsid w:val="004E61E1"/>
    <w:rsid w:val="004E6253"/>
    <w:rsid w:val="004F262B"/>
    <w:rsid w:val="004F58CC"/>
    <w:rsid w:val="00506A7D"/>
    <w:rsid w:val="00506D76"/>
    <w:rsid w:val="00517F10"/>
    <w:rsid w:val="00530C7C"/>
    <w:rsid w:val="00534782"/>
    <w:rsid w:val="00537AE0"/>
    <w:rsid w:val="00542FD5"/>
    <w:rsid w:val="0054511D"/>
    <w:rsid w:val="00550DE0"/>
    <w:rsid w:val="00557342"/>
    <w:rsid w:val="00560427"/>
    <w:rsid w:val="005654BC"/>
    <w:rsid w:val="0057351F"/>
    <w:rsid w:val="00573C5D"/>
    <w:rsid w:val="00576A45"/>
    <w:rsid w:val="0057726B"/>
    <w:rsid w:val="00586CF2"/>
    <w:rsid w:val="00586EB6"/>
    <w:rsid w:val="005925FC"/>
    <w:rsid w:val="005953DB"/>
    <w:rsid w:val="0059689A"/>
    <w:rsid w:val="00597864"/>
    <w:rsid w:val="005A1AD9"/>
    <w:rsid w:val="005B1C70"/>
    <w:rsid w:val="005B3A9E"/>
    <w:rsid w:val="005B7851"/>
    <w:rsid w:val="005C2DC2"/>
    <w:rsid w:val="005C31C4"/>
    <w:rsid w:val="005C69F8"/>
    <w:rsid w:val="005D438E"/>
    <w:rsid w:val="005D6271"/>
    <w:rsid w:val="005E3F4E"/>
    <w:rsid w:val="00601B09"/>
    <w:rsid w:val="0060333D"/>
    <w:rsid w:val="00611216"/>
    <w:rsid w:val="0061262D"/>
    <w:rsid w:val="00614EED"/>
    <w:rsid w:val="00615051"/>
    <w:rsid w:val="00615A3E"/>
    <w:rsid w:val="00620BEC"/>
    <w:rsid w:val="006226C6"/>
    <w:rsid w:val="00624943"/>
    <w:rsid w:val="00631154"/>
    <w:rsid w:val="006318D6"/>
    <w:rsid w:val="00632EAA"/>
    <w:rsid w:val="00633703"/>
    <w:rsid w:val="00635527"/>
    <w:rsid w:val="00640282"/>
    <w:rsid w:val="00641BB6"/>
    <w:rsid w:val="00643B97"/>
    <w:rsid w:val="00645ACD"/>
    <w:rsid w:val="00661CF3"/>
    <w:rsid w:val="00665626"/>
    <w:rsid w:val="006658A2"/>
    <w:rsid w:val="00672FEA"/>
    <w:rsid w:val="00684AF2"/>
    <w:rsid w:val="00684EAC"/>
    <w:rsid w:val="00686574"/>
    <w:rsid w:val="006921E1"/>
    <w:rsid w:val="00692841"/>
    <w:rsid w:val="00693B0D"/>
    <w:rsid w:val="006B0D47"/>
    <w:rsid w:val="006B2691"/>
    <w:rsid w:val="006B2A89"/>
    <w:rsid w:val="006B2CF6"/>
    <w:rsid w:val="006B555B"/>
    <w:rsid w:val="006C2F8C"/>
    <w:rsid w:val="006C6C58"/>
    <w:rsid w:val="006C6E29"/>
    <w:rsid w:val="006D07B9"/>
    <w:rsid w:val="006D0993"/>
    <w:rsid w:val="006D3824"/>
    <w:rsid w:val="006F10C9"/>
    <w:rsid w:val="006F725D"/>
    <w:rsid w:val="00711FE9"/>
    <w:rsid w:val="007135BF"/>
    <w:rsid w:val="00726567"/>
    <w:rsid w:val="00730800"/>
    <w:rsid w:val="007378F8"/>
    <w:rsid w:val="00743A43"/>
    <w:rsid w:val="00744BDF"/>
    <w:rsid w:val="00745507"/>
    <w:rsid w:val="00751B6A"/>
    <w:rsid w:val="00755F58"/>
    <w:rsid w:val="007623B9"/>
    <w:rsid w:val="007650E0"/>
    <w:rsid w:val="00765559"/>
    <w:rsid w:val="00765709"/>
    <w:rsid w:val="00770E7F"/>
    <w:rsid w:val="00773803"/>
    <w:rsid w:val="0077693D"/>
    <w:rsid w:val="0077719E"/>
    <w:rsid w:val="00782446"/>
    <w:rsid w:val="007844F9"/>
    <w:rsid w:val="00787C80"/>
    <w:rsid w:val="00791D48"/>
    <w:rsid w:val="00794CD6"/>
    <w:rsid w:val="007A3F4D"/>
    <w:rsid w:val="007B265E"/>
    <w:rsid w:val="007B4139"/>
    <w:rsid w:val="007C0FEF"/>
    <w:rsid w:val="007C196D"/>
    <w:rsid w:val="007C4969"/>
    <w:rsid w:val="007C4990"/>
    <w:rsid w:val="007C7C97"/>
    <w:rsid w:val="007D00F1"/>
    <w:rsid w:val="007D27C7"/>
    <w:rsid w:val="007D3BA7"/>
    <w:rsid w:val="007D4432"/>
    <w:rsid w:val="007E1C8C"/>
    <w:rsid w:val="007E3BF9"/>
    <w:rsid w:val="007E5B92"/>
    <w:rsid w:val="007E7A70"/>
    <w:rsid w:val="007F0F43"/>
    <w:rsid w:val="007F1C38"/>
    <w:rsid w:val="007F4412"/>
    <w:rsid w:val="007F7839"/>
    <w:rsid w:val="00800051"/>
    <w:rsid w:val="00803BB3"/>
    <w:rsid w:val="00803D87"/>
    <w:rsid w:val="00804386"/>
    <w:rsid w:val="008134CE"/>
    <w:rsid w:val="0081505D"/>
    <w:rsid w:val="008151BB"/>
    <w:rsid w:val="00816916"/>
    <w:rsid w:val="008235A6"/>
    <w:rsid w:val="00825BFF"/>
    <w:rsid w:val="00830957"/>
    <w:rsid w:val="008422AE"/>
    <w:rsid w:val="0085425F"/>
    <w:rsid w:val="0086390F"/>
    <w:rsid w:val="0086503B"/>
    <w:rsid w:val="0087110A"/>
    <w:rsid w:val="00877CCC"/>
    <w:rsid w:val="00877F2B"/>
    <w:rsid w:val="00882188"/>
    <w:rsid w:val="00885C87"/>
    <w:rsid w:val="008966E3"/>
    <w:rsid w:val="008A01E9"/>
    <w:rsid w:val="008A4445"/>
    <w:rsid w:val="008A49BC"/>
    <w:rsid w:val="008A56A3"/>
    <w:rsid w:val="008A7E58"/>
    <w:rsid w:val="008B45C4"/>
    <w:rsid w:val="008B5CB0"/>
    <w:rsid w:val="008C306F"/>
    <w:rsid w:val="008C34E5"/>
    <w:rsid w:val="008C4183"/>
    <w:rsid w:val="008C641E"/>
    <w:rsid w:val="008C76BC"/>
    <w:rsid w:val="008C7D23"/>
    <w:rsid w:val="008D0C9F"/>
    <w:rsid w:val="008D5996"/>
    <w:rsid w:val="008D721A"/>
    <w:rsid w:val="008E143C"/>
    <w:rsid w:val="008E186F"/>
    <w:rsid w:val="008F4440"/>
    <w:rsid w:val="008F7683"/>
    <w:rsid w:val="00911601"/>
    <w:rsid w:val="00921617"/>
    <w:rsid w:val="00923394"/>
    <w:rsid w:val="0092538F"/>
    <w:rsid w:val="009300C5"/>
    <w:rsid w:val="00931DD0"/>
    <w:rsid w:val="00933600"/>
    <w:rsid w:val="009431B2"/>
    <w:rsid w:val="00945DCA"/>
    <w:rsid w:val="00946FF7"/>
    <w:rsid w:val="009506E0"/>
    <w:rsid w:val="00951CAD"/>
    <w:rsid w:val="009571DF"/>
    <w:rsid w:val="00957E6B"/>
    <w:rsid w:val="00960398"/>
    <w:rsid w:val="00966A46"/>
    <w:rsid w:val="00966C79"/>
    <w:rsid w:val="00972EF3"/>
    <w:rsid w:val="0097497B"/>
    <w:rsid w:val="0097780C"/>
    <w:rsid w:val="00980CE7"/>
    <w:rsid w:val="00981634"/>
    <w:rsid w:val="009820B5"/>
    <w:rsid w:val="009827B6"/>
    <w:rsid w:val="00987E9A"/>
    <w:rsid w:val="0099680F"/>
    <w:rsid w:val="009A136D"/>
    <w:rsid w:val="009B1E72"/>
    <w:rsid w:val="009C1026"/>
    <w:rsid w:val="009C4045"/>
    <w:rsid w:val="009C5448"/>
    <w:rsid w:val="009C7BCB"/>
    <w:rsid w:val="009D0769"/>
    <w:rsid w:val="009D0BA0"/>
    <w:rsid w:val="009D1137"/>
    <w:rsid w:val="009D2DF1"/>
    <w:rsid w:val="009D349F"/>
    <w:rsid w:val="009D6112"/>
    <w:rsid w:val="009E1D8D"/>
    <w:rsid w:val="009E3373"/>
    <w:rsid w:val="009E3BE9"/>
    <w:rsid w:val="009F18C2"/>
    <w:rsid w:val="009F2BB1"/>
    <w:rsid w:val="009F33CD"/>
    <w:rsid w:val="009F36E1"/>
    <w:rsid w:val="009F46EA"/>
    <w:rsid w:val="009F684C"/>
    <w:rsid w:val="009F759D"/>
    <w:rsid w:val="009F776B"/>
    <w:rsid w:val="00A03057"/>
    <w:rsid w:val="00A036F5"/>
    <w:rsid w:val="00A072A2"/>
    <w:rsid w:val="00A2661C"/>
    <w:rsid w:val="00A31C13"/>
    <w:rsid w:val="00A330C4"/>
    <w:rsid w:val="00A3595E"/>
    <w:rsid w:val="00A36CBE"/>
    <w:rsid w:val="00A41999"/>
    <w:rsid w:val="00A430EB"/>
    <w:rsid w:val="00A47396"/>
    <w:rsid w:val="00A573A3"/>
    <w:rsid w:val="00A6481B"/>
    <w:rsid w:val="00A72414"/>
    <w:rsid w:val="00A7422B"/>
    <w:rsid w:val="00A743A0"/>
    <w:rsid w:val="00A773CE"/>
    <w:rsid w:val="00A80091"/>
    <w:rsid w:val="00A83F1F"/>
    <w:rsid w:val="00A87227"/>
    <w:rsid w:val="00A958AF"/>
    <w:rsid w:val="00A96CB3"/>
    <w:rsid w:val="00A97525"/>
    <w:rsid w:val="00AA7E81"/>
    <w:rsid w:val="00AB1DE4"/>
    <w:rsid w:val="00AB26AC"/>
    <w:rsid w:val="00AB67D6"/>
    <w:rsid w:val="00AB773B"/>
    <w:rsid w:val="00AB7E65"/>
    <w:rsid w:val="00AC20E1"/>
    <w:rsid w:val="00AD1D33"/>
    <w:rsid w:val="00AD24D8"/>
    <w:rsid w:val="00AD31EF"/>
    <w:rsid w:val="00AD5FD5"/>
    <w:rsid w:val="00AE0F7F"/>
    <w:rsid w:val="00AE2669"/>
    <w:rsid w:val="00AF1B4E"/>
    <w:rsid w:val="00B00941"/>
    <w:rsid w:val="00B04942"/>
    <w:rsid w:val="00B0675D"/>
    <w:rsid w:val="00B12207"/>
    <w:rsid w:val="00B1604B"/>
    <w:rsid w:val="00B17310"/>
    <w:rsid w:val="00B2444B"/>
    <w:rsid w:val="00B248B7"/>
    <w:rsid w:val="00B25170"/>
    <w:rsid w:val="00B30DAE"/>
    <w:rsid w:val="00B3408D"/>
    <w:rsid w:val="00B37857"/>
    <w:rsid w:val="00B41866"/>
    <w:rsid w:val="00B525A4"/>
    <w:rsid w:val="00B5663B"/>
    <w:rsid w:val="00B606B1"/>
    <w:rsid w:val="00B60851"/>
    <w:rsid w:val="00B62DB5"/>
    <w:rsid w:val="00B641BB"/>
    <w:rsid w:val="00B73FAD"/>
    <w:rsid w:val="00B75D6D"/>
    <w:rsid w:val="00B90CEF"/>
    <w:rsid w:val="00B96606"/>
    <w:rsid w:val="00BA3360"/>
    <w:rsid w:val="00BA65D0"/>
    <w:rsid w:val="00BA6F38"/>
    <w:rsid w:val="00BA700C"/>
    <w:rsid w:val="00BB2608"/>
    <w:rsid w:val="00BB6749"/>
    <w:rsid w:val="00BC1A88"/>
    <w:rsid w:val="00BC439E"/>
    <w:rsid w:val="00BD03AB"/>
    <w:rsid w:val="00BE143B"/>
    <w:rsid w:val="00BE75D7"/>
    <w:rsid w:val="00BF1494"/>
    <w:rsid w:val="00BF173F"/>
    <w:rsid w:val="00BF4903"/>
    <w:rsid w:val="00C01659"/>
    <w:rsid w:val="00C06269"/>
    <w:rsid w:val="00C12218"/>
    <w:rsid w:val="00C21B40"/>
    <w:rsid w:val="00C22469"/>
    <w:rsid w:val="00C249B8"/>
    <w:rsid w:val="00C30F6D"/>
    <w:rsid w:val="00C32ACE"/>
    <w:rsid w:val="00C33B77"/>
    <w:rsid w:val="00C341CF"/>
    <w:rsid w:val="00C34425"/>
    <w:rsid w:val="00C35090"/>
    <w:rsid w:val="00C3701F"/>
    <w:rsid w:val="00C40A19"/>
    <w:rsid w:val="00C4378B"/>
    <w:rsid w:val="00C54367"/>
    <w:rsid w:val="00C57E17"/>
    <w:rsid w:val="00C6664A"/>
    <w:rsid w:val="00C7116D"/>
    <w:rsid w:val="00C85DF2"/>
    <w:rsid w:val="00C86C2D"/>
    <w:rsid w:val="00C92DD5"/>
    <w:rsid w:val="00C94119"/>
    <w:rsid w:val="00C952EA"/>
    <w:rsid w:val="00CA06BB"/>
    <w:rsid w:val="00CA324E"/>
    <w:rsid w:val="00CB0848"/>
    <w:rsid w:val="00CB4E4C"/>
    <w:rsid w:val="00CB6E7F"/>
    <w:rsid w:val="00CB7FF8"/>
    <w:rsid w:val="00CC0AA1"/>
    <w:rsid w:val="00CC6DC9"/>
    <w:rsid w:val="00CC7150"/>
    <w:rsid w:val="00CD0AA9"/>
    <w:rsid w:val="00CD23C3"/>
    <w:rsid w:val="00CD417F"/>
    <w:rsid w:val="00CF0581"/>
    <w:rsid w:val="00CF247F"/>
    <w:rsid w:val="00CF6AE6"/>
    <w:rsid w:val="00CF75DB"/>
    <w:rsid w:val="00CF7709"/>
    <w:rsid w:val="00D0207F"/>
    <w:rsid w:val="00D04BD8"/>
    <w:rsid w:val="00D07310"/>
    <w:rsid w:val="00D101EF"/>
    <w:rsid w:val="00D1067B"/>
    <w:rsid w:val="00D12579"/>
    <w:rsid w:val="00D12D71"/>
    <w:rsid w:val="00D135AB"/>
    <w:rsid w:val="00D1396B"/>
    <w:rsid w:val="00D14D52"/>
    <w:rsid w:val="00D17E79"/>
    <w:rsid w:val="00D21983"/>
    <w:rsid w:val="00D26B11"/>
    <w:rsid w:val="00D27BD7"/>
    <w:rsid w:val="00D3152A"/>
    <w:rsid w:val="00D333D6"/>
    <w:rsid w:val="00D34492"/>
    <w:rsid w:val="00D4104B"/>
    <w:rsid w:val="00D41D6E"/>
    <w:rsid w:val="00D42A8F"/>
    <w:rsid w:val="00D42B4A"/>
    <w:rsid w:val="00D516B2"/>
    <w:rsid w:val="00D67264"/>
    <w:rsid w:val="00D72189"/>
    <w:rsid w:val="00D75CF3"/>
    <w:rsid w:val="00D80EBC"/>
    <w:rsid w:val="00D84490"/>
    <w:rsid w:val="00D85E07"/>
    <w:rsid w:val="00D87D30"/>
    <w:rsid w:val="00D9046F"/>
    <w:rsid w:val="00D954E7"/>
    <w:rsid w:val="00DA13F0"/>
    <w:rsid w:val="00DA7998"/>
    <w:rsid w:val="00DB1301"/>
    <w:rsid w:val="00DB342D"/>
    <w:rsid w:val="00DC71DB"/>
    <w:rsid w:val="00DD433D"/>
    <w:rsid w:val="00DE599B"/>
    <w:rsid w:val="00DF0654"/>
    <w:rsid w:val="00DF2670"/>
    <w:rsid w:val="00DF2730"/>
    <w:rsid w:val="00E00326"/>
    <w:rsid w:val="00E211F5"/>
    <w:rsid w:val="00E235EE"/>
    <w:rsid w:val="00E24DAF"/>
    <w:rsid w:val="00E26735"/>
    <w:rsid w:val="00E42C50"/>
    <w:rsid w:val="00E437CF"/>
    <w:rsid w:val="00E47E65"/>
    <w:rsid w:val="00E53472"/>
    <w:rsid w:val="00E53CAF"/>
    <w:rsid w:val="00E60CFF"/>
    <w:rsid w:val="00E61CB9"/>
    <w:rsid w:val="00E6317D"/>
    <w:rsid w:val="00E63DFE"/>
    <w:rsid w:val="00E647A0"/>
    <w:rsid w:val="00E741A9"/>
    <w:rsid w:val="00E74479"/>
    <w:rsid w:val="00E748E4"/>
    <w:rsid w:val="00E76D30"/>
    <w:rsid w:val="00E806F5"/>
    <w:rsid w:val="00E84E8A"/>
    <w:rsid w:val="00E85A12"/>
    <w:rsid w:val="00E86190"/>
    <w:rsid w:val="00E864A4"/>
    <w:rsid w:val="00E91CD1"/>
    <w:rsid w:val="00E963CE"/>
    <w:rsid w:val="00E96D12"/>
    <w:rsid w:val="00E97CB9"/>
    <w:rsid w:val="00EA02BC"/>
    <w:rsid w:val="00EB1788"/>
    <w:rsid w:val="00EB3378"/>
    <w:rsid w:val="00EB3703"/>
    <w:rsid w:val="00EB3F6A"/>
    <w:rsid w:val="00EB54B5"/>
    <w:rsid w:val="00EB68CA"/>
    <w:rsid w:val="00EC5732"/>
    <w:rsid w:val="00ED0A9E"/>
    <w:rsid w:val="00ED3952"/>
    <w:rsid w:val="00ED44BA"/>
    <w:rsid w:val="00ED5E8E"/>
    <w:rsid w:val="00EE027D"/>
    <w:rsid w:val="00EE55D5"/>
    <w:rsid w:val="00EE6F9A"/>
    <w:rsid w:val="00EE760E"/>
    <w:rsid w:val="00EF0BC2"/>
    <w:rsid w:val="00EF2715"/>
    <w:rsid w:val="00F041BA"/>
    <w:rsid w:val="00F055DD"/>
    <w:rsid w:val="00F10BB8"/>
    <w:rsid w:val="00F10D23"/>
    <w:rsid w:val="00F12768"/>
    <w:rsid w:val="00F143F5"/>
    <w:rsid w:val="00F154E7"/>
    <w:rsid w:val="00F1627D"/>
    <w:rsid w:val="00F20A80"/>
    <w:rsid w:val="00F21219"/>
    <w:rsid w:val="00F3251E"/>
    <w:rsid w:val="00F32608"/>
    <w:rsid w:val="00F51F47"/>
    <w:rsid w:val="00F547F1"/>
    <w:rsid w:val="00F55638"/>
    <w:rsid w:val="00F62DEE"/>
    <w:rsid w:val="00F63CDB"/>
    <w:rsid w:val="00F66640"/>
    <w:rsid w:val="00F82A85"/>
    <w:rsid w:val="00F82B6F"/>
    <w:rsid w:val="00F8453C"/>
    <w:rsid w:val="00F84974"/>
    <w:rsid w:val="00F87022"/>
    <w:rsid w:val="00F90DC1"/>
    <w:rsid w:val="00F91D92"/>
    <w:rsid w:val="00F9351B"/>
    <w:rsid w:val="00F93A32"/>
    <w:rsid w:val="00FA0B5E"/>
    <w:rsid w:val="00FA2668"/>
    <w:rsid w:val="00FC0273"/>
    <w:rsid w:val="00FC0C0F"/>
    <w:rsid w:val="00FC1054"/>
    <w:rsid w:val="00FC2521"/>
    <w:rsid w:val="00FC613E"/>
    <w:rsid w:val="00FC6652"/>
    <w:rsid w:val="00FC6E03"/>
    <w:rsid w:val="00FD5831"/>
    <w:rsid w:val="00FE5647"/>
    <w:rsid w:val="00FE59B4"/>
    <w:rsid w:val="00FE5B83"/>
    <w:rsid w:val="00FF0B68"/>
    <w:rsid w:val="00FF1783"/>
    <w:rsid w:val="00FF3288"/>
    <w:rsid w:val="00FF49FF"/>
    <w:rsid w:val="00FF5783"/>
    <w:rsid w:val="0100D07F"/>
    <w:rsid w:val="012B7E23"/>
    <w:rsid w:val="01427B94"/>
    <w:rsid w:val="026E497E"/>
    <w:rsid w:val="0309018F"/>
    <w:rsid w:val="03E55252"/>
    <w:rsid w:val="0406F2B1"/>
    <w:rsid w:val="0469E717"/>
    <w:rsid w:val="04EB9BAA"/>
    <w:rsid w:val="05C072E5"/>
    <w:rsid w:val="061EE5CE"/>
    <w:rsid w:val="066636ED"/>
    <w:rsid w:val="0741BAA1"/>
    <w:rsid w:val="07BAB62F"/>
    <w:rsid w:val="08624999"/>
    <w:rsid w:val="08795635"/>
    <w:rsid w:val="08BDBA2B"/>
    <w:rsid w:val="0A795B63"/>
    <w:rsid w:val="0A8ECADD"/>
    <w:rsid w:val="0BFCE006"/>
    <w:rsid w:val="0C436811"/>
    <w:rsid w:val="0D003B5C"/>
    <w:rsid w:val="0E60C260"/>
    <w:rsid w:val="0E71A7A9"/>
    <w:rsid w:val="0ECBDBCC"/>
    <w:rsid w:val="0F16BAD4"/>
    <w:rsid w:val="0F49A558"/>
    <w:rsid w:val="0F4CCC86"/>
    <w:rsid w:val="105F35C5"/>
    <w:rsid w:val="106E20DE"/>
    <w:rsid w:val="10DFE56C"/>
    <w:rsid w:val="10E575B9"/>
    <w:rsid w:val="10E89CE7"/>
    <w:rsid w:val="1281461A"/>
    <w:rsid w:val="1322B3CC"/>
    <w:rsid w:val="14261E79"/>
    <w:rsid w:val="147CBA5F"/>
    <w:rsid w:val="14B0854E"/>
    <w:rsid w:val="15075F5D"/>
    <w:rsid w:val="1522DC33"/>
    <w:rsid w:val="159010E4"/>
    <w:rsid w:val="161D075D"/>
    <w:rsid w:val="169085A1"/>
    <w:rsid w:val="169A247F"/>
    <w:rsid w:val="16AFD0FD"/>
    <w:rsid w:val="17071F12"/>
    <w:rsid w:val="1754F7B4"/>
    <w:rsid w:val="18BBA766"/>
    <w:rsid w:val="194071AB"/>
    <w:rsid w:val="19EFFB15"/>
    <w:rsid w:val="1B897297"/>
    <w:rsid w:val="1BB1DE98"/>
    <w:rsid w:val="1BBE419B"/>
    <w:rsid w:val="1CA82C99"/>
    <w:rsid w:val="1CCDCA00"/>
    <w:rsid w:val="1CF4E54D"/>
    <w:rsid w:val="1D0C8FA4"/>
    <w:rsid w:val="1DE275A0"/>
    <w:rsid w:val="1E7FFE4D"/>
    <w:rsid w:val="1FAFCC66"/>
    <w:rsid w:val="21529E37"/>
    <w:rsid w:val="22242253"/>
    <w:rsid w:val="2259356D"/>
    <w:rsid w:val="229F26FD"/>
    <w:rsid w:val="232923D0"/>
    <w:rsid w:val="248F4127"/>
    <w:rsid w:val="249E222A"/>
    <w:rsid w:val="255B7F74"/>
    <w:rsid w:val="25627E6B"/>
    <w:rsid w:val="25DAE2F1"/>
    <w:rsid w:val="26A9A53C"/>
    <w:rsid w:val="27623DE6"/>
    <w:rsid w:val="27FF6AAD"/>
    <w:rsid w:val="28500164"/>
    <w:rsid w:val="29FC1AE8"/>
    <w:rsid w:val="2AE1B6B7"/>
    <w:rsid w:val="2AE79E71"/>
    <w:rsid w:val="2AF5D78B"/>
    <w:rsid w:val="2B008F55"/>
    <w:rsid w:val="2BDF0338"/>
    <w:rsid w:val="2DA0D32B"/>
    <w:rsid w:val="2DD61D48"/>
    <w:rsid w:val="2F1C19A9"/>
    <w:rsid w:val="2F6C8503"/>
    <w:rsid w:val="303A7B14"/>
    <w:rsid w:val="30508782"/>
    <w:rsid w:val="30587508"/>
    <w:rsid w:val="31EC57E3"/>
    <w:rsid w:val="348DB4EB"/>
    <w:rsid w:val="34DED053"/>
    <w:rsid w:val="3601BA69"/>
    <w:rsid w:val="367267F9"/>
    <w:rsid w:val="36CA94C4"/>
    <w:rsid w:val="370C73D9"/>
    <w:rsid w:val="37408DCC"/>
    <w:rsid w:val="37BE17C0"/>
    <w:rsid w:val="38EEAB87"/>
    <w:rsid w:val="39AE4A8D"/>
    <w:rsid w:val="39FF574E"/>
    <w:rsid w:val="3AD2045E"/>
    <w:rsid w:val="3B9BF52E"/>
    <w:rsid w:val="3BB47562"/>
    <w:rsid w:val="3C5D9607"/>
    <w:rsid w:val="3CB9A540"/>
    <w:rsid w:val="3D1A2DB7"/>
    <w:rsid w:val="3D8580A5"/>
    <w:rsid w:val="3DE70794"/>
    <w:rsid w:val="3DEAD688"/>
    <w:rsid w:val="3E1D45DC"/>
    <w:rsid w:val="3FBD6A61"/>
    <w:rsid w:val="3FD06354"/>
    <w:rsid w:val="3FFE3DCC"/>
    <w:rsid w:val="41E1021E"/>
    <w:rsid w:val="420D9061"/>
    <w:rsid w:val="4228454C"/>
    <w:rsid w:val="42F63EA0"/>
    <w:rsid w:val="4380C41B"/>
    <w:rsid w:val="43A63994"/>
    <w:rsid w:val="43A67A0B"/>
    <w:rsid w:val="44688134"/>
    <w:rsid w:val="4495E4C2"/>
    <w:rsid w:val="44FB294E"/>
    <w:rsid w:val="45D7D81A"/>
    <w:rsid w:val="45EE95F0"/>
    <w:rsid w:val="4614B705"/>
    <w:rsid w:val="463AD933"/>
    <w:rsid w:val="46C7D927"/>
    <w:rsid w:val="46DE1ACD"/>
    <w:rsid w:val="47FFA841"/>
    <w:rsid w:val="486374E3"/>
    <w:rsid w:val="4962903A"/>
    <w:rsid w:val="49AAD572"/>
    <w:rsid w:val="4AF457DF"/>
    <w:rsid w:val="4B409B22"/>
    <w:rsid w:val="4D3433F4"/>
    <w:rsid w:val="4D45AE2A"/>
    <w:rsid w:val="4D5D3872"/>
    <w:rsid w:val="4E4DFBED"/>
    <w:rsid w:val="4EB5970F"/>
    <w:rsid w:val="508888C8"/>
    <w:rsid w:val="509ECC93"/>
    <w:rsid w:val="515F5732"/>
    <w:rsid w:val="5212BFAD"/>
    <w:rsid w:val="52E52664"/>
    <w:rsid w:val="539FE824"/>
    <w:rsid w:val="53A37578"/>
    <w:rsid w:val="54AAEF1D"/>
    <w:rsid w:val="56696897"/>
    <w:rsid w:val="57608C97"/>
    <w:rsid w:val="5774762B"/>
    <w:rsid w:val="581B792C"/>
    <w:rsid w:val="58BC1B45"/>
    <w:rsid w:val="595140BA"/>
    <w:rsid w:val="5B188E3D"/>
    <w:rsid w:val="5D37D7FE"/>
    <w:rsid w:val="5DC7BB1E"/>
    <w:rsid w:val="5E27D90B"/>
    <w:rsid w:val="5E6879DC"/>
    <w:rsid w:val="5F1409FE"/>
    <w:rsid w:val="606F78C0"/>
    <w:rsid w:val="60ADD95D"/>
    <w:rsid w:val="60D920B7"/>
    <w:rsid w:val="61757AFC"/>
    <w:rsid w:val="620B4921"/>
    <w:rsid w:val="62AAAE4B"/>
    <w:rsid w:val="63342658"/>
    <w:rsid w:val="63C11CD1"/>
    <w:rsid w:val="63C2EF9E"/>
    <w:rsid w:val="64275D2D"/>
    <w:rsid w:val="643043B2"/>
    <w:rsid w:val="6465318A"/>
    <w:rsid w:val="64971A8F"/>
    <w:rsid w:val="64B2D6F6"/>
    <w:rsid w:val="64BEBE7C"/>
    <w:rsid w:val="650595E1"/>
    <w:rsid w:val="6542E9E3"/>
    <w:rsid w:val="65A9FB65"/>
    <w:rsid w:val="65C26DF6"/>
    <w:rsid w:val="666768FE"/>
    <w:rsid w:val="667AE318"/>
    <w:rsid w:val="6708FB6D"/>
    <w:rsid w:val="675A84C2"/>
    <w:rsid w:val="67CD610C"/>
    <w:rsid w:val="68A32AA9"/>
    <w:rsid w:val="6A1CED46"/>
    <w:rsid w:val="6BAC55FA"/>
    <w:rsid w:val="6BB8BDA7"/>
    <w:rsid w:val="6BC0D677"/>
    <w:rsid w:val="6BC51F58"/>
    <w:rsid w:val="6CAA19FA"/>
    <w:rsid w:val="6D09AFC2"/>
    <w:rsid w:val="6D53E1DA"/>
    <w:rsid w:val="6D8F90B1"/>
    <w:rsid w:val="6E776DB3"/>
    <w:rsid w:val="6EE9C512"/>
    <w:rsid w:val="6FB44F01"/>
    <w:rsid w:val="712DA350"/>
    <w:rsid w:val="7306BEE6"/>
    <w:rsid w:val="730E8E67"/>
    <w:rsid w:val="74B9330C"/>
    <w:rsid w:val="7557E461"/>
    <w:rsid w:val="756F79F5"/>
    <w:rsid w:val="772D2BEE"/>
    <w:rsid w:val="77A54DBC"/>
    <w:rsid w:val="78C9106D"/>
    <w:rsid w:val="79F68BA2"/>
    <w:rsid w:val="7C0D5C19"/>
    <w:rsid w:val="7C7DE001"/>
    <w:rsid w:val="7E272F86"/>
    <w:rsid w:val="7E47B7BC"/>
    <w:rsid w:val="7E65F309"/>
    <w:rsid w:val="7F023EFE"/>
    <w:rsid w:val="7F36A8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B858305B-C878-40B3-90A6-E1F3DAC89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D47"/>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3">
    <w:name w:val="heading 3"/>
    <w:basedOn w:val="Normal"/>
    <w:next w:val="Normal"/>
    <w:link w:val="Ttulo3Char"/>
    <w:uiPriority w:val="9"/>
    <w:semiHidden/>
    <w:unhideWhenUsed/>
    <w:qFormat/>
    <w:rsid w:val="00966C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3Char">
    <w:name w:val="Título 3 Char"/>
    <w:basedOn w:val="Fontepargpadro"/>
    <w:link w:val="Ttulo3"/>
    <w:uiPriority w:val="9"/>
    <w:semiHidden/>
    <w:rsid w:val="00966C7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597254930">
      <w:bodyDiv w:val="1"/>
      <w:marLeft w:val="0"/>
      <w:marRight w:val="0"/>
      <w:marTop w:val="0"/>
      <w:marBottom w:val="0"/>
      <w:divBdr>
        <w:top w:val="none" w:sz="0" w:space="0" w:color="auto"/>
        <w:left w:val="none" w:sz="0" w:space="0" w:color="auto"/>
        <w:bottom w:val="none" w:sz="0" w:space="0" w:color="auto"/>
        <w:right w:val="none" w:sz="0" w:space="0" w:color="auto"/>
      </w:divBdr>
      <w:divsChild>
        <w:div w:id="1838500137">
          <w:marLeft w:val="0"/>
          <w:marRight w:val="0"/>
          <w:marTop w:val="0"/>
          <w:marBottom w:val="0"/>
          <w:divBdr>
            <w:top w:val="single" w:sz="6" w:space="0" w:color="CCCCCC"/>
            <w:left w:val="none" w:sz="0" w:space="0" w:color="auto"/>
            <w:bottom w:val="none" w:sz="0" w:space="0" w:color="auto"/>
            <w:right w:val="none" w:sz="0" w:space="0" w:color="auto"/>
          </w:divBdr>
          <w:divsChild>
            <w:div w:id="13351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866064638">
      <w:bodyDiv w:val="1"/>
      <w:marLeft w:val="0"/>
      <w:marRight w:val="0"/>
      <w:marTop w:val="0"/>
      <w:marBottom w:val="0"/>
      <w:divBdr>
        <w:top w:val="none" w:sz="0" w:space="0" w:color="auto"/>
        <w:left w:val="none" w:sz="0" w:space="0" w:color="auto"/>
        <w:bottom w:val="none" w:sz="0" w:space="0" w:color="auto"/>
        <w:right w:val="none" w:sz="0" w:space="0" w:color="auto"/>
      </w:divBdr>
      <w:divsChild>
        <w:div w:id="2029062962">
          <w:marLeft w:val="0"/>
          <w:marRight w:val="0"/>
          <w:marTop w:val="0"/>
          <w:marBottom w:val="0"/>
          <w:divBdr>
            <w:top w:val="single" w:sz="6" w:space="0" w:color="CCCCCC"/>
            <w:left w:val="none" w:sz="0" w:space="0" w:color="auto"/>
            <w:bottom w:val="none" w:sz="0" w:space="0" w:color="auto"/>
            <w:right w:val="none" w:sz="0" w:space="0" w:color="auto"/>
          </w:divBdr>
          <w:divsChild>
            <w:div w:id="169649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pje.tjdft.jus.br/pje/seam/resource/rest/pje-legacy/documento/download/TJDFT/1g/4835925/273109252"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pje.tjdft.jus.br/pje/seam/resource/rest/pje-legacy/documento/download/TJDFT/1g/4835925/270571465" TargetMode="Externa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pje.tjdft.jus.br/pje/seam/resource/rest/pje-legacy/documento/download/TJDFT/1g/4835925/270571465" TargetMode="Externa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pje.tjdft.jus.br/pje/seam/resource/rest/pje-legacy/documento/download/279838122" TargetMode="External"/><Relationship Id="rId20" Type="http://schemas.openxmlformats.org/officeDocument/2006/relationships/hyperlink" Target="https://pje.tjdft.jus.br/pje/seam/resource/rest/pje-legacy/documento/download/279838122"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jpe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pje.tjdft.jus.br/pje/seam/resource/rest/pje-legacy/documento/download/TJDFT/1g/4835925/277673877"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hyperlink" Target="https://pje.tjdft.jus.br/pje/seam/resource/rest/pje-legacy/documento/download/TJDFT/1g/4835925/268673413"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CC47C5ADE849A18DA0C7907A361910"/>
        <w:category>
          <w:name w:val="Geral"/>
          <w:gallery w:val="placeholder"/>
        </w:category>
        <w:types>
          <w:type w:val="bbPlcHdr"/>
        </w:types>
        <w:behaviors>
          <w:behavior w:val="content"/>
        </w:behaviors>
        <w:guid w:val="{82970ABC-6F8D-4C02-94D1-4488F3BFFA36}"/>
      </w:docPartPr>
      <w:docPartBody>
        <w:p w:rsidR="00773803" w:rsidRDefault="00773803" w:rsidP="00773803">
          <w:pPr>
            <w:pStyle w:val="7ACC47C5ADE849A18DA0C7907A361910"/>
          </w:pPr>
          <w:r w:rsidRPr="002A0A13">
            <w:rPr>
              <w:rStyle w:val="TextodoEspaoReservado"/>
            </w:rPr>
            <w:t>Escolher um item.</w:t>
          </w:r>
        </w:p>
      </w:docPartBody>
    </w:docPart>
    <w:docPart>
      <w:docPartPr>
        <w:name w:val="F878D1793E2346938EC18DAD866E9010"/>
        <w:category>
          <w:name w:val="Geral"/>
          <w:gallery w:val="placeholder"/>
        </w:category>
        <w:types>
          <w:type w:val="bbPlcHdr"/>
        </w:types>
        <w:behaviors>
          <w:behavior w:val="content"/>
        </w:behaviors>
        <w:guid w:val="{6F677645-7BEE-495B-A2A2-C7078781C734}"/>
      </w:docPartPr>
      <w:docPartBody>
        <w:p w:rsidR="00773803" w:rsidRDefault="00773803" w:rsidP="00773803">
          <w:pPr>
            <w:pStyle w:val="F878D1793E2346938EC18DAD866E9010"/>
          </w:pPr>
          <w:r w:rsidRPr="009F36E1">
            <w:rPr>
              <w:rStyle w:val="TextodoEspaoReservado"/>
              <w:sz w:val="28"/>
              <w:szCs w:val="28"/>
            </w:rPr>
            <w:t>Escolher um item.</w:t>
          </w:r>
        </w:p>
      </w:docPartBody>
    </w:docPart>
    <w:docPart>
      <w:docPartPr>
        <w:name w:val="AA1EE3EF79994F978EAA8FE4FF7A26BD"/>
        <w:category>
          <w:name w:val="Geral"/>
          <w:gallery w:val="placeholder"/>
        </w:category>
        <w:types>
          <w:type w:val="bbPlcHdr"/>
        </w:types>
        <w:behaviors>
          <w:behavior w:val="content"/>
        </w:behaviors>
        <w:guid w:val="{4D2D01E5-6886-4D3A-BC5A-5366DBB17323}"/>
      </w:docPartPr>
      <w:docPartBody>
        <w:p w:rsidR="00773803" w:rsidRDefault="00773803" w:rsidP="00773803">
          <w:pPr>
            <w:pStyle w:val="AA1EE3EF79994F978EAA8FE4FF7A26BD"/>
          </w:pPr>
          <w:r>
            <w:rPr>
              <w:rFonts w:cs="Arial"/>
            </w:rPr>
            <w:t>Escolher um item</w:t>
          </w:r>
        </w:p>
      </w:docPartBody>
    </w:docPart>
    <w:docPart>
      <w:docPartPr>
        <w:name w:val="BC7F39C12B0F442FBBF9AD5B583FBDE0"/>
        <w:category>
          <w:name w:val="Geral"/>
          <w:gallery w:val="placeholder"/>
        </w:category>
        <w:types>
          <w:type w:val="bbPlcHdr"/>
        </w:types>
        <w:behaviors>
          <w:behavior w:val="content"/>
        </w:behaviors>
        <w:guid w:val="{6AC9F25C-CE24-4940-A55B-E193616E922A}"/>
      </w:docPartPr>
      <w:docPartBody>
        <w:p w:rsidR="00773803" w:rsidRDefault="00773803" w:rsidP="00773803">
          <w:pPr>
            <w:pStyle w:val="BC7F39C12B0F442FBBF9AD5B583FBDE0"/>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1B0F6A"/>
    <w:rsid w:val="001E2AC0"/>
    <w:rsid w:val="0026105F"/>
    <w:rsid w:val="00277029"/>
    <w:rsid w:val="002F13AB"/>
    <w:rsid w:val="003060EF"/>
    <w:rsid w:val="003C6C95"/>
    <w:rsid w:val="003D50C8"/>
    <w:rsid w:val="00465A25"/>
    <w:rsid w:val="004756EB"/>
    <w:rsid w:val="004C591E"/>
    <w:rsid w:val="004E4D18"/>
    <w:rsid w:val="00515AB3"/>
    <w:rsid w:val="00534782"/>
    <w:rsid w:val="005953DB"/>
    <w:rsid w:val="00686574"/>
    <w:rsid w:val="00730800"/>
    <w:rsid w:val="00757639"/>
    <w:rsid w:val="00773803"/>
    <w:rsid w:val="0077693D"/>
    <w:rsid w:val="00816916"/>
    <w:rsid w:val="00855F86"/>
    <w:rsid w:val="0086503B"/>
    <w:rsid w:val="008C4978"/>
    <w:rsid w:val="009C5448"/>
    <w:rsid w:val="00A47984"/>
    <w:rsid w:val="00AB26AC"/>
    <w:rsid w:val="00AD59B1"/>
    <w:rsid w:val="00B2444B"/>
    <w:rsid w:val="00B9403F"/>
    <w:rsid w:val="00C34425"/>
    <w:rsid w:val="00C7198A"/>
    <w:rsid w:val="00CB636A"/>
    <w:rsid w:val="00DE22E5"/>
    <w:rsid w:val="00E85666"/>
    <w:rsid w:val="00EB68CA"/>
    <w:rsid w:val="00FA0B5E"/>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773803"/>
    <w:rPr>
      <w:color w:val="808080"/>
    </w:rPr>
  </w:style>
  <w:style w:type="paragraph" w:customStyle="1" w:styleId="7ACC47C5ADE849A18DA0C7907A361910">
    <w:name w:val="7ACC47C5ADE849A18DA0C7907A361910"/>
    <w:rsid w:val="00773803"/>
    <w:pPr>
      <w:spacing w:line="278" w:lineRule="auto"/>
    </w:pPr>
    <w:rPr>
      <w:kern w:val="2"/>
      <w:sz w:val="24"/>
      <w:szCs w:val="24"/>
      <w14:ligatures w14:val="standardContextual"/>
    </w:rPr>
  </w:style>
  <w:style w:type="paragraph" w:customStyle="1" w:styleId="F878D1793E2346938EC18DAD866E9010">
    <w:name w:val="F878D1793E2346938EC18DAD866E9010"/>
    <w:rsid w:val="00773803"/>
    <w:pPr>
      <w:spacing w:line="278" w:lineRule="auto"/>
    </w:pPr>
    <w:rPr>
      <w:kern w:val="2"/>
      <w:sz w:val="24"/>
      <w:szCs w:val="24"/>
      <w14:ligatures w14:val="standardContextual"/>
    </w:rPr>
  </w:style>
  <w:style w:type="paragraph" w:customStyle="1" w:styleId="AA1EE3EF79994F978EAA8FE4FF7A26BD">
    <w:name w:val="AA1EE3EF79994F978EAA8FE4FF7A26BD"/>
    <w:rsid w:val="00773803"/>
    <w:pPr>
      <w:spacing w:line="278" w:lineRule="auto"/>
    </w:pPr>
    <w:rPr>
      <w:kern w:val="2"/>
      <w:sz w:val="24"/>
      <w:szCs w:val="24"/>
      <w14:ligatures w14:val="standardContextual"/>
    </w:rPr>
  </w:style>
  <w:style w:type="paragraph" w:customStyle="1" w:styleId="BC7F39C12B0F442FBBF9AD5B583FBDE0">
    <w:name w:val="BC7F39C12B0F442FBBF9AD5B583FBDE0"/>
    <w:rsid w:val="0077380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1930c5e-6cbf-4694-b781-f590bfa80909">
      <Terms xmlns="http://schemas.microsoft.com/office/infopath/2007/PartnerControls"/>
    </lcf76f155ced4ddcb4097134ff3c332f>
    <TaxCatchAll xmlns="2aabb5b7-11a6-4edb-b82f-e91ec49f15e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0EFFB71C01CC341AD4918EC9567C969" ma:contentTypeVersion="28" ma:contentTypeDescription="Crie um novo documento." ma:contentTypeScope="" ma:versionID="3cee0f4348c9f87d467916823ae4111d">
  <xsd:schema xmlns:xsd="http://www.w3.org/2001/XMLSchema" xmlns:xs="http://www.w3.org/2001/XMLSchema" xmlns:p="http://schemas.microsoft.com/office/2006/metadata/properties" xmlns:ns2="d1930c5e-6cbf-4694-b781-f590bfa80909" xmlns:ns3="2aabb5b7-11a6-4edb-b82f-e91ec49f15ec" targetNamespace="http://schemas.microsoft.com/office/2006/metadata/properties" ma:root="true" ma:fieldsID="eda96f669a4dc346093512d88a350045" ns2:_="" ns3:_="">
    <xsd:import namespace="d1930c5e-6cbf-4694-b781-f590bfa80909"/>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Localdoarquivo" minOccurs="0"/>
                <xsd:element ref="ns2:7d996812-ecf9-4cec-9316-56084cbcc9f0CountryOrRegion" minOccurs="0"/>
                <xsd:element ref="ns2:7d996812-ecf9-4cec-9316-56084cbcc9f0State" minOccurs="0"/>
                <xsd:element ref="ns2:7d996812-ecf9-4cec-9316-56084cbcc9f0City" minOccurs="0"/>
                <xsd:element ref="ns2:7d996812-ecf9-4cec-9316-56084cbcc9f0PostalCode" minOccurs="0"/>
                <xsd:element ref="ns2:7d996812-ecf9-4cec-9316-56084cbcc9f0Street" minOccurs="0"/>
                <xsd:element ref="ns2:7d996812-ecf9-4cec-9316-56084cbcc9f0GeoLoc" minOccurs="0"/>
                <xsd:element ref="ns2:7d996812-ecf9-4cec-9316-56084cbcc9f0DispNam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930c5e-6cbf-4694-b781-f590bfa809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Marcações de imagem" ma:readOnly="false" ma:fieldId="{5cf76f15-5ced-4ddc-b409-7134ff3c332f}" ma:taxonomyMulti="true" ma:sspId="5bce3db6-09f7-4b5f-8075-a664636c48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ocaldoarquivo" ma:index="26" nillable="true" ma:displayName="Local do arquivo" ma:format="Dropdown" ma:internalName="Localdoarquivo">
      <xsd:simpleType>
        <xsd:restriction base="dms:Unknown"/>
      </xsd:simpleType>
    </xsd:element>
    <xsd:element name="7d996812-ecf9-4cec-9316-56084cbcc9f0CountryOrRegion" ma:index="27" nillable="true" ma:displayName="Local do arquivo: País/Região" ma:internalName="CountryOrRegion" ma:readOnly="true">
      <xsd:simpleType>
        <xsd:restriction base="dms:Text"/>
      </xsd:simpleType>
    </xsd:element>
    <xsd:element name="7d996812-ecf9-4cec-9316-56084cbcc9f0State" ma:index="28" nillable="true" ma:displayName="Local do arquivo: Estado" ma:internalName="State" ma:readOnly="true">
      <xsd:simpleType>
        <xsd:restriction base="dms:Text"/>
      </xsd:simpleType>
    </xsd:element>
    <xsd:element name="7d996812-ecf9-4cec-9316-56084cbcc9f0City" ma:index="29" nillable="true" ma:displayName="Local do arquivo: Cidade" ma:internalName="City" ma:readOnly="true">
      <xsd:simpleType>
        <xsd:restriction base="dms:Text"/>
      </xsd:simpleType>
    </xsd:element>
    <xsd:element name="7d996812-ecf9-4cec-9316-56084cbcc9f0PostalCode" ma:index="30" nillable="true" ma:displayName="Local do arquivo: CEP" ma:internalName="PostalCode" ma:readOnly="true">
      <xsd:simpleType>
        <xsd:restriction base="dms:Text"/>
      </xsd:simpleType>
    </xsd:element>
    <xsd:element name="7d996812-ecf9-4cec-9316-56084cbcc9f0Street" ma:index="31" nillable="true" ma:displayName="Local do arquivo: Rua" ma:internalName="Street" ma:readOnly="true">
      <xsd:simpleType>
        <xsd:restriction base="dms:Text"/>
      </xsd:simpleType>
    </xsd:element>
    <xsd:element name="7d996812-ecf9-4cec-9316-56084cbcc9f0GeoLoc" ma:index="32" nillable="true" ma:displayName="Local do arquivo: Coordenadas" ma:internalName="GeoLoc" ma:readOnly="true">
      <xsd:simpleType>
        <xsd:restriction base="dms:Unknown"/>
      </xsd:simpleType>
    </xsd:element>
    <xsd:element name="7d996812-ecf9-4cec-9316-56084cbcc9f0DispName" ma:index="33" nillable="true" ma:displayName="Local do arquivo: Nome" ma:internalName="DispName" ma:readOnly="true">
      <xsd:simpleType>
        <xsd:restriction base="dms:Text"/>
      </xsd:simpleType>
    </xsd:element>
    <xsd:element name="MediaServiceBillingMetadata" ma:index="3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element name="TaxCatchAll" ma:index="22" nillable="true" ma:displayName="Taxonomy Catch All Column" ma:hidden="true" ma:list="{47ff1512-db4f-4851-9dd8-16988646e5fd}" ma:internalName="TaxCatchAll" ma:showField="CatchAllData" ma:web="2aabb5b7-11a6-4edb-b82f-e91ec49f15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d1930c5e-6cbf-4694-b781-f590bfa80909"/>
    <ds:schemaRef ds:uri="2aabb5b7-11a6-4edb-b82f-e91ec49f15ec"/>
  </ds:schemaRefs>
</ds:datastoreItem>
</file>

<file path=customXml/itemProps3.xml><?xml version="1.0" encoding="utf-8"?>
<ds:datastoreItem xmlns:ds="http://schemas.openxmlformats.org/officeDocument/2006/customXml" ds:itemID="{927513A9-4465-46D8-B2EB-93DE31CEF3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930c5e-6cbf-4694-b781-f590bfa80909"/>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4565</Words>
  <Characters>24653</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Nayane Rodrigues Lazzari Wegener - GDSXSR</cp:lastModifiedBy>
  <cp:revision>2</cp:revision>
  <dcterms:created xsi:type="dcterms:W3CDTF">2026-10-30T20:28:00Z</dcterms:created>
  <dcterms:modified xsi:type="dcterms:W3CDTF">2026-10-30T20:28:00Z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0x01010030EFFB71C01CC341AD4918EC9567C969</vt:lpwstr>
  </property>
  <property fmtid="{D5CDD505-2E9C-101B-9397-08002B2CF9AE}" pid="3" name="MediaServiceImageTags">
    <vt:lpwstr/>
  </property>
</Properties>
</file>