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rsidRPr="009F36E1" w:rsidR="00770E7F" w:rsidP="00B34ADF" w:rsidRDefault="79304B6F" w14:paraId="0E990AE5" w14:textId="77777777" w14:noSpellErr="1">
            <w:pPr>
              <w:rPr>
                <w:rFonts w:ascii="Arial" w:hAnsi="Arial" w:cs="Arial"/>
                <w:sz w:val="28"/>
                <w:szCs w:val="28"/>
              </w:rPr>
            </w:pPr>
            <w:r w:rsidRPr="773BBDE1" w:rsidR="79304B6F">
              <w:rPr>
                <w:rFonts w:ascii="Arial" w:hAnsi="Arial" w:cs="Arial"/>
                <w:sz w:val="28"/>
                <w:szCs w:val="28"/>
              </w:rPr>
              <w:t>Ór</w:t>
            </w:r>
            <w:r w:rsidRPr="773BBDE1" w:rsidR="79304B6F">
              <w:rPr>
                <w:rFonts w:ascii="Arial" w:hAnsi="Arial" w:cs="Arial"/>
                <w:sz w:val="28"/>
                <w:szCs w:val="28"/>
              </w:rPr>
              <w:t>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773BBDE1" w14:paraId="1234CB9C" w14:textId="77777777">
        <w:trPr>
          <w:cantSplit/>
          <w:trHeight w:val="397"/>
        </w:trPr>
        <w:tc>
          <w:tcPr>
            <w:tcW w:w="3686" w:type="dxa"/>
            <w:shd w:val="clear" w:color="auto" w:fill="auto"/>
            <w:tcMar/>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sdt>
            <w:sdt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Embargos de Declaração</w:t>
                </w:r>
              </w:p>
            </w:sdtContent>
            <w:sdtEndPr>
              <w:rPr>
                <w:rFonts w:cs="Arial"/>
                <w:i w:val="0"/>
                <w:iCs w:val="0"/>
                <w:sz w:val="28"/>
                <w:szCs w:val="28"/>
              </w:rPr>
            </w:sdtEndPr>
          </w:sdt>
        </w:tc>
      </w:tr>
      <w:tr w:rsidRPr="009F36E1" w:rsidR="00770E7F" w:rsidTr="773BBDE1" w14:paraId="32B00EA9" w14:textId="77777777">
        <w:trPr>
          <w:cantSplit/>
          <w:trHeight w:val="397"/>
        </w:trPr>
        <w:tc>
          <w:tcPr>
            <w:tcW w:w="3686" w:type="dxa"/>
            <w:shd w:val="clear" w:color="auto" w:fill="auto"/>
            <w:tcMar/>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7C53B768" w14:textId="5A7ECA41">
            <w:pPr>
              <w:ind w:right="-675"/>
              <w:rPr>
                <w:rFonts w:ascii="Arial" w:hAnsi="Arial" w:cs="Arial"/>
                <w:sz w:val="28"/>
                <w:szCs w:val="28"/>
              </w:rPr>
            </w:pPr>
            <w:r w:rsidRPr="001C16FB">
              <w:rPr>
                <w:rFonts w:ascii="Arial" w:hAnsi="Arial" w:cs="Arial"/>
                <w:sz w:val="28"/>
                <w:szCs w:val="28"/>
              </w:rPr>
              <w:t>0707656-67.2025.8.07.0018</w:t>
            </w:r>
          </w:p>
        </w:tc>
      </w:tr>
      <w:tr w:rsidRPr="009F36E1" w:rsidR="00770E7F" w:rsidTr="773BBDE1" w14:paraId="48ED7BFE" w14:textId="77777777">
        <w:trPr>
          <w:cantSplit/>
          <w:trHeight w:val="397"/>
        </w:trPr>
        <w:tc>
          <w:tcPr>
            <w:tcW w:w="3686" w:type="dxa"/>
            <w:shd w:val="clear" w:color="auto" w:fill="auto"/>
            <w:tcMar/>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Embargante (s)</w:t>
                </w:r>
              </w:sdtContent>
            </w:sdt>
            <w:r w:rsidRPr="00F63CDB" w:rsidR="00770E7F">
              <w:rPr>
                <w:rFonts w:ascii="Arial" w:hAnsi="Arial" w:cs="Arial"/>
                <w:sz w:val="28"/>
                <w:szCs w:val="28"/>
              </w:rPr>
              <w:t xml:space="preserve"/>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B66EC2" w:rsidR="00770E7F" w:rsidP="00B34ADF" w:rsidRDefault="001C16FB" w14:paraId="4A58BA3C" w14:textId="4331C501">
            <w:pPr>
              <w:rPr>
                <w:rFonts w:ascii="Arial" w:hAnsi="Arial" w:cs="Arial"/>
                <w:sz w:val="28"/>
                <w:szCs w:val="28"/>
              </w:rPr>
            </w:pPr>
            <w:r w:rsidRPr="06571051">
              <w:rPr>
                <w:rFonts w:ascii="Arial" w:hAnsi="Arial" w:cs="Arial"/>
                <w:sz w:val="28"/>
                <w:szCs w:val="28"/>
              </w:rPr>
              <w:t>RICARDO AFONSO DA SILVA</w:t>
            </w:r>
            <w:r w:rsidRPr="06571051">
              <w:rPr>
                <w:rFonts w:ascii="Arial" w:hAnsi="Arial" w:cs="Arial"/>
                <w:sz w:val="28"/>
                <w:szCs w:val="28"/>
              </w:rPr>
              <w:t xml:space="preserve"/>
            </w:r>
            <w:r w:rsidRPr="06571051">
              <w:rPr>
                <w:rFonts w:ascii="Arial" w:hAnsi="Arial" w:cs="Arial"/>
                <w:sz w:val="28"/>
                <w:szCs w:val="28"/>
              </w:rPr>
              <w:t/>
            </w:r>
          </w:p>
        </w:tc>
      </w:tr>
      <w:tr w:rsidRPr="009F36E1" w:rsidR="00770E7F" w:rsidTr="773BBDE1" w14:paraId="55763F2D" w14:textId="77777777">
        <w:trPr>
          <w:cantSplit/>
          <w:trHeight w:val="397"/>
        </w:trPr>
        <w:tc>
          <w:tcPr>
            <w:tcW w:w="3686" w:type="dxa"/>
            <w:shd w:val="clear" w:color="auto" w:fill="auto"/>
            <w:tcMar/>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Embargado (a)(s)</w:t>
                </w:r>
              </w:sdtContent>
            </w:sdt>
            <w:r w:rsidRPr="009F36E1" w:rsidR="00770E7F">
              <w:rPr>
                <w:rFonts w:ascii="Arial" w:hAnsi="Arial" w:cs="Arial"/>
                <w:sz w:val="28"/>
                <w:szCs w:val="28"/>
              </w:rPr>
              <w:t xml:space="preserve"/>
            </w:r>
            <w:r w:rsidR="009F36E1">
              <w:rPr>
                <w:rFonts w:ascii="Arial" w:hAnsi="Arial" w:cs="Arial"/>
                <w:sz w:val="28"/>
                <w:szCs w:val="28"/>
              </w:rPr>
              <w:t/>
            </w:r>
            <w:r w:rsidRPr="009F36E1" w:rsidR="00770E7F">
              <w:rPr>
                <w:rFonts w:ascii="Arial" w:hAnsi="Arial" w:cs="Arial"/>
                <w:sz w:val="28"/>
                <w:szCs w:val="28"/>
              </w:rPr>
              <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1AB96577" w14:textId="6F3149F0">
            <w:pPr>
              <w:ind w:right="-74"/>
              <w:rPr>
                <w:rFonts w:ascii="Arial" w:hAnsi="Arial" w:cs="Arial"/>
                <w:sz w:val="28"/>
                <w:szCs w:val="28"/>
              </w:rPr>
            </w:pPr>
            <w:r w:rsidRPr="001C16FB">
              <w:rPr>
                <w:rFonts w:ascii="Arial" w:hAnsi="Arial" w:cs="Arial"/>
                <w:sz w:val="28"/>
                <w:szCs w:val="28"/>
              </w:rPr>
              <w:t>DISTRITO FEDERAL</w:t>
            </w:r>
            <w:r>
              <w:rPr>
                <w:rFonts w:ascii="Arial" w:hAnsi="Arial" w:cs="Arial"/>
                <w:sz w:val="28"/>
                <w:szCs w:val="28"/>
              </w:rPr>
              <w:t xml:space="preserve"/>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DB1301" w:rsidP="00DB1301" w:rsidRDefault="00DB1301" w14:paraId="215F61BE" w14:textId="77777777">
      <w:pPr>
        <w:spacing w:after="0" w:line="360" w:lineRule="auto"/>
        <w:rPr>
          <w:rFonts w:ascii="Arial" w:hAnsi="Arial" w:cs="Arial"/>
          <w:sz w:val="28"/>
          <w:szCs w:val="28"/>
        </w:rPr>
      </w:pPr>
    </w:p>
    <w:p>
      <w:pPr>
        <w:spacing w:line="360" w:lineRule="auto" w:after="0" w:before="0"/>
        <w:jc w:val="left"/>
      </w:pPr>
      <w:commentRangeStart w:id="0"/>
      <w:r>
        <w:rPr>
          <w:rFonts w:ascii="Arial" w:hAnsi="Arial" w:cs="Arial"/>
          <w:b/>
          <w:i w:val="0"/>
          <w:sz w:val="28"/>
          <w:szCs w:val="28"/>
        </w:rPr>
        <w:t xml:space="preserve">EMENTA</w:t>
      </w:r>
      <w:commentRangeEnd w:id="0"/>
      <w:r>
        <w:rPr>
          <w:rStyle w:val="CommentReference"/>
        </w:rPr>
        <w:commentReference w:id="0"/>
      </w:r>
    </w:p>
    <w:p>
      <w:pPr>
        <w:spacing w:line="360" w:lineRule="auto" w:after="0" w:before="0"/>
        <w:jc w:val="both"/>
      </w:pPr>
      <w:r>
        <w:rPr>
          <w:rFonts w:ascii="Arial" w:hAnsi="Arial" w:cs="Arial"/>
          <w:b w:val="0"/>
          <w:i w:val="0"/>
          <w:sz w:val="28"/>
          <w:szCs w:val="28"/>
        </w:rPr>
        <w:t xml:space="preserve">EMBARGOS DE DECLARAÇÃO. DIREITO PROCESSUAL CIVIL. ALEGADA OMISSÃO E CONTRADIÇÃO. INEXISTÊNCIA. REDISCUSSÃO DO MÉRITO. PREQUESTIONAMENTO. EMBARGOS NÃO PROVIDOS.</w:t>
      </w:r>
    </w:p>
    <w:p>
      <w:pPr>
        <w:spacing w:line="360" w:lineRule="auto" w:after="0" w:before="0"/>
        <w:jc w:val="both"/>
      </w:pPr>
      <w:r>
        <w:rPr>
          <w:rFonts w:ascii="Arial" w:hAnsi="Arial" w:cs="Arial"/>
          <w:b/>
          <w:i w:val="0"/>
          <w:sz w:val="28"/>
          <w:szCs w:val="28"/>
        </w:rPr>
        <w:t xml:space="preserve">I. Caso em exame</w:t>
      </w:r>
    </w:p>
    <w:p>
      <w:pPr>
        <w:spacing w:line="360" w:lineRule="auto" w:after="0" w:before="0"/>
        <w:jc w:val="both"/>
      </w:pPr>
      <w:r>
        <w:rPr>
          <w:rFonts w:ascii="Arial" w:hAnsi="Arial" w:cs="Arial"/>
          <w:b w:val="0"/>
          <w:i w:val="0"/>
          <w:sz w:val="28"/>
          <w:szCs w:val="28"/>
        </w:rPr>
        <w:t xml:space="preserve">1. Embargos de declaração opostos pelo exequente, pessoa natural, contra acórdão que negou provimento ao apelo em cumprimento individual de sentença coletiva proposto contra o Distrito Federal, com base no título formado na Ação Coletiva nº 0705877-53.2020.8.07.0018, para cobrança das diferenças da terceira parcela da Gratificação de Incentivo à Fiscalização de Atividades Urbanas (GIURB).</w:t>
      </w:r>
    </w:p>
    <w:p>
      <w:pPr>
        <w:spacing w:line="360" w:lineRule="auto" w:after="0" w:before="0"/>
        <w:jc w:val="both"/>
      </w:pPr>
      <w:r>
        <w:rPr>
          <w:rFonts w:ascii="Arial" w:hAnsi="Arial" w:cs="Arial"/>
          <w:b w:val="0"/>
          <w:i w:val="0"/>
          <w:sz w:val="28"/>
          <w:szCs w:val="28"/>
        </w:rPr>
        <w:t xml:space="preserve">2. O acórdão embargado manteve a extinção do cumprimento de sentença por coisa julgada, formada em ação individual anterior, julgada improcedente com trânsito em julgado em 27/07/2020, e afastou o art. 104 do CDC.</w:t>
      </w:r>
    </w:p>
    <w:p>
      <w:pPr>
        <w:spacing w:line="360" w:lineRule="auto" w:after="0" w:before="0"/>
        <w:jc w:val="both"/>
      </w:pPr>
      <w:r>
        <w:rPr>
          <w:rFonts w:ascii="Arial" w:hAnsi="Arial" w:cs="Arial"/>
          <w:b w:val="0"/>
          <w:i w:val="0"/>
          <w:sz w:val="28"/>
          <w:szCs w:val="28"/>
        </w:rPr>
        <w:t xml:space="preserve">3. O embargante sustenta omissão quanto aos limites objetivos e temporais da coisa julgada individual, ao pedido subsidiário de execução das parcelas posteriores ao trânsito em julgado, ao art. 104 do CDC e aos argumentos, precedentes e dispositivos invocados no apelo, e contradição quanto à eficácia do título coletivo, e requer manifestação expressa para fins de prequestionamento.</w:t>
      </w:r>
    </w:p>
    <w:p>
      <w:pPr>
        <w:spacing w:line="360" w:lineRule="auto" w:after="0" w:before="0"/>
        <w:jc w:val="both"/>
      </w:pPr>
      <w:r>
        <w:rPr>
          <w:rFonts w:ascii="Arial" w:hAnsi="Arial" w:cs="Arial"/>
          <w:b/>
          <w:i w:val="0"/>
          <w:sz w:val="28"/>
          <w:szCs w:val="28"/>
        </w:rPr>
        <w:t xml:space="preserve">II. Questão em discussão</w:t>
      </w:r>
    </w:p>
    <w:p>
      <w:pPr>
        <w:spacing w:line="360" w:lineRule="auto" w:after="0" w:before="0"/>
        <w:jc w:val="both"/>
      </w:pPr>
      <w:r>
        <w:rPr>
          <w:rFonts w:ascii="Arial" w:hAnsi="Arial" w:cs="Arial"/>
          <w:b w:val="0"/>
          <w:i w:val="0"/>
          <w:sz w:val="28"/>
          <w:szCs w:val="28"/>
        </w:rPr>
        <w:t xml:space="preserve">4. Há quatro questões em discussão: (i) saber se o acórdão incorreu em omissão quanto aos limites objetivos e temporais da coisa julgada individual e ao pedido subsidiário de execução das parcelas posteriores ao trânsito em julgado; (ii) saber se há contradição ou omissão quanto ao art. 104 do CDC e à eficácia do título coletivo; (iii) saber se o acórdão deixou de enfrentar argumentos, precedentes e dispositivos invocados no apelo; e (iv) saber se é necessária manifestação expressa sobre dispositivos, para fins de prequestionamento.</w:t>
      </w:r>
    </w:p>
    <w:p>
      <w:pPr>
        <w:spacing w:line="360" w:lineRule="auto" w:after="0" w:before="0"/>
        <w:jc w:val="both"/>
      </w:pPr>
      <w:r>
        <w:rPr>
          <w:rFonts w:ascii="Arial" w:hAnsi="Arial" w:cs="Arial"/>
          <w:b/>
          <w:i w:val="0"/>
          <w:sz w:val="28"/>
          <w:szCs w:val="28"/>
        </w:rPr>
        <w:t xml:space="preserve">III. Razões de decidir</w:t>
      </w:r>
    </w:p>
    <w:p>
      <w:pPr>
        <w:spacing w:line="360" w:lineRule="auto" w:after="0" w:before="0"/>
        <w:jc w:val="both"/>
      </w:pPr>
      <w:r>
        <w:rPr>
          <w:rFonts w:ascii="Arial" w:hAnsi="Arial" w:cs="Arial"/>
          <w:b w:val="0"/>
          <w:i w:val="0"/>
          <w:sz w:val="28"/>
          <w:szCs w:val="28"/>
        </w:rPr>
        <w:t xml:space="preserve">5. Inexiste omissão quando o acórdão enfrenta, de modo suficiente e fundamentado, as questões relevantes para o julgamento.</w:t>
      </w:r>
    </w:p>
    <w:p>
      <w:pPr>
        <w:spacing w:line="360" w:lineRule="auto" w:after="0" w:before="0"/>
        <w:jc w:val="both"/>
      </w:pPr>
      <w:r>
        <w:rPr>
          <w:rFonts w:ascii="Arial" w:hAnsi="Arial" w:cs="Arial"/>
          <w:b w:val="0"/>
          <w:i w:val="0"/>
          <w:sz w:val="28"/>
          <w:szCs w:val="28"/>
        </w:rPr>
        <w:t xml:space="preserve">6. Contradição apta a ensejar embargos é apenas a interna, entre as premissas utilizadas e a conclusão do julgamento.</w:t>
      </w:r>
    </w:p>
    <w:p>
      <w:pPr>
        <w:spacing w:line="360" w:lineRule="auto" w:after="0" w:before="0"/>
        <w:jc w:val="both"/>
      </w:pPr>
      <w:r>
        <w:rPr>
          <w:rFonts w:ascii="Arial" w:hAnsi="Arial" w:cs="Arial"/>
          <w:b w:val="0"/>
          <w:i w:val="0"/>
          <w:sz w:val="28"/>
          <w:szCs w:val="28"/>
        </w:rPr>
        <w:t xml:space="preserve">7. O acórdão embargado reconheceu que a ação individual, julgada improcedente com trânsito em julgado em 27/07/2020, abrangeu as parcelas vencidas desde dezembro de 2015 e as vincendas até a implementação do reajuste, e afastou a tentativa de limitar a coisa julgada ao período anterior ao trânsito em julgado, de modo que o embargante apenas busca a rediscussão do mérito.</w:t>
      </w:r>
    </w:p>
    <w:p>
      <w:pPr>
        <w:spacing w:line="360" w:lineRule="auto" w:after="0" w:before="0"/>
        <w:jc w:val="both"/>
      </w:pPr>
      <w:r>
        <w:rPr>
          <w:rFonts w:ascii="Arial" w:hAnsi="Arial" w:cs="Arial"/>
          <w:b w:val="0"/>
          <w:i w:val="0"/>
          <w:sz w:val="28"/>
          <w:szCs w:val="28"/>
        </w:rPr>
        <w:t xml:space="preserve">8. O acórdão embargado afastou o art. 104 do CDC porque a ação individual antecedeu a ação coletiva e já havia transitado em julgado quando se formou o título coletivo, e consignou que o fundamento do Tema 864/STF não descaracteriza o julgamento de mérito, de modo que o embargante apenas diverge da conclusão adotada.</w:t>
      </w:r>
    </w:p>
    <w:p>
      <w:pPr>
        <w:spacing w:line="360" w:lineRule="auto" w:after="0" w:before="0"/>
        <w:jc w:val="both"/>
      </w:pPr>
      <w:r>
        <w:rPr>
          <w:rFonts w:ascii="Arial" w:hAnsi="Arial" w:cs="Arial"/>
          <w:b w:val="0"/>
          <w:i w:val="0"/>
          <w:sz w:val="28"/>
          <w:szCs w:val="28"/>
        </w:rPr>
        <w:t xml:space="preserve">9. Não é exigível manifestação expressa sobre cada dispositivo legal ou constitucional invocado pelas partes quando o acórdão enfrenta a questão jurídica debatida com fundamentação suficiente.</w:t>
      </w:r>
    </w:p>
    <w:p>
      <w:pPr>
        <w:spacing w:line="360" w:lineRule="auto" w:after="0" w:before="0"/>
        <w:jc w:val="both"/>
      </w:pPr>
      <w:r>
        <w:rPr>
          <w:rFonts w:ascii="Arial" w:hAnsi="Arial" w:cs="Arial"/>
          <w:b w:val="0"/>
          <w:i w:val="0"/>
          <w:sz w:val="28"/>
          <w:szCs w:val="28"/>
        </w:rPr>
        <w:t xml:space="preserve">10.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pPr>
        <w:spacing w:line="360" w:lineRule="auto" w:after="0" w:before="0"/>
        <w:jc w:val="both"/>
      </w:pPr>
      <w:r>
        <w:rPr>
          <w:rFonts w:ascii="Arial" w:hAnsi="Arial" w:cs="Arial"/>
          <w:b/>
          <w:i w:val="0"/>
          <w:sz w:val="28"/>
          <w:szCs w:val="28"/>
        </w:rPr>
        <w:t xml:space="preserve">IV. Dispositivo</w:t>
      </w:r>
    </w:p>
    <w:p>
      <w:pPr>
        <w:spacing w:line="360" w:lineRule="auto" w:after="0" w:before="0"/>
        <w:jc w:val="both"/>
      </w:pPr>
      <w:r>
        <w:rPr>
          <w:rFonts w:ascii="Arial" w:hAnsi="Arial" w:cs="Arial"/>
          <w:b w:val="0"/>
          <w:i w:val="0"/>
          <w:sz w:val="28"/>
          <w:szCs w:val="28"/>
        </w:rPr>
        <w:t xml:space="preserve">11. Negou-se provimento aos embargos de declaração do exequente.</w:t>
      </w:r>
    </w:p>
    <w:p>
      <w:pPr>
        <w:spacing w:line="360" w:lineRule="auto" w:after="0" w:before="0"/>
        <w:jc w:val="both"/>
      </w:pPr>
    </w:p>
    <w:p>
      <w:pPr>
        <w:spacing w:line="360" w:lineRule="auto" w:after="0" w:before="0"/>
        <w:jc w:val="both"/>
      </w:pPr>
      <w:commentRangeStart w:id="2"/>
      <w:r>
        <w:rPr>
          <w:rFonts w:ascii="Arial" w:hAnsi="Arial" w:cs="Arial"/>
          <w:b w:val="0"/>
          <w:i/>
          <w:sz w:val="26"/>
          <w:szCs w:val="26"/>
        </w:rPr>
        <w:t xml:space="preserve">Dispositivos relevantes citados:</w:t>
      </w:r>
      <w:r>
        <w:rPr>
          <w:rFonts w:ascii="Arial" w:hAnsi="Arial" w:cs="Arial"/>
          <w:b w:val="0"/>
          <w:i w:val="0"/>
          <w:sz w:val="26"/>
          <w:szCs w:val="26"/>
        </w:rPr>
        <w:t xml:space="preserve"> CPC, arts. 505, I, 1.022 e 1.025; CDC, art. 104.</w:t>
      </w:r>
      <w:commentRangeEnd w:id="2"/>
      <w:r>
        <w:rPr>
          <w:rStyle w:val="CommentReference"/>
        </w:rPr>
        <w:commentReference w:id="2"/>
      </w:r>
    </w:p>
    <w:p>
      <w:pPr>
        <w:spacing w:line="360" w:lineRule="auto" w:after="0" w:before="0"/>
        <w:jc w:val="both"/>
      </w:pPr>
      <w:commentRangeStart w:id="3"/>
      <w:r>
        <w:rPr>
          <w:rFonts w:ascii="Arial" w:hAnsi="Arial" w:cs="Arial"/>
          <w:b w:val="0"/>
          <w:i/>
          <w:sz w:val="26"/>
          <w:szCs w:val="26"/>
        </w:rPr>
        <w:t xml:space="preserve">Jurisprudência relevante citada:</w:t>
      </w:r>
      <w:r>
        <w:rPr>
          <w:rFonts w:ascii="Arial" w:hAnsi="Arial" w:cs="Arial"/>
          <w:b w:val="0"/>
          <w:i w:val="0"/>
          <w:sz w:val="26"/>
          <w:szCs w:val="26"/>
        </w:rPr>
        <w:t xml:space="preserve"> TJDFT, Processo nº 0715037-11.2024.8.07.0003, Rel. Des. Aiston Henrique de Sousa, 4ª Turma Cível, j. 18/03/2026.</w:t>
      </w:r>
      <w:commentRangeEnd w:id="3"/>
      <w:r>
        <w:rPr>
          <w:rStyle w:val="CommentReference"/>
        </w:rPr>
        <w:commentReference w:id="3"/>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r>
    </w:p>
    <w:p>
      <w:pPr>
        <w:spacing w:line="360" w:lineRule="auto" w:after="0" w:before="0"/>
        <w:jc w:val="both"/>
      </w:pPr>
      <w:r>
        <w:rPr>
          <w:rFonts w:ascii="Arial" w:hAnsi="Arial" w:cs="Arial"/>
          <w:b/>
          <w:i w:val="0"/>
          <w:color w:val="EE0000"/>
          <w:sz w:val="28"/>
          <w:szCs w:val="28"/>
          <w:highlight w:val="yellow"/>
        </w:rPr>
        <w:t xml:space="preserve">RESUMO DOS EMBARGOS EM SENTIDO CONTRÁRIO AO VOTO</w:t>
      </w:r>
    </w:p>
    <w:p>
      <w:pPr>
        <w:spacing w:line="360" w:lineRule="auto" w:after="0" w:before="0"/>
        <w:jc w:val="both"/>
      </w:pPr>
      <w:r>
        <w:rPr>
          <w:rFonts w:ascii="Arial" w:hAnsi="Arial" w:cs="Arial"/>
          <w:b/>
          <w:i w:val="0"/>
          <w:color w:val="EE0000"/>
          <w:sz w:val="28"/>
          <w:szCs w:val="28"/>
        </w:rPr>
        <w:t xml:space="preserve">I. RAZÕES RECURSAIS</w:t>
      </w:r>
    </w:p>
    <w:p>
      <w:pPr>
        <w:spacing w:line="360" w:lineRule="auto" w:after="0" w:before="0"/>
        <w:jc w:val="both"/>
      </w:pPr>
      <w:r>
        <w:rPr>
          <w:rFonts w:ascii="Arial" w:hAnsi="Arial" w:cs="Arial"/>
          <w:b/>
          <w:i w:val="0"/>
          <w:color w:val="EE0000"/>
          <w:sz w:val="28"/>
          <w:szCs w:val="28"/>
        </w:rPr>
        <w:t xml:space="preserve">Omissão quanto aos limites objetivos e temporais da coisa julgada individual</w:t>
      </w:r>
    </w:p>
    <w:p>
      <w:pPr>
        <w:spacing w:line="360" w:lineRule="auto" w:after="0" w:before="0"/>
        <w:ind w:left="720" w:hanging="357"/>
        <w:jc w:val="both"/>
      </w:pPr>
      <w:r>
        <w:rPr>
          <w:rFonts w:ascii="Arial" w:hAnsi="Arial" w:cs="Arial"/>
          <w:b w:val="0"/>
          <w:i w:val="0"/>
          <w:color w:val="EE0000"/>
          <w:sz w:val="28"/>
          <w:szCs w:val="28"/>
        </w:rPr>
        <w:t xml:space="preserve">1. O embargante sustenta que o acórdão não delimitou o conteúdo do que foi decidido na ação individual nem demonstrou como decisão transitada em julgado em 27/07/2020 alcançaria parcelas constituídas depois, pois o pedido de parcelas vincendas não basta, por si só, para estender a coisa julgada a situações futuras (CPC 502 a 506).</w:t>
      </w:r>
    </w:p>
    <w:p>
      <w:pPr>
        <w:spacing w:line="360" w:lineRule="auto" w:after="0" w:before="0"/>
        <w:jc w:val="both"/>
      </w:pPr>
      <w:r>
        <w:rPr>
          <w:rFonts w:ascii="Arial" w:hAnsi="Arial" w:cs="Arial"/>
          <w:b/>
          <w:i w:val="0"/>
          <w:color w:val="EE0000"/>
          <w:sz w:val="28"/>
          <w:szCs w:val="28"/>
        </w:rPr>
        <w:t xml:space="preserve">Omissão quanto ao pedido subsidiário e ao art. 505, I, do CPC</w:t>
      </w:r>
    </w:p>
    <w:p>
      <w:pPr>
        <w:spacing w:line="360" w:lineRule="auto" w:after="0" w:before="0"/>
        <w:ind w:left="720" w:hanging="357"/>
        <w:jc w:val="both"/>
      </w:pPr>
      <w:r>
        <w:rPr>
          <w:rFonts w:ascii="Arial" w:hAnsi="Arial" w:cs="Arial"/>
          <w:b w:val="0"/>
          <w:i w:val="0"/>
          <w:color w:val="EE0000"/>
          <w:sz w:val="28"/>
          <w:szCs w:val="28"/>
        </w:rPr>
        <w:t xml:space="preserve">2. Afirma que o acórdão mencionou, mas não enfrentou, o pedido de prosseguimento da execução quanto ao período de 28/07/2020 a março de 2022, nem examinou se houve modificação do estado de fato ou de direito em relação jurídica de trato continuado (CPC 505 I).</w:t>
      </w:r>
    </w:p>
    <w:p>
      <w:pPr>
        <w:spacing w:line="360" w:lineRule="auto" w:after="0" w:before="0"/>
        <w:jc w:val="both"/>
      </w:pPr>
      <w:r>
        <w:rPr>
          <w:rFonts w:ascii="Arial" w:hAnsi="Arial" w:cs="Arial"/>
          <w:b/>
          <w:i w:val="0"/>
          <w:color w:val="EE0000"/>
          <w:sz w:val="28"/>
          <w:szCs w:val="28"/>
        </w:rPr>
        <w:t xml:space="preserve">Contradição quanto ao art. 104 do CDC e à eficácia da tutela coletiva</w:t>
      </w:r>
    </w:p>
    <w:p>
      <w:pPr>
        <w:spacing w:line="360" w:lineRule="auto" w:after="0" w:before="0"/>
        <w:ind w:left="720" w:hanging="357"/>
        <w:jc w:val="both"/>
      </w:pPr>
      <w:r>
        <w:rPr>
          <w:rFonts w:ascii="Arial" w:hAnsi="Arial" w:cs="Arial"/>
          <w:b w:val="0"/>
          <w:i w:val="0"/>
          <w:color w:val="EE0000"/>
          <w:sz w:val="28"/>
          <w:szCs w:val="28"/>
        </w:rPr>
        <w:t xml:space="preserve">3. Alega que o acórdão reconhece a eficácia expansiva da sentença coletiva, mas a esvazia ao dar prevalência absoluta à coisa julgada individual, sem harmonizá-la com a isonomia e a efetividade da tutela coletiva, que não enfrentou a superação do Tema 864/STF, que fundamentou a improcedência da ação individual, e que não explicou como lhe seria imputável o não exercício da faculdade do art. 104 do CDC, se a ação coletiva não existia quando propôs a ação individual.</w:t>
      </w:r>
    </w:p>
    <w:p>
      <w:pPr>
        <w:spacing w:line="360" w:lineRule="auto" w:after="0" w:before="0"/>
        <w:jc w:val="both"/>
      </w:pPr>
      <w:r>
        <w:rPr>
          <w:rFonts w:ascii="Arial" w:hAnsi="Arial" w:cs="Arial"/>
          <w:b/>
          <w:i w:val="0"/>
          <w:color w:val="EE0000"/>
          <w:sz w:val="28"/>
          <w:szCs w:val="28"/>
        </w:rPr>
        <w:t xml:space="preserve">Omissão quanto aos argumentos, precedentes e dispositivos invocados</w:t>
      </w:r>
    </w:p>
    <w:p>
      <w:pPr>
        <w:spacing w:line="360" w:lineRule="auto" w:after="0" w:before="0"/>
        <w:ind w:left="720" w:hanging="357"/>
        <w:jc w:val="both"/>
      </w:pPr>
      <w:r>
        <w:rPr>
          <w:rFonts w:ascii="Arial" w:hAnsi="Arial" w:cs="Arial"/>
          <w:b w:val="0"/>
          <w:i w:val="0"/>
          <w:color w:val="EE0000"/>
          <w:sz w:val="28"/>
          <w:szCs w:val="28"/>
        </w:rPr>
        <w:t xml:space="preserve">4. Sustenta que o acórdão não enfrentou de forma individualizada os argumentos e os precedentes do TJDFT e do STJ invocados no apelo, nem se manifestou sobre os arts. 489 § 1º IV e VI, 502 a 506 e 1.022 do CPC e 103 e 104 do CDC, e que a identidade temática quanto à terceira parcela da GIURB não dispensa a análise dos pedidos, das causas de pedir e dos limites de cada decisão.</w:t>
      </w:r>
    </w:p>
    <w:p>
      <w:pPr>
        <w:spacing w:line="360" w:lineRule="auto" w:after="0" w:before="0"/>
        <w:jc w:val="both"/>
      </w:pPr>
      <w:r>
        <w:rPr>
          <w:rFonts w:ascii="Arial" w:hAnsi="Arial" w:cs="Arial"/>
          <w:b/>
          <w:i w:val="0"/>
          <w:color w:val="EE0000"/>
          <w:sz w:val="28"/>
          <w:szCs w:val="28"/>
        </w:rPr>
        <w:t xml:space="preserve">Prequestionamento</w:t>
      </w:r>
    </w:p>
    <w:p>
      <w:pPr>
        <w:spacing w:line="360" w:lineRule="auto" w:after="0" w:before="0"/>
        <w:ind w:left="720" w:hanging="357"/>
        <w:jc w:val="both"/>
      </w:pPr>
      <w:r>
        <w:rPr>
          <w:rFonts w:ascii="Arial" w:hAnsi="Arial" w:cs="Arial"/>
          <w:b w:val="0"/>
          <w:i w:val="0"/>
          <w:color w:val="EE0000"/>
          <w:sz w:val="28"/>
          <w:szCs w:val="28"/>
        </w:rPr>
        <w:t xml:space="preserve">5. Requer manifestação expressa sobre os arts. 5º XXXVI, LIV e LV, e 93 IX da CF, 103 e 104 do CDC e 489 § 1º IV e VI, 502 a 506, 1.022 e 1.025 do CPC.</w:t>
      </w:r>
    </w:p>
    <w:p>
      <w:pPr>
        <w:spacing w:line="360" w:lineRule="auto" w:after="0" w:before="0"/>
        <w:jc w:val="both"/>
      </w:pPr>
      <w:r>
        <w:rPr>
          <w:rFonts w:ascii="Arial" w:hAnsi="Arial" w:cs="Arial"/>
          <w:b/>
          <w:i w:val="0"/>
          <w:color w:val="EE0000"/>
          <w:sz w:val="28"/>
          <w:szCs w:val="28"/>
        </w:rPr>
        <w:t xml:space="preserve">II. PEDIDO</w:t>
      </w:r>
    </w:p>
    <w:p>
      <w:pPr>
        <w:spacing w:line="360" w:lineRule="auto" w:after="0" w:before="0"/>
        <w:ind w:left="720" w:hanging="357"/>
        <w:jc w:val="both"/>
      </w:pPr>
      <w:r>
        <w:rPr>
          <w:rFonts w:ascii="Arial" w:hAnsi="Arial" w:cs="Arial"/>
          <w:b w:val="0"/>
          <w:i w:val="0"/>
          <w:color w:val="EE0000"/>
          <w:sz w:val="28"/>
          <w:szCs w:val="28"/>
        </w:rPr>
        <w:t xml:space="preserve">Requer o acolhimento dos embargos de declaração, com efeitos infringentes, para afastar a coisa julgada como óbice ao cumprimento do título coletivo e determinar o prosseguimento da execução ou, subsidiariamente, o prosseguimento quanto às parcelas posteriores ao trânsito em julgado da ação individual (28/07/2020 a março de 2022), com manifestação expressa para fins de prequestionamento.</w:t>
      </w:r>
    </w:p>
    <w:p>
      <w:pPr>
        <w:spacing w:line="360" w:lineRule="auto" w:after="0" w:before="0"/>
        <w:ind w:firstLine="2268"/>
        <w:jc w:val="both"/>
      </w:pPr>
      <w:r>
        <w:rPr>
          <w:rFonts w:ascii="Arial" w:hAnsi="Arial" w:cs="Arial"/>
          <w:b w:val="0"/>
          <w:i w:val="0"/>
          <w:sz w:val="28"/>
          <w:szCs w:val="28"/>
        </w:rPr>
      </w:r>
    </w:p>
    <w:p>
      <w:pPr>
        <w:pageBreakBefore/>
        <w:spacing w:line="360" w:lineRule="auto" w:after="0" w:before="0"/>
        <w:jc w:val="center"/>
      </w:pPr>
      <w:r>
        <w:rPr>
          <w:rFonts w:ascii="Arial" w:hAnsi="Arial" w:cs="Arial"/>
          <w:b/>
          <w:i w:val="0"/>
          <w:sz w:val="28"/>
          <w:szCs w:val="28"/>
        </w:rPr>
        <w:t xml:space="preserve">RELATÓRIO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exequente, Ricardo Afonso da Silva, opõe embargos de declaração contra o v. acórdão que negou provimento ao apelo e ostenta a seguinte ementa:</w:t>
      </w:r>
    </w:p>
    <w:p>
      <w:pPr>
        <w:spacing w:line="360" w:lineRule="auto" w:after="0" w:before="0"/>
        <w:ind w:firstLine="2268"/>
        <w:jc w:val="both"/>
      </w:pPr>
      <w:r>
        <w:rPr>
          <w:rFonts w:ascii="Arial" w:hAnsi="Arial" w:cs="Arial"/>
          <w:b w:val="0"/>
          <w:i w:val="0"/>
          <w:sz w:val="28"/>
          <w:szCs w:val="28"/>
        </w:rPr>
      </w:r>
    </w:p>
    <w:p>
      <w:pPr>
        <w:spacing w:line="360" w:lineRule="auto" w:after="0" w:before="0"/>
        <w:ind w:left="2268"/>
        <w:jc w:val="both"/>
      </w:pPr>
      <w:r>
        <w:rPr>
          <w:rFonts w:ascii="Arial" w:hAnsi="Arial" w:cs="Arial"/>
          <w:b w:val="0"/>
          <w:i/>
          <w:sz w:val="26"/>
          <w:szCs w:val="26"/>
        </w:rPr>
        <w:t xml:space="preserve">“(...)</w:t>
      </w:r>
    </w:p>
    <w:p>
      <w:pPr>
        <w:spacing w:line="360" w:lineRule="auto" w:after="0" w:before="0"/>
        <w:ind w:left="2268"/>
        <w:jc w:val="both"/>
      </w:pPr>
      <w:r>
        <w:rPr>
          <w:rFonts w:ascii="Arial" w:hAnsi="Arial" w:cs="Arial"/>
          <w:b w:val="0"/>
          <w:i/>
          <w:sz w:val="26"/>
          <w:szCs w:val="26"/>
        </w:rPr>
        <w:t xml:space="preserve">I. Caso em exame</w:t>
      </w:r>
    </w:p>
    <w:p>
      <w:pPr>
        <w:spacing w:line="360" w:lineRule="auto" w:after="0" w:before="0"/>
        <w:ind w:left="2268"/>
        <w:jc w:val="both"/>
      </w:pPr>
      <w:r>
        <w:rPr>
          <w:rFonts w:ascii="Arial" w:hAnsi="Arial" w:cs="Arial"/>
          <w:b w:val="0"/>
          <w:i/>
          <w:sz w:val="26"/>
          <w:szCs w:val="26"/>
        </w:rPr>
        <w:t xml:space="preserve">1. Cumprimento individual de sentença coletiva proposto por pessoa natural contra o Distrito Federal, fundado no título executivo formado na Ação Coletiva nº 0705877-53.2020.8.07.0018, ajuizada pelo SINDAFIS, para cobrança de diferenças remuneratórias decorrentes da implementação da terceira parcela da Gratificação de Incentivo à Fiscalização de Atividades Urbanas (GIURB), previstas na Lei Distrital nº 5.226/2013.</w:t>
      </w:r>
    </w:p>
    <w:p>
      <w:pPr>
        <w:spacing w:line="360" w:lineRule="auto" w:after="0" w:before="0"/>
        <w:ind w:left="2268"/>
        <w:jc w:val="both"/>
      </w:pPr>
      <w:r>
        <w:rPr>
          <w:rFonts w:ascii="Arial" w:hAnsi="Arial" w:cs="Arial"/>
          <w:b w:val="0"/>
          <w:i/>
          <w:sz w:val="26"/>
          <w:szCs w:val="26"/>
        </w:rPr>
        <w:t xml:space="preserve">2. A sentença acolheu a impugnação ao cumprimento de sentença e extinguiu o processo sem resolução do mérito, nos termos do art. 486, V, do CPC, ao reconhecer a existência de coisa julgada oriunda de ação individual anteriormente ajuizada pelo exequente e julgada improcedente com trânsito em julgado.</w:t>
      </w:r>
    </w:p>
    <w:p>
      <w:pPr>
        <w:spacing w:line="360" w:lineRule="auto" w:after="0" w:before="0"/>
        <w:ind w:left="2268"/>
        <w:jc w:val="both"/>
      </w:pPr>
      <w:r>
        <w:rPr>
          <w:rFonts w:ascii="Arial" w:hAnsi="Arial" w:cs="Arial"/>
          <w:b w:val="0"/>
          <w:i/>
          <w:sz w:val="26"/>
          <w:szCs w:val="26"/>
        </w:rPr>
        <w:t xml:space="preserve">3. O exequente apelou sustentando inexistência de coisa julgada, autonomia do título coletivo, incidência do sistema opt out previsto no art. 104 do CDC, ausência de identidade entre as demandas e possibilidade de executar, ao menos, as parcelas posteriores ao trânsito em julgado da ação individual.</w:t>
      </w:r>
    </w:p>
    <w:p>
      <w:pPr>
        <w:spacing w:line="360" w:lineRule="auto" w:after="0" w:before="0"/>
        <w:ind w:left="2268"/>
        <w:jc w:val="both"/>
      </w:pPr>
      <w:r>
        <w:rPr>
          <w:rFonts w:ascii="Arial" w:hAnsi="Arial" w:cs="Arial"/>
          <w:b w:val="0"/>
          <w:i/>
          <w:sz w:val="26"/>
          <w:szCs w:val="26"/>
        </w:rPr>
        <w:t xml:space="preserve">II. Questão em discussão</w:t>
      </w:r>
    </w:p>
    <w:p>
      <w:pPr>
        <w:spacing w:line="360" w:lineRule="auto" w:after="0" w:before="0"/>
        <w:ind w:left="2268"/>
        <w:jc w:val="both"/>
      </w:pPr>
      <w:r>
        <w:rPr>
          <w:rFonts w:ascii="Arial" w:hAnsi="Arial" w:cs="Arial"/>
          <w:b w:val="0"/>
          <w:i/>
          <w:sz w:val="26"/>
          <w:szCs w:val="26"/>
        </w:rPr>
        <w:t xml:space="preserve">4. Há duas questões em discussão: (i) saber se a sentença coletiva favorável à categoria autoriza o cumprimento individual por servidor que anteriormente ajuizou ação individual idêntica julgada improcedente com trânsito em julgado; e (ii) saber se eventual coisa julgada individual alcança também as parcelas posteriores ao respectivo trânsito em julgado.</w:t>
      </w:r>
    </w:p>
    <w:p>
      <w:pPr>
        <w:spacing w:line="360" w:lineRule="auto" w:after="0" w:before="0"/>
        <w:ind w:left="2268"/>
        <w:jc w:val="both"/>
      </w:pPr>
      <w:r>
        <w:rPr>
          <w:rFonts w:ascii="Arial" w:hAnsi="Arial" w:cs="Arial"/>
          <w:b w:val="0"/>
          <w:i/>
          <w:sz w:val="26"/>
          <w:szCs w:val="26"/>
        </w:rPr>
        <w:t xml:space="preserve">III. Razões de decidir</w:t>
      </w:r>
    </w:p>
    <w:p>
      <w:pPr>
        <w:spacing w:line="360" w:lineRule="auto" w:after="0" w:before="0"/>
        <w:ind w:left="2268"/>
        <w:jc w:val="both"/>
      </w:pPr>
      <w:r>
        <w:rPr>
          <w:rFonts w:ascii="Arial" w:hAnsi="Arial" w:cs="Arial"/>
          <w:b w:val="0"/>
          <w:i/>
          <w:sz w:val="26"/>
          <w:szCs w:val="26"/>
        </w:rPr>
        <w:t xml:space="preserve">5. A ação individual anteriormente proposta pelo exequente tinha o mesmo pedido e a mesma causa de pedir da ação coletiva utilizada como título executivo, pois ambas buscavam a implementação da terceira parcela da GIURB e o pagamento das diferenças remuneratórias decorrentes da Lei Distrital nº 5.226/2013.</w:t>
      </w:r>
    </w:p>
    <w:p>
      <w:pPr>
        <w:spacing w:line="360" w:lineRule="auto" w:after="0" w:before="0"/>
        <w:ind w:left="2268"/>
        <w:jc w:val="both"/>
      </w:pPr>
      <w:r>
        <w:rPr>
          <w:rFonts w:ascii="Arial" w:hAnsi="Arial" w:cs="Arial"/>
          <w:b w:val="0"/>
          <w:i/>
          <w:sz w:val="26"/>
          <w:szCs w:val="26"/>
        </w:rPr>
        <w:t xml:space="preserve">6. A improcedência da ação individual, com resolução de mérito e trânsito em julgado em 27/07/2020, formou coisa julgada material. O fato de o julgamento ter adotado como fundamento o Tema 864 do STF não afasta a autoridade da decisão nem autoriza rediscussão da mesma pretensão em cumprimento individual de sentença coletiva posterior.</w:t>
      </w:r>
    </w:p>
    <w:p>
      <w:pPr>
        <w:spacing w:line="360" w:lineRule="auto" w:after="0" w:before="0"/>
        <w:ind w:left="2268"/>
        <w:jc w:val="both"/>
      </w:pPr>
      <w:r>
        <w:rPr>
          <w:rFonts w:ascii="Arial" w:hAnsi="Arial" w:cs="Arial"/>
          <w:b w:val="0"/>
          <w:i/>
          <w:sz w:val="26"/>
          <w:szCs w:val="26"/>
        </w:rPr>
        <w:t xml:space="preserve">7. A inexistência de litispendência entre ação individual e coletiva não impede o reconhecimento da coisa julgada. A eficácia erga omnes da sentença coletiva não alcança relação jurídica já acobertada por coisa julgada individual anterior. O art. 104 do CDC pressupõe coexistência entre ação individual pendente e ação coletiva, permitindo ao autor requerer a suspensão da demanda individual para aproveitar eventual resultado coletivo favorável. Inviável aplicar essa regra quando a ação individual já transitara em julgado antes mesmo do ajuizamento da demanda coletiva. Também não cabe restringir os efeitos da coisa julgada ao período anterior ao trânsito em julgado, porque a ação individual abrangeu parcelas vencidas e vincendas até a efetiva implementação do reajuste.</w:t>
      </w:r>
    </w:p>
    <w:p>
      <w:pPr>
        <w:spacing w:line="360" w:lineRule="auto" w:after="0" w:before="0"/>
        <w:ind w:left="2268"/>
        <w:jc w:val="both"/>
      </w:pPr>
      <w:r>
        <w:rPr>
          <w:rFonts w:ascii="Arial" w:hAnsi="Arial" w:cs="Arial"/>
          <w:b w:val="0"/>
          <w:i/>
          <w:sz w:val="26"/>
          <w:szCs w:val="26"/>
        </w:rPr>
        <w:t xml:space="preserve">IV. Dispositivo</w:t>
      </w:r>
    </w:p>
    <w:p>
      <w:pPr>
        <w:spacing w:line="360" w:lineRule="auto" w:after="0" w:before="0"/>
        <w:ind w:left="2268"/>
        <w:jc w:val="both"/>
      </w:pPr>
      <w:r>
        <w:rPr>
          <w:rFonts w:ascii="Arial" w:hAnsi="Arial" w:cs="Arial"/>
          <w:b w:val="0"/>
          <w:i/>
          <w:sz w:val="26"/>
          <w:szCs w:val="26"/>
        </w:rPr>
        <w:t xml:space="preserve">8. Negou-se provimento ao apelo do exequente. (...).” (ID 87700188)</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embargante alega a existência de omissão e de contradição no acórdão.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Contrarrazões em que o embargado, Distrito Federal, alega que: </w:t>
      </w:r>
      <w:r>
        <w:rPr>
          <w:rFonts w:ascii="Arial" w:hAnsi="Arial" w:cs="Arial"/>
          <w:b/>
          <w:i w:val="0"/>
          <w:sz w:val="28"/>
          <w:szCs w:val="28"/>
        </w:rPr>
        <w:t xml:space="preserve">1)</w:t>
      </w:r>
      <w:r>
        <w:rPr>
          <w:rFonts w:ascii="Arial" w:hAnsi="Arial" w:cs="Arial"/>
          <w:b w:val="0"/>
          <w:i w:val="0"/>
          <w:sz w:val="28"/>
          <w:szCs w:val="28"/>
        </w:rPr>
        <w:t xml:space="preserve"> o acórdão destacou que a ação individual abrangeu as parcelas vencidas desde dezembro de 2015 e todas as vincendas até a implementação da vantagem, de modo que a improcedência acobertou a integralidade da relação jurídica (CPC 508); </w:t>
      </w:r>
      <w:r>
        <w:rPr>
          <w:rFonts w:ascii="Arial" w:hAnsi="Arial" w:cs="Arial"/>
          <w:b/>
          <w:i w:val="0"/>
          <w:sz w:val="28"/>
          <w:szCs w:val="28"/>
        </w:rPr>
        <w:t xml:space="preserve">2)</w:t>
      </w:r>
      <w:r>
        <w:rPr>
          <w:rFonts w:ascii="Arial" w:hAnsi="Arial" w:cs="Arial"/>
          <w:b w:val="0"/>
          <w:i w:val="0"/>
          <w:sz w:val="28"/>
          <w:szCs w:val="28"/>
        </w:rPr>
        <w:t xml:space="preserve"> inexistem os vícios do art. 1.022 do CPC, e o recurso busca a rediscussão do mérito, o que torna inviável a atribuição de efeitos infringentes; </w:t>
      </w:r>
      <w:r>
        <w:rPr>
          <w:rFonts w:ascii="Arial" w:hAnsi="Arial" w:cs="Arial"/>
          <w:b/>
          <w:i w:val="0"/>
          <w:sz w:val="28"/>
          <w:szCs w:val="28"/>
        </w:rPr>
        <w:t xml:space="preserve">3)</w:t>
      </w:r>
      <w:r>
        <w:rPr>
          <w:rFonts w:ascii="Arial" w:hAnsi="Arial" w:cs="Arial"/>
          <w:b w:val="0"/>
          <w:i w:val="0"/>
          <w:sz w:val="28"/>
          <w:szCs w:val="28"/>
        </w:rPr>
        <w:t xml:space="preserve"> é desnecessária a menção numérica dos dispositivos para fins de prequestionamento, pois a matéria foi examinada pelo Colegiado (CPC 1.025) (ID 91537434).</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É o relatório.</w:t>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i w:val="0"/>
          <w:sz w:val="28"/>
          <w:szCs w:val="28"/>
        </w:rPr>
        <w:t xml:space="preserve">VOTO</w:t>
      </w:r>
    </w:p>
    <w:p>
      <w:pPr>
        <w:spacing w:line="360" w:lineRule="auto" w:after="0" w:before="0"/>
        <w:ind w:firstLine="2268"/>
        <w:jc w:val="both"/>
      </w:pPr>
      <w:r>
        <w:rPr>
          <w:rFonts w:ascii="Arial" w:hAnsi="Arial" w:cs="Arial"/>
          <w:b w:val="0"/>
          <w:i w:val="0"/>
          <w:sz w:val="28"/>
          <w:szCs w:val="28"/>
        </w:rPr>
      </w:r>
    </w:p>
    <w:p>
      <w:pPr>
        <w:spacing w:line="360" w:lineRule="auto" w:after="0" w:before="0"/>
        <w:jc w:val="both"/>
      </w:pPr>
      <w:r>
        <w:rPr>
          <w:rFonts w:ascii="Arial" w:hAnsi="Arial" w:cs="Arial"/>
          <w:b/>
          <w:i w:val="0"/>
          <w:sz w:val="28"/>
          <w:szCs w:val="28"/>
        </w:rPr>
        <w:t xml:space="preserve">O Senhor Desembargador SÉRGIO ROCHA – Relator</w:t>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i w:val="0"/>
          <w:sz w:val="28"/>
          <w:szCs w:val="28"/>
        </w:rPr>
        <w:t xml:space="preserve">EMBARGOS DE DECLARAÇÃO OPOSTOS PELO EXEQUENTE, RICARDO AFONSO DA SILVA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commentRangeStart w:id="1"/>
      <w:r>
        <w:rPr>
          <w:rFonts w:ascii="Arial" w:hAnsi="Arial" w:cs="Arial"/>
          <w:b w:val="0"/>
          <w:i w:val="0"/>
          <w:sz w:val="28"/>
          <w:szCs w:val="28"/>
        </w:rPr>
        <w:t xml:space="preserve">Presentes os pressupostos de admissibilidade, conheço dos embargos de declaração.</w:t>
      </w:r>
      <w:commentRangeEnd w:id="1"/>
      <w:r>
        <w:rPr>
          <w:rStyle w:val="CommentReference"/>
        </w:rPr>
        <w:commentReference w:id="1"/>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val="0"/>
          <w:i w:val="0"/>
          <w:sz w:val="28"/>
          <w:szCs w:val="28"/>
          <w:highlight w:val="yellow"/>
        </w:rPr>
        <w:t xml:space="preserve">DA INEXISTÊNCIA DE OMISSÃO QUANTO AOS LIMITES OBJETIVOS E TEMPORAIS DA COISA JULGADA E AO PEDIDO SUBSIDIÁRIO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embargante alega que: </w:t>
      </w:r>
      <w:r>
        <w:rPr>
          <w:rFonts w:ascii="Arial" w:hAnsi="Arial" w:cs="Arial"/>
          <w:b/>
          <w:i w:val="0"/>
          <w:sz w:val="28"/>
          <w:szCs w:val="28"/>
        </w:rPr>
        <w:t xml:space="preserve">1)</w:t>
      </w:r>
      <w:r>
        <w:rPr>
          <w:rFonts w:ascii="Arial" w:hAnsi="Arial" w:cs="Arial"/>
          <w:b w:val="0"/>
          <w:i w:val="0"/>
          <w:sz w:val="28"/>
          <w:szCs w:val="28"/>
        </w:rPr>
        <w:t xml:space="preserve"> o acórdão não delimitou o conteúdo do que foi decidido na ação individual nem os limites objetivos e temporais da coisa julgada formada em 27/07/2020, e concluiu que ela alcançaria parcelas posteriores apenas porque houve pedido de parcelas vincendas; </w:t>
      </w:r>
      <w:r>
        <w:rPr>
          <w:rFonts w:ascii="Arial" w:hAnsi="Arial" w:cs="Arial"/>
          <w:b/>
          <w:i w:val="0"/>
          <w:sz w:val="28"/>
          <w:szCs w:val="28"/>
        </w:rPr>
        <w:t xml:space="preserve">2)</w:t>
      </w:r>
      <w:r>
        <w:rPr>
          <w:rFonts w:ascii="Arial" w:hAnsi="Arial" w:cs="Arial"/>
          <w:b w:val="0"/>
          <w:i w:val="0"/>
          <w:sz w:val="28"/>
          <w:szCs w:val="28"/>
        </w:rPr>
        <w:t xml:space="preserve"> não enfrentou o pedido subsidiário de prosseguimento do cumprimento de sentença quanto às parcelas de 28/07/2020 a março de 2022; </w:t>
      </w:r>
      <w:r>
        <w:rPr>
          <w:rFonts w:ascii="Arial" w:hAnsi="Arial" w:cs="Arial"/>
          <w:b/>
          <w:i w:val="0"/>
          <w:sz w:val="28"/>
          <w:szCs w:val="28"/>
        </w:rPr>
        <w:t xml:space="preserve">3)</w:t>
      </w:r>
      <w:r>
        <w:rPr>
          <w:rFonts w:ascii="Arial" w:hAnsi="Arial" w:cs="Arial"/>
          <w:b w:val="0"/>
          <w:i w:val="0"/>
          <w:sz w:val="28"/>
          <w:szCs w:val="28"/>
        </w:rPr>
        <w:t xml:space="preserve"> não examinou o art. 505, I, do CPC, aplicável à relação jurídica de trato continuado; </w:t>
      </w:r>
      <w:r>
        <w:rPr>
          <w:rFonts w:ascii="Arial" w:hAnsi="Arial" w:cs="Arial"/>
          <w:b/>
          <w:i w:val="0"/>
          <w:sz w:val="28"/>
          <w:szCs w:val="28"/>
        </w:rPr>
        <w:t xml:space="preserve">4)</w:t>
      </w:r>
      <w:r>
        <w:rPr>
          <w:rFonts w:ascii="Arial" w:hAnsi="Arial" w:cs="Arial"/>
          <w:b w:val="0"/>
          <w:i w:val="0"/>
          <w:sz w:val="28"/>
          <w:szCs w:val="28"/>
        </w:rPr>
        <w:t xml:space="preserve"> não esclareceu por que a identidade temática quanto à terceira parcela da GIURB impede o aproveitamento do título coletivo (ID 90149858).</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Requer o provimento dos embargos de declaração para que seja sanada a omissão apontada.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Sem razão o embargante.</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A alegação de omissão não merece prosperar, pois a matéria foi devidamente analisada no r. acórdão, que assim se manifestou:</w:t>
      </w:r>
    </w:p>
    <w:p>
      <w:pPr>
        <w:spacing w:line="360" w:lineRule="auto" w:after="0" w:before="0"/>
        <w:ind w:firstLine="2268"/>
        <w:jc w:val="both"/>
      </w:pPr>
      <w:r>
        <w:rPr>
          <w:rFonts w:ascii="Arial" w:hAnsi="Arial" w:cs="Arial"/>
          <w:b w:val="0"/>
          <w:i w:val="0"/>
          <w:sz w:val="28"/>
          <w:szCs w:val="28"/>
        </w:rPr>
      </w:r>
    </w:p>
    <w:p>
      <w:pPr>
        <w:spacing w:line="360" w:lineRule="auto" w:after="0" w:before="0"/>
        <w:ind w:left="2268" w:firstLine="1134"/>
        <w:jc w:val="both"/>
      </w:pPr>
      <w:r>
        <w:rPr>
          <w:rFonts w:ascii="Arial" w:hAnsi="Arial" w:cs="Arial"/>
          <w:b w:val="0"/>
          <w:i/>
          <w:sz w:val="26"/>
          <w:szCs w:val="26"/>
        </w:rPr>
        <w:t xml:space="preserve">“(...) A sentença proferida no processo nº 0740818-40.2017.8.07.0016 julgou improcedente, com resolução de mérito, o pedido de implementação da terceira parcela da GIURB e de pagamento das diferenças remuneratórias, exatamente com fundamento na Lei Distrital nº 5.226/2013, tendo transitado em julgado em 27/07/2020 (ID 66695931 do processo de referência)</w:t>
      </w:r>
    </w:p>
    <w:p>
      <w:pPr>
        <w:spacing w:line="360" w:lineRule="auto" w:after="0" w:before="0"/>
        <w:ind w:left="2268" w:firstLine="1134"/>
        <w:jc w:val="both"/>
      </w:pPr>
      <w:r>
        <w:rPr>
          <w:rFonts w:ascii="Arial" w:hAnsi="Arial" w:cs="Arial"/>
          <w:b w:val="0"/>
          <w:i/>
          <w:sz w:val="26"/>
          <w:szCs w:val="26"/>
        </w:rPr>
        <w:t xml:space="preserve">(...) Também não procede a tentativa de limitar a coisa julgada ao período anterior ao trânsito em julgado da ação individual.</w:t>
      </w:r>
    </w:p>
    <w:p>
      <w:pPr>
        <w:spacing w:line="360" w:lineRule="auto" w:after="0" w:before="0"/>
        <w:ind w:left="2268" w:firstLine="1134"/>
        <w:jc w:val="both"/>
      </w:pPr>
      <w:r>
        <w:rPr>
          <w:rFonts w:ascii="Arial" w:hAnsi="Arial" w:cs="Arial"/>
          <w:b w:val="0"/>
          <w:i/>
          <w:sz w:val="26"/>
          <w:szCs w:val="26"/>
        </w:rPr>
        <w:t xml:space="preserve">Na demanda originária, o autor pediu não apenas as parcelas vencidas desde dezembro de 2015, mas também as parcelas vincendas até a efetiva implementação integral do reajuste. (ID 10582592 do processo de referência)</w:t>
      </w:r>
    </w:p>
    <w:p>
      <w:pPr>
        <w:spacing w:line="360" w:lineRule="auto" w:after="0" w:before="0"/>
        <w:ind w:left="2268" w:firstLine="1134"/>
        <w:jc w:val="both"/>
      </w:pPr>
      <w:r>
        <w:rPr>
          <w:rFonts w:ascii="Arial" w:hAnsi="Arial" w:cs="Arial"/>
          <w:b w:val="0"/>
          <w:i/>
          <w:sz w:val="26"/>
          <w:szCs w:val="26"/>
        </w:rPr>
        <w:t xml:space="preserve">Portanto, a relação jurídica remuneratória foi submetida ao Judiciário em sua integralidade, abrangendo tanto as diferenças vencidas quanto as futuras, enquanto não incorporada a verba. (...)”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No caso, o acórdão delimitou o objeto da ação individual, julgada improcedente com resolução de mérito e trânsito em julgado em 27/07/2020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O acórdão também afastou a limitação temporal da coisa julgada, inclusive quanto ao período de 28/07/2020 a março de 2022 (pedido subsidiário, ID 78303710), porque a ação individual abrangeu as parcelas vincendas até a implementação do reajuste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commentRangeStart w:id="4"/>
      <w:r>
        <w:rPr>
          <w:rFonts w:ascii="Arial" w:hAnsi="Arial" w:cs="Arial"/>
          <w:b w:val="0"/>
          <w:i w:val="0"/>
          <w:sz w:val="28"/>
          <w:szCs w:val="28"/>
        </w:rPr>
        <w:t xml:space="preserve">Quanto ao art. 505, I, do CPC, o dispositivo não foi invocado nas razões da apelação, de modo que a questão não foi devolvida ao Colegiado (ID 78303710).</w:t>
      </w:r>
      <w:commentRangeEnd w:id="4"/>
      <w:r>
        <w:rPr>
          <w:rStyle w:val="CommentReference"/>
        </w:rPr>
        <w:commentReference w:id="4"/>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Dessa forma, conforme mencionado no v. acórdão embargado, a matéria relativa aos limites objetivos e temporais da coisa julgada individual e ao pedido subsidiário foi suficientemente abordada, não havendo omissão a ser sanada, mas apenas mero inconformismo meritório do embargante com a conclusão adotada pelo Colegiado.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Na verdade, ao alegar omissão, o embargante pretende o reexame do apelo, o que é vedado em sede de embargos de declaração.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u w:val="single"/>
        </w:rPr>
        <w:t xml:space="preserve">Nego provimento aos embargos de declaração, nesse ponto.</w:t>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val="0"/>
          <w:i w:val="0"/>
          <w:sz w:val="28"/>
          <w:szCs w:val="28"/>
          <w:highlight w:val="yellow"/>
        </w:rPr>
        <w:t xml:space="preserve">DA INEXISTÊNCIA DE CONTRADIÇÃO E DE OMISSÃO QUANTO AO ART. 104 DO CDC E À EFICÁCIA DO TÍTULO COLETIVO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embargante alega que: </w:t>
      </w:r>
      <w:r>
        <w:rPr>
          <w:rFonts w:ascii="Arial" w:hAnsi="Arial" w:cs="Arial"/>
          <w:b/>
          <w:i w:val="0"/>
          <w:sz w:val="28"/>
          <w:szCs w:val="28"/>
        </w:rPr>
        <w:t xml:space="preserve">1)</w:t>
      </w:r>
      <w:r>
        <w:rPr>
          <w:rFonts w:ascii="Arial" w:hAnsi="Arial" w:cs="Arial"/>
          <w:b w:val="0"/>
          <w:i w:val="0"/>
          <w:sz w:val="28"/>
          <w:szCs w:val="28"/>
        </w:rPr>
        <w:t xml:space="preserve"> o acórdão é contraditório ao afastar o art. 104 do CDC porque a ação coletiva é posterior à individual e, ao mesmo tempo, reconhecer a coexistência entre as tutelas individual e coletiva, mas esvaziar a eficácia do título coletivo; </w:t>
      </w:r>
      <w:r>
        <w:rPr>
          <w:rFonts w:ascii="Arial" w:hAnsi="Arial" w:cs="Arial"/>
          <w:b/>
          <w:i w:val="0"/>
          <w:sz w:val="28"/>
          <w:szCs w:val="28"/>
        </w:rPr>
        <w:t xml:space="preserve">2)</w:t>
      </w:r>
      <w:r>
        <w:rPr>
          <w:rFonts w:ascii="Arial" w:hAnsi="Arial" w:cs="Arial"/>
          <w:b w:val="0"/>
          <w:i w:val="0"/>
          <w:sz w:val="28"/>
          <w:szCs w:val="28"/>
        </w:rPr>
        <w:t xml:space="preserve"> conferiu prevalência absoluta à coisa julgada individual sem harmonizá-la com a isonomia e a efetividade da tutela coletiva; </w:t>
      </w:r>
      <w:r>
        <w:rPr>
          <w:rFonts w:ascii="Arial" w:hAnsi="Arial" w:cs="Arial"/>
          <w:b/>
          <w:i w:val="0"/>
          <w:sz w:val="28"/>
          <w:szCs w:val="28"/>
        </w:rPr>
        <w:t xml:space="preserve">3)</w:t>
      </w:r>
      <w:r>
        <w:rPr>
          <w:rFonts w:ascii="Arial" w:hAnsi="Arial" w:cs="Arial"/>
          <w:b w:val="0"/>
          <w:i w:val="0"/>
          <w:sz w:val="28"/>
          <w:szCs w:val="28"/>
        </w:rPr>
        <w:t xml:space="preserve"> deixou de enfrentar o argumento de que a improcedência da ação individual decorreu da aplicação do Tema 864/STF, posteriormente superado na ação coletiva; </w:t>
      </w:r>
      <w:r>
        <w:rPr>
          <w:rFonts w:ascii="Arial" w:hAnsi="Arial" w:cs="Arial"/>
          <w:b/>
          <w:i w:val="0"/>
          <w:sz w:val="28"/>
          <w:szCs w:val="28"/>
        </w:rPr>
        <w:t xml:space="preserve">4)</w:t>
      </w:r>
      <w:r>
        <w:rPr>
          <w:rFonts w:ascii="Arial" w:hAnsi="Arial" w:cs="Arial"/>
          <w:b w:val="0"/>
          <w:i w:val="0"/>
          <w:sz w:val="28"/>
          <w:szCs w:val="28"/>
        </w:rPr>
        <w:t xml:space="preserve"> não explicou como lhe seria imputável o não exercício da faculdade do art. 104 do CDC, se a ação coletiva não existia quando propôs a ação individual (ID 90149858).</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Requer o provimento dos embargos de declaração para que sejam sanadas a contradição e a omissão apontadas.</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Sem razão o embargante.</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As alegações de contradição e de omissão não merecem prosperar, pois a matéria foi devidamente analisada no r. acórdão, cujas premissas convergem com a conclusão adotada no dispositivo, que assim se manifestou:</w:t>
      </w:r>
    </w:p>
    <w:p>
      <w:pPr>
        <w:spacing w:line="360" w:lineRule="auto" w:after="0" w:before="0"/>
        <w:ind w:firstLine="2268"/>
        <w:jc w:val="both"/>
      </w:pPr>
      <w:r>
        <w:rPr>
          <w:rFonts w:ascii="Arial" w:hAnsi="Arial" w:cs="Arial"/>
          <w:b w:val="0"/>
          <w:i w:val="0"/>
          <w:sz w:val="28"/>
          <w:szCs w:val="28"/>
        </w:rPr>
      </w:r>
    </w:p>
    <w:p>
      <w:pPr>
        <w:spacing w:line="360" w:lineRule="auto" w:after="0" w:before="0"/>
        <w:ind w:left="2268" w:firstLine="1134"/>
        <w:jc w:val="both"/>
      </w:pPr>
      <w:r>
        <w:rPr>
          <w:rFonts w:ascii="Arial" w:hAnsi="Arial" w:cs="Arial"/>
          <w:b w:val="0"/>
          <w:i/>
          <w:sz w:val="26"/>
          <w:szCs w:val="26"/>
        </w:rPr>
        <w:t xml:space="preserve">“(...) O fato de o fundamento adotado ter sido a incidência do Tema 864/STF, que dispõe que ‘a revisão geral anual da remuneração dos servidores públicos depende, cumulativamente, de dotação na Lei Orçamentária Anual e de previsão na Lei de Diretrizes Orçamentárias’, não descaracteriza o julgamento de mérito nem autoriza a rediscussão da mesma pretensão por meio de cumprimento individual de sentença coletiva posteriormente formada. (...)</w:t>
      </w:r>
    </w:p>
    <w:p>
      <w:pPr>
        <w:spacing w:line="360" w:lineRule="auto" w:after="0" w:before="0"/>
        <w:ind w:left="2268" w:firstLine="1134"/>
        <w:jc w:val="both"/>
      </w:pPr>
      <w:r>
        <w:rPr>
          <w:rFonts w:ascii="Arial" w:hAnsi="Arial" w:cs="Arial"/>
          <w:b w:val="0"/>
          <w:i/>
          <w:sz w:val="26"/>
          <w:szCs w:val="26"/>
        </w:rPr>
        <w:t xml:space="preserve">Nessa linha, embora inexista litispendência entre ação individual e ação coletiva, a posterior formação de título coletivo favorável à categoria não tem o efeito de desconstituir coisa julgada individual anterior, regularmente formada contra o próprio servidor.</w:t>
      </w:r>
    </w:p>
    <w:p>
      <w:pPr>
        <w:spacing w:line="360" w:lineRule="auto" w:after="0" w:before="0"/>
        <w:ind w:left="2268" w:firstLine="1134"/>
        <w:jc w:val="both"/>
      </w:pPr>
      <w:r>
        <w:rPr>
          <w:rFonts w:ascii="Arial" w:hAnsi="Arial" w:cs="Arial"/>
          <w:b w:val="0"/>
          <w:i/>
          <w:sz w:val="26"/>
          <w:szCs w:val="26"/>
        </w:rPr>
        <w:t xml:space="preserve">A coisa julgada coletiva pode beneficiar os substituídos que não tenham obtido pronunciamento individual definitivo desfavorável, mas não serve como sucedâneo de ação rescisória nem como via para reabrir relação jurídica já acobertada pela imutabilidade do julgado.</w:t>
      </w:r>
    </w:p>
    <w:p>
      <w:pPr>
        <w:spacing w:line="360" w:lineRule="auto" w:after="0" w:before="0"/>
        <w:ind w:left="2268" w:firstLine="1134"/>
        <w:jc w:val="both"/>
      </w:pPr>
      <w:r>
        <w:rPr>
          <w:rFonts w:ascii="Arial" w:hAnsi="Arial" w:cs="Arial"/>
          <w:b w:val="0"/>
          <w:i/>
          <w:sz w:val="26"/>
          <w:szCs w:val="26"/>
        </w:rPr>
        <w:t xml:space="preserve">O art. 104 do CDC, invocado pelo apelante, não conduz a conclusão diversa:</w:t>
      </w:r>
    </w:p>
    <w:p>
      <w:pPr>
        <w:spacing w:line="360" w:lineRule="auto" w:after="0" w:before="0"/>
        <w:ind w:left="3402"/>
        <w:jc w:val="both"/>
      </w:pPr>
      <w:r>
        <w:rPr>
          <w:rFonts w:ascii="Arial" w:hAnsi="Arial" w:cs="Arial"/>
          <w:b w:val="0"/>
          <w:i/>
          <w:sz w:val="26"/>
          <w:szCs w:val="26"/>
        </w:rPr>
        <w:t xml:space="preserve">‘Art. 104. As ações coletivas, previstas nos incisos I e II e do parágrafo único do art. 81, não induzem litispendência para as ações individuais, mas os efeitos da coisa julgada erga omnes ou ultra partes a que aludem os incisos II e III do artigo anterior não beneficiarão os autores das ações individuais, se não for requerida sua suspensão no prazo de trinta dias, a contar da ciência nos autos do ajuizamento da ação coletiva.’</w:t>
      </w:r>
    </w:p>
    <w:p>
      <w:pPr>
        <w:spacing w:line="360" w:lineRule="auto" w:after="0" w:before="0"/>
        <w:ind w:left="2268" w:firstLine="1134"/>
        <w:jc w:val="both"/>
      </w:pPr>
      <w:r>
        <w:rPr>
          <w:rFonts w:ascii="Arial" w:hAnsi="Arial" w:cs="Arial"/>
          <w:b w:val="0"/>
          <w:i/>
          <w:sz w:val="26"/>
          <w:szCs w:val="26"/>
        </w:rPr>
        <w:t xml:space="preserve">A regra do sistema opt out pressupõe coexistência entre ação individual pendente e ação coletiva, de modo a permitir ao interessado suspender a demanda individual para aproveitar eventual resultado coletivo favorável.</w:t>
      </w:r>
    </w:p>
    <w:p>
      <w:pPr>
        <w:spacing w:line="360" w:lineRule="auto" w:after="0" w:before="0"/>
        <w:ind w:left="2268" w:firstLine="1134"/>
        <w:jc w:val="both"/>
      </w:pPr>
      <w:r>
        <w:rPr>
          <w:rFonts w:ascii="Arial" w:hAnsi="Arial" w:cs="Arial"/>
          <w:b w:val="0"/>
          <w:i/>
          <w:sz w:val="26"/>
          <w:szCs w:val="26"/>
        </w:rPr>
        <w:t xml:space="preserve">No caso, porém, a ação individual antecedeu a ação coletiva e já havia transitado em julgado quando se formou o título coletivo, o que torna irrelevante a discussão sobre prévia ciência do autor acerca da demanda coletiva.</w:t>
      </w:r>
    </w:p>
    <w:p>
      <w:pPr>
        <w:spacing w:line="360" w:lineRule="auto" w:after="0" w:before="0"/>
        <w:ind w:left="2268" w:firstLine="1134"/>
        <w:jc w:val="both"/>
      </w:pPr>
      <w:r>
        <w:rPr>
          <w:rFonts w:ascii="Arial" w:hAnsi="Arial" w:cs="Arial"/>
          <w:b w:val="0"/>
          <w:i/>
          <w:sz w:val="26"/>
          <w:szCs w:val="26"/>
        </w:rPr>
        <w:t xml:space="preserve">Assim, deve prevalecer a autoridade da coisa julgada formada na ação individual, sob pena de permitir que o servidor, vencido em demanda própria, obtenha pela via executiva coletiva resultado incompatível com decisão anterior definitiva. (...)”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No caso, o acórdão afastou o art. 104 do CDC porque a ação individual antecedeu a ação coletiva e já havia transitado em julgado quando se formou o título coletivo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acórdão também examinou o Tema 864/STF e concluiu que ele não descaracteriza o julgamento de mérito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Dessa forma, conforme mencionado no v. acórdão embargado, a matéria relativa ao art. 104 do CDC e à eficácia do título coletivo foi suficientemente abordada, não havendo omissão ou contradição a ser sanada, mas apenas mero inconformismo meritório do embargante com a conclusão adotada pelo Colegiado.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commentRangeStart w:id="6"/>
      <w:r>
        <w:rPr>
          <w:rFonts w:ascii="Arial" w:hAnsi="Arial" w:cs="Arial"/>
          <w:b w:val="0"/>
          <w:i w:val="0"/>
          <w:sz w:val="28"/>
          <w:szCs w:val="28"/>
        </w:rPr>
        <w:t xml:space="preserve">Registro que a contradição passível de ser alegada em embargos de declaração é a interna, ou seja, entre as premissas utilizadas e a conclusão do julgamento, o que não se verifica na hipótese, uma vez que a fundamentação e o dispositivo ostentam coerência lógica entre si.</w:t>
      </w:r>
      <w:commentRangeEnd w:id="6"/>
      <w:r>
        <w:rPr>
          <w:rStyle w:val="CommentReference"/>
        </w:rPr>
        <w:commentReference w:id="6"/>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Na verdade, ao alegar omissão e contradição, o embargante pretende o reexame do apelo, o que é vedado em sede de embargos de declaração.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u w:val="single"/>
        </w:rPr>
        <w:t xml:space="preserve">Nego provimento aos embargos de declaração, nesse ponto.</w:t>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val="0"/>
          <w:i w:val="0"/>
          <w:sz w:val="28"/>
          <w:szCs w:val="28"/>
          <w:highlight w:val="yellow"/>
        </w:rPr>
        <w:t xml:space="preserve">DA INEXISTÊNCIA DE OMISSÃO QUANTO AOS ARGUMENTOS, PRECEDENTES E DISPOSITIVOS INVOCADOS NO APELO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embargante alega que: </w:t>
      </w:r>
      <w:r>
        <w:rPr>
          <w:rFonts w:ascii="Arial" w:hAnsi="Arial" w:cs="Arial"/>
          <w:b/>
          <w:i w:val="0"/>
          <w:sz w:val="28"/>
          <w:szCs w:val="28"/>
        </w:rPr>
        <w:t xml:space="preserve">1)</w:t>
      </w:r>
      <w:r>
        <w:rPr>
          <w:rFonts w:ascii="Arial" w:hAnsi="Arial" w:cs="Arial"/>
          <w:b w:val="0"/>
          <w:i w:val="0"/>
          <w:sz w:val="28"/>
          <w:szCs w:val="28"/>
        </w:rPr>
        <w:t xml:space="preserve"> o acórdão não enfrentou de forma específica e individualizada os argumentos e os precedentes do TJDFT e do STJ invocados no apelo, capazes de infirmar a conclusão adotada, e se limitou a reafirmar a existência da coisa julgada; </w:t>
      </w:r>
      <w:r>
        <w:rPr>
          <w:rFonts w:ascii="Arial" w:hAnsi="Arial" w:cs="Arial"/>
          <w:b/>
          <w:i w:val="0"/>
          <w:sz w:val="28"/>
          <w:szCs w:val="28"/>
        </w:rPr>
        <w:t xml:space="preserve">2)</w:t>
      </w:r>
      <w:r>
        <w:rPr>
          <w:rFonts w:ascii="Arial" w:hAnsi="Arial" w:cs="Arial"/>
          <w:b w:val="0"/>
          <w:i w:val="0"/>
          <w:sz w:val="28"/>
          <w:szCs w:val="28"/>
        </w:rPr>
        <w:t xml:space="preserve"> permanecem sem manifestação os arts. 489 § 1º IV e VI, 502 a 506 e 1.022 do CPC e 103 e 104 do CDC; </w:t>
      </w:r>
      <w:r>
        <w:rPr>
          <w:rFonts w:ascii="Arial" w:hAnsi="Arial" w:cs="Arial"/>
          <w:b/>
          <w:i w:val="0"/>
          <w:sz w:val="28"/>
          <w:szCs w:val="28"/>
        </w:rPr>
        <w:t xml:space="preserve">3)</w:t>
      </w:r>
      <w:r>
        <w:rPr>
          <w:rFonts w:ascii="Arial" w:hAnsi="Arial" w:cs="Arial"/>
          <w:b w:val="0"/>
          <w:i w:val="0"/>
          <w:sz w:val="28"/>
          <w:szCs w:val="28"/>
        </w:rPr>
        <w:t xml:space="preserve"> a coincidência temática quanto à terceira parcela da GIURB não dispensa a análise dos pedidos, das causas de pedir e dos limites das decisões proferidas nas ações individual e coletiva (ID 90149858).</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Requer o provimento dos embargos de declaração para que seja sanada a omissão apontada.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Sem razão o embargante.</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A alegação de omissão não merece prosperar, pois a matéria foi devidamente analisada no r. acórdão, que assim se manifestou:</w:t>
      </w:r>
    </w:p>
    <w:p>
      <w:pPr>
        <w:spacing w:line="360" w:lineRule="auto" w:after="0" w:before="0"/>
        <w:ind w:firstLine="2268"/>
        <w:jc w:val="both"/>
      </w:pPr>
      <w:r>
        <w:rPr>
          <w:rFonts w:ascii="Arial" w:hAnsi="Arial" w:cs="Arial"/>
          <w:b w:val="0"/>
          <w:i w:val="0"/>
          <w:sz w:val="28"/>
          <w:szCs w:val="28"/>
        </w:rPr>
      </w:r>
    </w:p>
    <w:p>
      <w:pPr>
        <w:spacing w:line="360" w:lineRule="auto" w:after="0" w:before="0"/>
        <w:ind w:left="2268" w:firstLine="1134"/>
        <w:jc w:val="both"/>
      </w:pPr>
      <w:r>
        <w:rPr>
          <w:rFonts w:ascii="Arial" w:hAnsi="Arial" w:cs="Arial"/>
          <w:b w:val="0"/>
          <w:i/>
          <w:sz w:val="26"/>
          <w:szCs w:val="26"/>
        </w:rPr>
        <w:t xml:space="preserve">“(...) A r. sentença, cujos argumentos acolho, está bem fundamentada e rebate as alegações do apelo (ID 78303507):</w:t>
      </w:r>
    </w:p>
    <w:p>
      <w:pPr>
        <w:spacing w:line="360" w:lineRule="auto" w:after="0" w:before="0"/>
        <w:ind w:left="3402"/>
        <w:jc w:val="both"/>
      </w:pPr>
      <w:r>
        <w:rPr>
          <w:rFonts w:ascii="Arial" w:hAnsi="Arial" w:cs="Arial"/>
          <w:b w:val="0"/>
          <w:i/>
          <w:sz w:val="26"/>
          <w:szCs w:val="26"/>
        </w:rPr>
        <w:t xml:space="preserve">‘(...) Da análise das decisões proferidas nesta ação individual verifica-se que, de fato, tem ela o mesmo objeto e causa de pedir que a ação coletiva que fundamenta o presente cumprimento de sentença, o que aliás não foi contestado pelo autor.</w:t>
      </w:r>
    </w:p>
    <w:p>
      <w:pPr>
        <w:spacing w:line="360" w:lineRule="auto" w:after="0" w:before="0"/>
        <w:ind w:left="3402"/>
        <w:jc w:val="both"/>
      </w:pPr>
      <w:r>
        <w:rPr>
          <w:rFonts w:ascii="Arial" w:hAnsi="Arial" w:cs="Arial"/>
          <w:b w:val="0"/>
          <w:i/>
          <w:sz w:val="26"/>
          <w:szCs w:val="26"/>
        </w:rPr>
        <w:t xml:space="preserve">No caso da ação individual, todavia, o pedido foi indeferido, já havendo trânsito em julgado. Há, portanto, coisa julgada no que se refere ao autor deste cumprimento, conforme artigo 337, § 4º, do Código de Processo Civil. (...)’</w:t>
      </w:r>
    </w:p>
    <w:p>
      <w:pPr>
        <w:spacing w:line="360" w:lineRule="auto" w:after="0" w:before="0"/>
        <w:ind w:left="2268" w:firstLine="1134"/>
        <w:jc w:val="both"/>
      </w:pPr>
      <w:r>
        <w:rPr>
          <w:rFonts w:ascii="Arial" w:hAnsi="Arial" w:cs="Arial"/>
          <w:b w:val="0"/>
          <w:i/>
          <w:sz w:val="26"/>
          <w:szCs w:val="26"/>
        </w:rPr>
        <w:t xml:space="preserve">(...)”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No caso, o acórdão adotou os fundamentos da sentença, que reconheceu a identidade de objeto e de causa de pedir entre as ações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acórdão invocou, ainda, precedentes do STJ e do TJDFT sobre a relação entre a ação individual e a coletiva e sobre a coisa julgada individual anterior ao título coletivo (ID 87700402).</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No mais, não é exigível manifestação expressa sobre cada dispositivo legal ou constitucional invocado pelas partes quando o acórdão enfrenta a questão jurídica debatida com fundamento suficiente.</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Nesse sentido:</w:t>
      </w:r>
    </w:p>
    <w:p>
      <w:pPr>
        <w:spacing w:line="360" w:lineRule="auto" w:after="0" w:before="0"/>
        <w:ind w:firstLine="2268"/>
        <w:jc w:val="both"/>
      </w:pPr>
      <w:r>
        <w:rPr>
          <w:rFonts w:ascii="Arial" w:hAnsi="Arial" w:cs="Arial"/>
          <w:b w:val="0"/>
          <w:i w:val="0"/>
          <w:sz w:val="28"/>
          <w:szCs w:val="28"/>
        </w:rPr>
      </w:r>
    </w:p>
    <w:p>
      <w:pPr>
        <w:spacing w:line="360" w:lineRule="auto" w:after="0" w:before="0"/>
        <w:ind w:left="2268"/>
        <w:jc w:val="both"/>
      </w:pPr>
      <w:r>
        <w:rPr>
          <w:rFonts w:ascii="Arial" w:hAnsi="Arial" w:cs="Arial"/>
          <w:b w:val="0"/>
          <w:i/>
          <w:sz w:val="26"/>
          <w:szCs w:val="26"/>
        </w:rPr>
        <w:t xml:space="preserve">“(...) 6. </w:t>
      </w:r>
      <w:r>
        <w:rPr>
          <w:rFonts w:ascii="Arial" w:hAnsi="Arial" w:cs="Arial"/>
          <w:b w:val="0"/>
          <w:i/>
          <w:sz w:val="26"/>
          <w:szCs w:val="26"/>
          <w:u w:val="single"/>
        </w:rPr>
        <w:t xml:space="preserve">Não é exigível a manifestação expressa sobre cada dispositivo legal ou constitucional invocado pelas partes, sendo suficiente a fundamentação que enfrente a questão jurídica debatida.</w:t>
      </w:r>
      <w:r>
        <w:rPr>
          <w:rFonts w:ascii="Arial" w:hAnsi="Arial" w:cs="Arial"/>
          <w:b w:val="0"/>
          <w:i/>
          <w:sz w:val="26"/>
          <w:szCs w:val="26"/>
        </w:rPr>
        <w:t xml:space="preserve"> (...)” (Processo 0715037-11.2024.8.07.0003, Relator(a): AISTON HENRIQUE DE SOUSA, 4ª TURMA CÍVEL, data de julgamento: 18/03/2026.) – Grifei</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Dessa forma, conforme mencionado no v. acórdão embargado, a matéria relativa aos argumentos, precedentes e dispositivos invocados foi suficientemente abordada, não havendo omissão a ser sanada, mas apenas mero inconformismo meritório do embargante com a conclusão adotada pelo Colegiado.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Na verdade, ao alegar omissão, o embargante pretende o reexame do apelo, o que é vedado em sede de embargos de declaração.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u w:val="single"/>
        </w:rPr>
        <w:t xml:space="preserve">Nego provimento aos embargos de declaração, nesse ponto.</w:t>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val="0"/>
          <w:i w:val="0"/>
          <w:sz w:val="28"/>
          <w:szCs w:val="28"/>
          <w:highlight w:val="yellow"/>
        </w:rPr>
        <w:t xml:space="preserve">DO PREQUESTIONAMENTO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O embargante pede manifestação expressa quanto aos dispositivos constitucionais e legais indicados nos embargos, para fins de prequestionamento (ID 90149858).</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highlight w:val="yellow"/>
        </w:rPr>
        <w:t xml:space="preserve">Sem razão o embargante.</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Caso o acórdão tenha sido omisso, eivado de erro, contradição ou obscuridade, a arguição da matéria em embargos de declaração é suficiente para caracterizar o prequestionamento ficto.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Sobre o tema, dispõe o art. 1.025 do CPC:</w:t>
      </w:r>
    </w:p>
    <w:p>
      <w:pPr>
        <w:spacing w:line="360" w:lineRule="auto" w:after="0" w:before="0"/>
        <w:ind w:firstLine="2268"/>
        <w:jc w:val="both"/>
      </w:pPr>
      <w:r>
        <w:rPr>
          <w:rFonts w:ascii="Arial" w:hAnsi="Arial" w:cs="Arial"/>
          <w:b w:val="0"/>
          <w:i w:val="0"/>
          <w:sz w:val="28"/>
          <w:szCs w:val="28"/>
        </w:rPr>
      </w:r>
    </w:p>
    <w:p>
      <w:pPr>
        <w:spacing w:line="360" w:lineRule="auto" w:after="0" w:before="0"/>
        <w:ind w:left="2268"/>
        <w:jc w:val="both"/>
      </w:pPr>
      <w:r>
        <w:rPr>
          <w:rFonts w:ascii="Arial" w:hAnsi="Arial" w:cs="Arial"/>
          <w:b w:val="0"/>
          <w:i/>
          <w:sz w:val="26"/>
          <w:szCs w:val="26"/>
        </w:rPr>
        <w:t xml:space="preserve">“Art.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after="0" w:before="0"/>
        <w:ind w:firstLine="2268"/>
        <w:jc w:val="both"/>
      </w:pPr>
      <w:r>
        <w:rPr>
          <w:rFonts w:ascii="Arial" w:hAnsi="Arial" w:cs="Arial"/>
          <w:b w:val="0"/>
          <w:i w:val="0"/>
          <w:sz w:val="28"/>
          <w:szCs w:val="28"/>
        </w:rPr>
      </w:r>
    </w:p>
    <w:p>
      <w:pPr>
        <w:keepNext/>
        <w:spacing w:line="360" w:lineRule="auto" w:after="0" w:before="0"/>
        <w:jc w:val="center"/>
      </w:pPr>
      <w:r>
        <w:rPr>
          <w:rFonts w:ascii="Arial" w:hAnsi="Arial" w:cs="Arial"/>
          <w:b/>
          <w:i w:val="0"/>
          <w:sz w:val="28"/>
          <w:szCs w:val="28"/>
        </w:rPr>
        <w:t xml:space="preserve">DISPOSITIVO</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Ante o exposto, </w:t>
      </w:r>
      <w:r>
        <w:rPr>
          <w:rFonts w:ascii="Arial" w:hAnsi="Arial" w:cs="Arial"/>
          <w:b/>
          <w:i w:val="0"/>
          <w:sz w:val="28"/>
          <w:szCs w:val="28"/>
        </w:rPr>
        <w:t xml:space="preserve">nego provimento</w:t>
      </w:r>
      <w:r>
        <w:rPr>
          <w:rFonts w:ascii="Arial" w:hAnsi="Arial" w:cs="Arial"/>
          <w:b w:val="0"/>
          <w:i w:val="0"/>
          <w:sz w:val="28"/>
          <w:szCs w:val="28"/>
        </w:rPr>
        <w:t xml:space="preserve"> aos embargos de declaração opostos pelo exequente, Ricardo Afonso da Silva.</w:t>
      </w:r>
    </w:p>
    <w:p>
      <w:pPr>
        <w:spacing w:line="360" w:lineRule="auto" w:after="0" w:before="0"/>
        <w:ind w:firstLine="2268"/>
        <w:jc w:val="both"/>
      </w:pPr>
      <w:r>
        <w:rPr>
          <w:rFonts w:ascii="Arial" w:hAnsi="Arial" w:cs="Arial"/>
          <w:b w:val="0"/>
          <w:i w:val="0"/>
          <w:sz w:val="28"/>
          <w:szCs w:val="28"/>
        </w:rPr>
      </w:r>
    </w:p>
    <w:p>
      <w:pPr>
        <w:spacing w:line="360" w:lineRule="auto" w:after="0" w:before="0"/>
        <w:ind w:firstLine="2268"/>
        <w:jc w:val="both"/>
      </w:pPr>
      <w:r>
        <w:rPr>
          <w:rFonts w:ascii="Arial" w:hAnsi="Arial" w:cs="Arial"/>
          <w:b w:val="0"/>
          <w:i w:val="0"/>
          <w:sz w:val="28"/>
          <w:szCs w:val="28"/>
        </w:rPr>
        <w:t xml:space="preserve">É como voto.</w:t>
      </w:r>
    </w:p>
    <w:p>
      <w:pPr>
        <w:spacing w:line="360" w:lineRule="auto" w:after="0" w:before="0"/>
        <w:ind w:firstLine="2268"/>
        <w:jc w:val="both"/>
      </w:pPr>
      <w:r>
        <w:rPr>
          <w:rFonts w:ascii="Arial" w:hAnsi="Arial" w:cs="Arial"/>
          <w:b w:val="0"/>
          <w:i w:val="0"/>
          <w:sz w:val="28"/>
          <w:szCs w:val="28"/>
        </w:rPr>
      </w:r>
    </w:p>
    <w:p>
      <w:pPr>
        <w:pageBreakBefore/>
        <w:spacing w:line="360" w:lineRule="auto" w:after="0" w:before="0"/>
        <w:jc w:val="center"/>
      </w:pPr>
      <w:r>
        <w:rPr>
          <w:rFonts w:ascii="Arial" w:hAnsi="Arial" w:cs="Arial"/>
          <w:b/>
          <w:i w:val="0"/>
          <w:color w:val="00B050"/>
          <w:sz w:val="27"/>
          <w:szCs w:val="27"/>
        </w:rPr>
        <w:t xml:space="preserve">DECISÃO RECORRIDA</w:t>
      </w:r>
    </w:p>
    <w:p>
      <w:pPr>
        <w:spacing w:line="360" w:lineRule="auto" w:after="0" w:before="0"/>
        <w:jc w:val="both"/>
      </w:pPr>
      <w:r>
        <w:rPr>
          <w:rFonts w:ascii="Arial" w:hAnsi="Arial" w:cs="Arial"/>
          <w:b w:val="0"/>
          <w:i w:val="0"/>
          <w:color w:val="00B050"/>
          <w:sz w:val="27"/>
          <w:szCs w:val="27"/>
        </w:rPr>
        <w:t xml:space="preserve">Órgão 4ª Turma Cível</w:t>
      </w:r>
    </w:p>
    <w:p>
      <w:pPr>
        <w:spacing w:line="360" w:lineRule="auto" w:after="0" w:before="0"/>
        <w:jc w:val="both"/>
      </w:pPr>
      <w:r>
        <w:rPr>
          <w:rFonts w:ascii="Arial" w:hAnsi="Arial" w:cs="Arial"/>
          <w:b w:val="0"/>
          <w:i w:val="0"/>
          <w:color w:val="00B050"/>
          <w:sz w:val="27"/>
          <w:szCs w:val="27"/>
        </w:rPr>
        <w:t xml:space="preserve">Processo N.  APELAÇÃO CÍVEL 0707656-67.2025.8.07.0018</w:t>
      </w:r>
    </w:p>
    <w:p>
      <w:pPr>
        <w:spacing w:line="360" w:lineRule="auto" w:after="0" w:before="0"/>
        <w:jc w:val="both"/>
      </w:pPr>
      <w:r>
        <w:rPr>
          <w:rFonts w:ascii="Arial" w:hAnsi="Arial" w:cs="Arial"/>
          <w:b w:val="0"/>
          <w:i w:val="0"/>
          <w:color w:val="00B050"/>
          <w:sz w:val="27"/>
          <w:szCs w:val="27"/>
        </w:rPr>
        <w:t xml:space="preserve">APELANTE(S)  RICARDO AFONSO DA SILVA</w:t>
      </w:r>
    </w:p>
    <w:p>
      <w:pPr>
        <w:spacing w:line="360" w:lineRule="auto" w:after="0" w:before="0"/>
        <w:jc w:val="both"/>
      </w:pPr>
      <w:r>
        <w:rPr>
          <w:rFonts w:ascii="Arial" w:hAnsi="Arial" w:cs="Arial"/>
          <w:b w:val="0"/>
          <w:i w:val="0"/>
          <w:color w:val="00B050"/>
          <w:sz w:val="27"/>
          <w:szCs w:val="27"/>
        </w:rPr>
        <w:t xml:space="preserve">APELADO(S)  DISTRITO FEDERAL</w:t>
      </w:r>
    </w:p>
    <w:p>
      <w:pPr>
        <w:spacing w:line="360" w:lineRule="auto" w:after="0" w:before="0"/>
        <w:jc w:val="both"/>
      </w:pPr>
      <w:r>
        <w:rPr>
          <w:rFonts w:ascii="Arial" w:hAnsi="Arial" w:cs="Arial"/>
          <w:b w:val="0"/>
          <w:i w:val="0"/>
          <w:color w:val="00B050"/>
          <w:sz w:val="27"/>
          <w:szCs w:val="27"/>
        </w:rPr>
        <w:t xml:space="preserve">Relator Desembargador  SÉRGIO ROCHA</w:t>
      </w:r>
    </w:p>
    <w:p>
      <w:pPr>
        <w:spacing w:line="360" w:lineRule="auto" w:after="0" w:before="0"/>
        <w:jc w:val="both"/>
      </w:pPr>
      <w:r>
        <w:rPr>
          <w:rFonts w:ascii="Arial" w:hAnsi="Arial" w:cs="Arial"/>
          <w:b w:val="0"/>
          <w:i w:val="0"/>
          <w:color w:val="00B050"/>
          <w:sz w:val="27"/>
          <w:szCs w:val="27"/>
        </w:rPr>
        <w:t xml:space="preserve">Acórdão Nº  2172110</w:t>
      </w:r>
    </w:p>
    <w:p>
      <w:pPr>
        <w:spacing w:line="360" w:lineRule="auto" w:after="0" w:before="0"/>
        <w:jc w:val="both"/>
      </w:pPr>
      <w:r>
        <w:rPr>
          <w:rFonts w:ascii="Arial" w:hAnsi="Arial" w:cs="Arial"/>
          <w:b w:val="0"/>
          <w:i w:val="0"/>
          <w:color w:val="00B050"/>
          <w:sz w:val="27"/>
          <w:szCs w:val="27"/>
        </w:rPr>
        <w:t xml:space="preserve">EMENTA</w:t>
      </w:r>
    </w:p>
    <w:p>
      <w:pPr>
        <w:spacing w:line="360" w:lineRule="auto" w:after="0" w:before="0"/>
        <w:jc w:val="both"/>
      </w:pPr>
      <w:r>
        <w:rPr>
          <w:rFonts w:ascii="Arial" w:hAnsi="Arial" w:cs="Arial"/>
          <w:b w:val="0"/>
          <w:i w:val="0"/>
          <w:color w:val="00B050"/>
          <w:sz w:val="27"/>
          <w:szCs w:val="27"/>
        </w:rPr>
        <w:t xml:space="preserve">APELAÇÃO CÍVEL. DIREITO PROCESSUAL CIVIL E DIREITO ADMINISTRATIVO.</w:t>
      </w:r>
    </w:p>
    <w:p>
      <w:pPr>
        <w:spacing w:line="360" w:lineRule="auto" w:after="0" w:before="0"/>
        <w:jc w:val="both"/>
      </w:pPr>
      <w:r>
        <w:rPr>
          <w:rFonts w:ascii="Arial" w:hAnsi="Arial" w:cs="Arial"/>
          <w:b w:val="0"/>
          <w:i w:val="0"/>
          <w:color w:val="00B050"/>
          <w:sz w:val="27"/>
          <w:szCs w:val="27"/>
        </w:rPr>
        <w:t xml:space="preserve">CUMPRIMENTO INDIVIDUAL DE SENTENÇA COLETIVA. GIURB. AÇÃO INDIVIDUAL ANTERIOR JULGADA IMPROCEDENTE COM TRÂNSITO EM JULGADO. COISA JULGADA INDIVIDUAL. INAPROVEITAMENTO DE TÍTULO COLETIVO POSTERIOR. ART. 104 DO CDC. RECURSO NÃO PROVIDO.</w:t>
      </w:r>
    </w:p>
    <w:p>
      <w:pPr>
        <w:spacing w:line="360" w:lineRule="auto" w:after="0" w:before="0"/>
        <w:jc w:val="both"/>
      </w:pPr>
      <w:r>
        <w:rPr>
          <w:rFonts w:ascii="Arial" w:hAnsi="Arial" w:cs="Arial"/>
          <w:b w:val="0"/>
          <w:i w:val="0"/>
          <w:color w:val="00B050"/>
          <w:sz w:val="27"/>
          <w:szCs w:val="27"/>
        </w:rPr>
        <w:t xml:space="preserve">I. Caso em exame</w:t>
      </w:r>
    </w:p>
    <w:p>
      <w:pPr>
        <w:spacing w:line="360" w:lineRule="auto" w:after="0" w:before="0"/>
        <w:jc w:val="both"/>
      </w:pPr>
      <w:r>
        <w:rPr>
          <w:rFonts w:ascii="Arial" w:hAnsi="Arial" w:cs="Arial"/>
          <w:b w:val="0"/>
          <w:i w:val="0"/>
          <w:color w:val="00B050"/>
          <w:sz w:val="27"/>
          <w:szCs w:val="27"/>
        </w:rPr>
        <w:t xml:space="preserve">1. Cumprimento individual de sentença coletiva proposto por pessoa natural contra o Distrito Federal, fundado no título executivo formado na Ação Coletiva nº 0705877- 53.2020.8.07.0018, ajuizada pelo SINDAFIS, para cobrança de diferenças remuneratórias decorrentes da implementação da terceira parcela da Gratificação de Incentivo à Fiscalização de Atividades Urbanas (GIURB), previstas na Lei Distrital nº 5.226/2013.</w:t>
      </w:r>
    </w:p>
    <w:p>
      <w:pPr>
        <w:spacing w:line="360" w:lineRule="auto" w:after="0" w:before="0"/>
        <w:jc w:val="both"/>
      </w:pPr>
      <w:r>
        <w:rPr>
          <w:rFonts w:ascii="Arial" w:hAnsi="Arial" w:cs="Arial"/>
          <w:b w:val="0"/>
          <w:i w:val="0"/>
          <w:color w:val="00B050"/>
          <w:sz w:val="27"/>
          <w:szCs w:val="27"/>
        </w:rPr>
        <w:t xml:space="preserve">2. A sentença acolheu a impugnação ao cumprimento de sentença e extinguiu o processo sem resolução do mérito, nos termos do art. 486, V, do CPC, ao reconhecer a existência de coisa julgada oriunda de ação individual anteriormente ajuizada pelo exequente e julgada improcedente com trânsito em julgado.</w:t>
      </w:r>
    </w:p>
    <w:p>
      <w:pPr>
        <w:spacing w:line="360" w:lineRule="auto" w:after="0" w:before="0"/>
        <w:jc w:val="both"/>
      </w:pPr>
      <w:r>
        <w:rPr>
          <w:rFonts w:ascii="Arial" w:hAnsi="Arial" w:cs="Arial"/>
          <w:b w:val="0"/>
          <w:i w:val="0"/>
          <w:color w:val="00B050"/>
          <w:sz w:val="27"/>
          <w:szCs w:val="27"/>
        </w:rPr>
        <w:t xml:space="preserve">3. O exequente apelou sustentando inexistência de coisa julgada, autonomia do título coletivo, incidência do sistema opt out previsto no art. 104 do CDC, ausência de identidade entre as demandas e possibilidade de executar, ao menos, as parcelas posteriores ao trânsito em julgado da ação individual.</w:t>
      </w:r>
    </w:p>
    <w:p>
      <w:pPr>
        <w:spacing w:line="360" w:lineRule="auto" w:after="0" w:before="0"/>
        <w:jc w:val="both"/>
      </w:pPr>
      <w:r>
        <w:rPr>
          <w:rFonts w:ascii="Arial" w:hAnsi="Arial" w:cs="Arial"/>
          <w:b w:val="0"/>
          <w:i w:val="0"/>
          <w:color w:val="00B050"/>
          <w:sz w:val="27"/>
          <w:szCs w:val="27"/>
        </w:rPr>
        <w:t xml:space="preserve">II. Questão em discussão</w:t>
      </w:r>
    </w:p>
    <w:p>
      <w:pPr>
        <w:spacing w:line="360" w:lineRule="auto" w:after="0" w:before="0"/>
        <w:jc w:val="both"/>
      </w:pPr>
      <w:r>
        <w:rPr>
          <w:rFonts w:ascii="Arial" w:hAnsi="Arial" w:cs="Arial"/>
          <w:b w:val="0"/>
          <w:i w:val="0"/>
          <w:color w:val="00B050"/>
          <w:sz w:val="27"/>
          <w:szCs w:val="27"/>
        </w:rPr>
        <w:t xml:space="preserve">4. Há duas questões em discussão: (i) saber se a sentença coletiva favorável à categoria autoriza o cumprimento individual por servidor que anteriormente ajuizou ação individual idêntica julgada improcedente com trânsito em julgado; e (ii) saber se eventual coisa julgada individual alcança também as parcelas posteriores ao respectivo trânsito em julgado.</w:t>
      </w:r>
    </w:p>
    <w:p>
      <w:pPr>
        <w:spacing w:line="360" w:lineRule="auto" w:after="0" w:before="0"/>
        <w:jc w:val="both"/>
      </w:pPr>
      <w:r>
        <w:rPr>
          <w:rFonts w:ascii="Arial" w:hAnsi="Arial" w:cs="Arial"/>
          <w:b w:val="0"/>
          <w:i w:val="0"/>
          <w:color w:val="00B050"/>
          <w:sz w:val="27"/>
          <w:szCs w:val="27"/>
        </w:rPr>
        <w:t xml:space="preserve">III. Razões de decidir</w:t>
      </w:r>
    </w:p>
    <w:p>
      <w:pPr>
        <w:spacing w:line="360" w:lineRule="auto" w:after="0" w:before="0"/>
        <w:jc w:val="both"/>
      </w:pPr>
      <w:r>
        <w:rPr>
          <w:rFonts w:ascii="Arial" w:hAnsi="Arial" w:cs="Arial"/>
          <w:b w:val="0"/>
          <w:i w:val="0"/>
          <w:color w:val="00B050"/>
          <w:sz w:val="27"/>
          <w:szCs w:val="27"/>
        </w:rPr>
        <w:t xml:space="preserve">5. A ação individual anteriormente proposta pelo exequente tinha o mesmo pedido e a mesma causa de pedir da ação coletiva utilizada como título executivo, pois ambas buscavam a implementação da terceira parcela da GIURB e o pagamento das diferenças remuneratórias decorrentes da Lei Distrital nº 5.226/2013.</w:t>
      </w:r>
    </w:p>
    <w:p>
      <w:pPr>
        <w:spacing w:line="360" w:lineRule="auto" w:after="0" w:before="0"/>
        <w:jc w:val="both"/>
      </w:pPr>
      <w:r>
        <w:rPr>
          <w:rFonts w:ascii="Arial" w:hAnsi="Arial" w:cs="Arial"/>
          <w:b w:val="0"/>
          <w:i w:val="0"/>
          <w:color w:val="00B050"/>
          <w:sz w:val="27"/>
          <w:szCs w:val="27"/>
        </w:rPr>
        <w:t xml:space="preserve">6. A improcedência da ação individual, com resolução de mérito e trânsito em julgado em 27/07/2020, formou coisa julgada material. O fato de o julgamento ter adotado como fundamento o Tema 864 do STF não afasta a autoridade da decisão nem autoriza rediscussão da mesma pretensão em cumprimento individual de sentença coletiva posterior.</w:t>
      </w:r>
    </w:p>
    <w:p>
      <w:pPr>
        <w:spacing w:line="360" w:lineRule="auto" w:after="0" w:before="0"/>
        <w:jc w:val="both"/>
      </w:pPr>
      <w:r>
        <w:rPr>
          <w:rFonts w:ascii="Arial" w:hAnsi="Arial" w:cs="Arial"/>
          <w:b w:val="0"/>
          <w:i w:val="0"/>
          <w:color w:val="00B050"/>
          <w:sz w:val="27"/>
          <w:szCs w:val="27"/>
        </w:rPr>
        <w:t xml:space="preserve">7. A inexistência de litispendência entre ação individual e coletiva não impede o reconhecimento da coisa julgada. A eficácia erga omnes da sentença coletiva não alcança relação jurídica já acobertada por coisa julgada individual anterior. O art. 104 do CDC pressupõe coexistência entre ação individual pendente e ação coletiva, permitindo ao autor requerer a suspensão da demanda individual para aproveitar eventual resultado coletivo favorável. Inviável aplicar essa regra quando a ação individual já transitara em julgado antes mesmo do ajuizamento da demanda coletiva.</w:t>
      </w:r>
    </w:p>
    <w:p>
      <w:pPr>
        <w:spacing w:line="360" w:lineRule="auto" w:after="0" w:before="0"/>
        <w:jc w:val="both"/>
      </w:pPr>
      <w:r>
        <w:rPr>
          <w:rFonts w:ascii="Arial" w:hAnsi="Arial" w:cs="Arial"/>
          <w:b w:val="0"/>
          <w:i w:val="0"/>
          <w:color w:val="00B050"/>
          <w:sz w:val="27"/>
          <w:szCs w:val="27"/>
        </w:rPr>
        <w:t xml:space="preserve">Também não cabe restringir os efeitos da coisa julgada ao período anterior ao trânsito em julgado, porque a ação individual abrangeu parcelas vencidas e vincendas até a efetiva implementação do reajuste.</w:t>
      </w:r>
    </w:p>
    <w:p>
      <w:pPr>
        <w:spacing w:line="360" w:lineRule="auto" w:after="0" w:before="0"/>
        <w:jc w:val="both"/>
      </w:pPr>
      <w:r>
        <w:rPr>
          <w:rFonts w:ascii="Arial" w:hAnsi="Arial" w:cs="Arial"/>
          <w:b w:val="0"/>
          <w:i w:val="0"/>
          <w:color w:val="00B050"/>
          <w:sz w:val="27"/>
          <w:szCs w:val="27"/>
        </w:rPr>
        <w:t xml:space="preserve">IV. Dispositivo</w:t>
      </w:r>
    </w:p>
    <w:p>
      <w:pPr>
        <w:spacing w:line="360" w:lineRule="auto" w:after="0" w:before="0"/>
        <w:jc w:val="both"/>
      </w:pPr>
      <w:r>
        <w:rPr>
          <w:rFonts w:ascii="Arial" w:hAnsi="Arial" w:cs="Arial"/>
          <w:b w:val="0"/>
          <w:i w:val="0"/>
          <w:color w:val="00B050"/>
          <w:sz w:val="27"/>
          <w:szCs w:val="27"/>
        </w:rPr>
        <w:t xml:space="preserve">8. Negou-se provimento ao apelo do exequente. </w:t>
      </w:r>
    </w:p>
    <w:p>
      <w:pPr>
        <w:spacing w:line="360" w:lineRule="auto" w:after="0" w:before="0"/>
        <w:jc w:val="both"/>
      </w:pPr>
      <w:r>
        <w:rPr>
          <w:rFonts w:ascii="Arial" w:hAnsi="Arial" w:cs="Arial"/>
          <w:b w:val="0"/>
          <w:i w:val="0"/>
          <w:color w:val="00B050"/>
          <w:sz w:val="27"/>
          <w:szCs w:val="27"/>
        </w:rPr>
        <w:t xml:space="preserve">Dispositivos relevantes citados : CPC, arts. 337, § 4º, 486, V, e 85, §§ 1º e 11; CDC, art. 104; Lei Distrital nº 5.226/2013.</w:t>
      </w:r>
    </w:p>
    <w:p>
      <w:pPr>
        <w:spacing w:line="360" w:lineRule="auto" w:after="0" w:before="0"/>
        <w:jc w:val="both"/>
      </w:pPr>
      <w:r>
        <w:rPr>
          <w:rFonts w:ascii="Arial" w:hAnsi="Arial" w:cs="Arial"/>
          <w:b w:val="0"/>
          <w:i w:val="0"/>
          <w:color w:val="00B050"/>
          <w:sz w:val="27"/>
          <w:szCs w:val="27"/>
        </w:rPr>
        <w:t xml:space="preserve">Jurisprudência relevante citada: STJ, AgInt no REsp nº 2.118.977/PE, Rel. Min. Herman Benjamin, Segunda Turma, j. 27/05/2024, DJe 04/06/2024; STJ, AgInt no REsp nº 1.926.280/RN, Rel. Min. Gurgel de Faria, Primeira Turma, j. 13/02/2023, DJe 16/02/2023; TJDFT, Acórdão nº 2113868, APC nº 0707651-45.2025.8.07.0018, Rel. Des. Carmen Bittencourt, 8ª Turma Cível, j. 14/04/2026, DJe 04/05/2026; TJDFT, Acórdão nº 1766375, AI nº 0722596-62.2023.8.07.0000, Rel. Des. Aiston Henrique de Sousa, 4ª Turma Cível, j. 28/09/2023, DJe 16/10/2023.</w:t>
      </w:r>
    </w:p>
    <w:p>
      <w:pPr>
        <w:spacing w:line="360" w:lineRule="auto" w:after="0" w:before="0"/>
        <w:jc w:val="both"/>
      </w:pPr>
      <w:r>
        <w:rPr>
          <w:rFonts w:ascii="Arial" w:hAnsi="Arial" w:cs="Arial"/>
          <w:b w:val="0"/>
          <w:i w:val="0"/>
          <w:color w:val="00B050"/>
          <w:sz w:val="27"/>
          <w:szCs w:val="27"/>
        </w:rPr>
        <w:t xml:space="preserve">ACÓRDÃO 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NEGAR PROVIMENTO AO RECURSO. UNÂNIME, de acordo com a ata do julgamento e notas taquigráficas.</w:t>
      </w:r>
    </w:p>
    <w:p>
      <w:pPr>
        <w:spacing w:line="360" w:lineRule="auto" w:after="0" w:before="0"/>
        <w:jc w:val="both"/>
      </w:pPr>
      <w:r>
        <w:rPr>
          <w:rFonts w:ascii="Arial" w:hAnsi="Arial" w:cs="Arial"/>
          <w:b w:val="0"/>
          <w:i w:val="0"/>
          <w:color w:val="00B050"/>
          <w:sz w:val="27"/>
          <w:szCs w:val="27"/>
        </w:rPr>
        <w:t xml:space="preserve">Brasília (DF), 11 de Setembro de 2026 Desembargador SÉRGIO ROCHA Relator</w:t>
      </w:r>
    </w:p>
    <w:p>
      <w:pPr>
        <w:spacing w:line="360" w:lineRule="auto" w:after="0" w:before="0"/>
        <w:jc w:val="both"/>
      </w:pPr>
      <w:r>
        <w:rPr>
          <w:rFonts w:ascii="Arial" w:hAnsi="Arial" w:cs="Arial"/>
          <w:b w:val="0"/>
          <w:i w:val="0"/>
          <w:color w:val="00B050"/>
          <w:sz w:val="27"/>
          <w:szCs w:val="27"/>
        </w:rPr>
        <w:t xml:space="preserve">RELATÓRIO</w:t>
      </w:r>
    </w:p>
    <w:p>
      <w:pPr>
        <w:spacing w:line="360" w:lineRule="auto" w:after="0" w:before="0"/>
        <w:jc w:val="both"/>
      </w:pPr>
      <w:r>
        <w:rPr>
          <w:rFonts w:ascii="Arial" w:hAnsi="Arial" w:cs="Arial"/>
          <w:b w:val="0"/>
          <w:i w:val="0"/>
          <w:color w:val="00B050"/>
          <w:sz w:val="27"/>
          <w:szCs w:val="27"/>
        </w:rPr>
        <w:t xml:space="preserve">Adoto o relatório da r. sentença:</w:t>
      </w:r>
    </w:p>
    <w:p>
      <w:pPr>
        <w:spacing w:line="360" w:lineRule="auto" w:after="0" w:before="0"/>
        <w:jc w:val="both"/>
      </w:pPr>
      <w:r>
        <w:rPr>
          <w:rFonts w:ascii="Arial" w:hAnsi="Arial" w:cs="Arial"/>
          <w:b w:val="0"/>
          <w:i w:val="0"/>
          <w:color w:val="00B050"/>
          <w:sz w:val="27"/>
          <w:szCs w:val="27"/>
        </w:rPr>
        <w:t xml:space="preserve">“(...)Cuida-se de impugnação ao Cumprimento de Sentença, na qual a parte credora objetiva o recebimento de valores relativos a reajuste de vencimentos básicos, com base no título executivo oriundo da ação coletiva nº 0705877-53.2020.8.07.0018, na qual o réu foi condenado a implementar o reajuste do vencimento básico dos substituídos do Sindicato autor e a pagar eventuais diferenças devidas a contar de dezembro de 2015.</w:t>
      </w:r>
    </w:p>
    <w:p>
      <w:pPr>
        <w:spacing w:line="360" w:lineRule="auto" w:after="0" w:before="0"/>
        <w:jc w:val="both"/>
      </w:pPr>
      <w:r>
        <w:rPr>
          <w:rFonts w:ascii="Arial" w:hAnsi="Arial" w:cs="Arial"/>
          <w:b w:val="0"/>
          <w:i w:val="0"/>
          <w:color w:val="00B050"/>
          <w:sz w:val="27"/>
          <w:szCs w:val="27"/>
        </w:rPr>
        <w:t xml:space="preserve">O Distrito Federal apresentou impugnação ao pedido (ID 246198385), alegando em resumo a existência de coisa julgada, a inexigibilidade da obrigação e o excesso de execução.</w:t>
      </w:r>
    </w:p>
    <w:p>
      <w:pPr>
        <w:spacing w:line="360" w:lineRule="auto" w:after="0" w:before="0"/>
        <w:jc w:val="both"/>
      </w:pPr>
      <w:r>
        <w:rPr>
          <w:rFonts w:ascii="Arial" w:hAnsi="Arial" w:cs="Arial"/>
          <w:b w:val="0"/>
          <w:i w:val="0"/>
          <w:color w:val="00B050"/>
          <w:sz w:val="27"/>
          <w:szCs w:val="27"/>
        </w:rPr>
        <w:t xml:space="preserve">A autora, em sede de impugnação, refutou as teses lançadas pelo Distrito Federal. (...)” (ID 78303507)</w:t>
      </w:r>
    </w:p>
    <w:p>
      <w:pPr>
        <w:spacing w:line="360" w:lineRule="auto" w:after="0" w:before="0"/>
        <w:jc w:val="both"/>
      </w:pPr>
      <w:r>
        <w:rPr>
          <w:rFonts w:ascii="Arial" w:hAnsi="Arial" w:cs="Arial"/>
          <w:b w:val="0"/>
          <w:i w:val="0"/>
          <w:color w:val="00B050"/>
          <w:sz w:val="27"/>
          <w:szCs w:val="27"/>
        </w:rPr>
        <w:t xml:space="preserve">O MM. Juiz sentenciante, Dr. Gustavo Fernandes Sales, da 3ª Vara da Fazenda Pública do DF, julgou no seguinte sentido:</w:t>
      </w:r>
    </w:p>
    <w:p>
      <w:pPr>
        <w:spacing w:line="360" w:lineRule="auto" w:after="0" w:before="0"/>
        <w:jc w:val="both"/>
      </w:pPr>
      <w:r>
        <w:rPr>
          <w:rFonts w:ascii="Arial" w:hAnsi="Arial" w:cs="Arial"/>
          <w:b w:val="0"/>
          <w:i w:val="0"/>
          <w:color w:val="00B050"/>
          <w:sz w:val="27"/>
          <w:szCs w:val="27"/>
        </w:rPr>
        <w:t xml:space="preserve">“(...)Em face das considerações alinhadas, ACOLHO A IMPUGNAÇÃO AO CUMPRIMENTO DE SENTENÇA e EXTINGO O PROCESSO SEM RESOLUÇÃO DE MÉRITO, nos termos do artigo 486, V, do Código de Processo Civil.</w:t>
      </w:r>
    </w:p>
    <w:p>
      <w:pPr>
        <w:spacing w:line="360" w:lineRule="auto" w:after="0" w:before="0"/>
        <w:jc w:val="both"/>
      </w:pPr>
      <w:r>
        <w:rPr>
          <w:rFonts w:ascii="Arial" w:hAnsi="Arial" w:cs="Arial"/>
          <w:b w:val="0"/>
          <w:i w:val="0"/>
          <w:color w:val="00B050"/>
          <w:sz w:val="27"/>
          <w:szCs w:val="27"/>
        </w:rPr>
        <w:t xml:space="preserve">Condeno os autores ao pagamento das custas e honorários advocatícios que arbitro em 10% do valor da causa. (...)” (ID 78303507)</w:t>
      </w:r>
    </w:p>
    <w:p>
      <w:pPr>
        <w:spacing w:line="360" w:lineRule="auto" w:after="0" w:before="0"/>
        <w:jc w:val="both"/>
      </w:pPr>
      <w:r>
        <w:rPr>
          <w:rFonts w:ascii="Arial" w:hAnsi="Arial" w:cs="Arial"/>
          <w:b w:val="0"/>
          <w:i w:val="0"/>
          <w:color w:val="00B050"/>
          <w:sz w:val="27"/>
          <w:szCs w:val="27"/>
        </w:rPr>
        <w:t xml:space="preserve">O exequente/apelante, Ricardo Afonso da Silva, alega, em síntese, que: 1) a sentença deve ser reformada porque reconheceu indevidamente a existência de coisa julgada para extinguir o cumprimento individual de sentença fundado no título executivo coletivo formado na Ação Coletiva nº 0705877- 53.2020.8.07.0018, proposta pelo SINDAFIS, que transitou em julgado e reconheceu o direito dos servidores ao recebimento da terceira parcela da GIURB e das diferenças salariais dela decorrentes; 2) a ação individual anteriormente ajuizada não foi julgada improcedente por inexistência do direito material, mas exclusivamente em razão da aplicação do Tema 864 do STF, que exigia previsão orçamentária para implementação do reajuste, de modo que o mérito do direito à parcela remuneratória não teria sido efetivamente afastado, entendimento posteriormente superado no julgamento da ação coletiva, que reconheceu a legalidade e exigibilidade da vantagem; 3) não estão presentes os requisitos da coisa julgada previstos no art. 337, §2º, do CPC, pois inexiste identidade entre as demandas sob a ótica da teoria da tríplice identidade, uma vez que a ação individual possuía natureza de ação de cobrança voltada ao recebimento de diferenças remuneratórias, enquanto a ação coletiva buscou o cumprimento integral da Lei Distrital nº 5.226/2013 mediante obrigação de fazer, além de ter sido ajuizada por ente sindical na condição de substituto processual da categoria; 4) a sentença recorrida violou os arts. 502 e 503 do CPC ao desconsiderar a autonomia e a eficácia própria do título executivo coletivo, cuja coisa julgada produz efeitos erga omnes em favor dos substituídos, inclusive filiados e não filiados ao sindicato; 5) a jurisprudência do TJDFT, do STJ e o regime do art. 104 do CDC adotam o sistema opt out, de forma que os efeitos benéficos da ação coletiva somente deixam de alcançar o titular da ação individual quando demonstrada sua ciência inequívoca da existência da demanda coletiva e sua opção por permanecer fora dela, circunstância inexistente no caso concreto, sobretudo porque a ação coletiva foi proposta anos após o ajuizamento da ação individual; 6) a ausência de comunicação acerca da ação coletiva impede a exclusão dos efeitos da coisa julgada coletiva, cabendo ao réu o ônus de comprovar a ciência do autor sobre a demanda coletiva, conforme precedentes invocados do TJDFT; 7) diversos julgados recentes das Varas de Fazenda Pública do Distrito Federal, em execuções individuais fundadas no mesmo título coletivo da GIURB, afastaram alegações idênticas de coisa julgada e reconheceram a possibilidade de execução do julgado coletivo por servidores que haviam ajuizado ações individuais anteriores, razão pela qual a manutenção da sentença recorrida afronta os princípios da isonomia, da segurança jurídica, da confiança legítima e da coerência jurisprudencial previstos no art. 926 do CPC; 8) o próprio acórdão coletivo reconheceu que a hipótese não se enquadra no Tema 864 do STF, por se tratar do cumprimento de reajuste já previsto em lei específica cuja terceira parcela deixou de ser implementada por mera decisão administrativa, sendo devidas as diferenças salariais desde 1º/12/2015 até a efetiva incorporação da verba; 9) subsidiariamente, caso reconhecida alguma eficácia da coisa julgada oriunda da ação individual, seus efeitos não poderiam alcançar período posterior ao respectivo trânsito em julgado, devendo ser admitida ao menos a execução das parcelas compreendidas entre 28/07/2020 e março de 2022, correspondentes a lapso temporal não apreciado na demanda individual.</w:t>
      </w:r>
    </w:p>
    <w:p>
      <w:pPr>
        <w:spacing w:line="360" w:lineRule="auto" w:after="0" w:before="0"/>
        <w:jc w:val="both"/>
      </w:pPr>
      <w:r>
        <w:rPr>
          <w:rFonts w:ascii="Arial" w:hAnsi="Arial" w:cs="Arial"/>
          <w:b w:val="0"/>
          <w:i w:val="0"/>
          <w:color w:val="00B050"/>
          <w:sz w:val="27"/>
          <w:szCs w:val="27"/>
        </w:rPr>
        <w:t xml:space="preserve">Requer a reforma integral da sentença para afastar o reconhecimento da coisa julgada e determinar o regular prosseguimento do cumprimento de sentença coletivo, com inversão dos ônus sucumbenciais ou, subsidiariamente, o prosseguimento da execução quanto ao período posterior ao trânsito em julgado da ação individual (ID 78303710).</w:t>
      </w:r>
    </w:p>
    <w:p>
      <w:pPr>
        <w:spacing w:line="360" w:lineRule="auto" w:after="0" w:before="0"/>
        <w:jc w:val="both"/>
      </w:pPr>
      <w:r>
        <w:rPr>
          <w:rFonts w:ascii="Arial" w:hAnsi="Arial" w:cs="Arial"/>
          <w:b w:val="0"/>
          <w:i w:val="0"/>
          <w:color w:val="00B050"/>
          <w:sz w:val="27"/>
          <w:szCs w:val="27"/>
        </w:rPr>
        <w:t xml:space="preserve">Em contrarrazões, o Distrito Federal sustenta que: 1) o cumprimento individual de sentença coletiva encontra óbice na coisa julgada, pois o exequente já ajuizou ação individual com os mesmos pedidos e causa de pedir, julgada improcedente com trânsito em julgado; 2) a jurisprudência do STJ impede o aproveitamento do título coletivo por quem litigou individualmente sem requerer a suspensão da ação nos termos do art. 104 do CDC; 3) a sentença recorrida acertadamente acolheu a impugnação e extinguiu o feito diante da identidade entre as demandas e da impossibilidade de rediscussão da matéria já decidida. Requer o desprovimento da apelação, com a manutenção integral da sentença e a condenação em honorários recursais (ID 78303713).</w:t>
      </w:r>
    </w:p>
    <w:p>
      <w:pPr>
        <w:spacing w:line="360" w:lineRule="auto" w:after="0" w:before="0"/>
        <w:jc w:val="both"/>
      </w:pPr>
      <w:r>
        <w:rPr>
          <w:rFonts w:ascii="Arial" w:hAnsi="Arial" w:cs="Arial"/>
          <w:b w:val="0"/>
          <w:i w:val="0"/>
          <w:color w:val="00B050"/>
          <w:sz w:val="27"/>
          <w:szCs w:val="27"/>
        </w:rPr>
        <w:t xml:space="preserve">É o relatório.</w:t>
      </w:r>
    </w:p>
    <w:p>
      <w:pPr>
        <w:spacing w:line="360" w:lineRule="auto" w:after="0" w:before="0"/>
        <w:jc w:val="both"/>
      </w:pPr>
      <w:r>
        <w:rPr>
          <w:rFonts w:ascii="Arial" w:hAnsi="Arial" w:cs="Arial"/>
          <w:b w:val="0"/>
          <w:i w:val="0"/>
          <w:color w:val="00B050"/>
          <w:sz w:val="27"/>
          <w:szCs w:val="27"/>
        </w:rPr>
        <w:t xml:space="preserve">VOTOS O Senhor Desembargador SÉRGIO ROCHA - Relator</w:t>
      </w:r>
    </w:p>
    <w:p>
      <w:pPr>
        <w:spacing w:line="360" w:lineRule="auto" w:after="0" w:before="0"/>
        <w:jc w:val="both"/>
      </w:pPr>
      <w:r>
        <w:rPr>
          <w:rFonts w:ascii="Arial" w:hAnsi="Arial" w:cs="Arial"/>
          <w:b w:val="0"/>
          <w:i w:val="0"/>
          <w:color w:val="00B050"/>
          <w:sz w:val="27"/>
          <w:szCs w:val="27"/>
        </w:rPr>
        <w:t xml:space="preserve">Ação ajuizada  em 13/06/2025. Sentença proferida em 11/09/2025.</w:t>
      </w:r>
    </w:p>
    <w:p>
      <w:pPr>
        <w:spacing w:line="360" w:lineRule="auto" w:after="0" w:before="0"/>
        <w:jc w:val="both"/>
      </w:pPr>
      <w:r>
        <w:rPr>
          <w:rFonts w:ascii="Arial" w:hAnsi="Arial" w:cs="Arial"/>
          <w:b w:val="0"/>
          <w:i w:val="0"/>
          <w:color w:val="00B050"/>
          <w:sz w:val="27"/>
          <w:szCs w:val="27"/>
        </w:rPr>
        <w:t xml:space="preserve">Recurso interposto em 07/10/2025. Valor da causa R$ 160.832,79.</w:t>
      </w:r>
    </w:p>
    <w:p>
      <w:pPr>
        <w:spacing w:line="360" w:lineRule="auto" w:after="0" w:before="0"/>
        <w:jc w:val="both"/>
      </w:pPr>
      <w:r>
        <w:rPr>
          <w:rFonts w:ascii="Arial" w:hAnsi="Arial" w:cs="Arial"/>
          <w:b w:val="0"/>
          <w:i w:val="0"/>
          <w:color w:val="00B050"/>
          <w:sz w:val="27"/>
          <w:szCs w:val="27"/>
        </w:rPr>
        <w:t xml:space="preserve">DO APELO DO EXEQUENTE, RICARDO AFONSO DA SILVA Presentes os pressupostos de admissibilidade, conheço do apelo interposto.</w:t>
      </w:r>
    </w:p>
    <w:p>
      <w:pPr>
        <w:spacing w:line="360" w:lineRule="auto" w:after="0" w:before="0"/>
        <w:jc w:val="both"/>
      </w:pPr>
      <w:r>
        <w:rPr>
          <w:rFonts w:ascii="Arial" w:hAnsi="Arial" w:cs="Arial"/>
          <w:b w:val="0"/>
          <w:i w:val="0"/>
          <w:color w:val="00B050"/>
          <w:sz w:val="27"/>
          <w:szCs w:val="27"/>
        </w:rPr>
        <w:t xml:space="preserve">DA PREVALÊNCIA DA COISA JULGADA INDIVIDUAL E DA IMPOSSIBILIDADE DE EXECUÇÃO DO TÍTULO COLETIVO O exequente/apelante, Ricardo Afonso da Silva, alega, em síntese, que: 1) a sentença deve ser reformada porque reconheceu indevidamente a existência de coisa julgada para extinguir o cumprimento individual de sentença fundado no título executivo coletivo formado na Ação Coletiva nº 0705877- 53.2020.8.07.0018, proposta pelo SINDAFIS, que transitou em julgado e reconheceu o direito dos servidores ao recebimento da terceira parcela da GIURB e das diferenças salariais dela decorrentes; 2) a ação individual anteriormente ajuizada não foi julgada improcedente por inexistência do direito material, mas exclusivamente em razão da aplicação do Tema 864 do STF, que exigia previsão orçamentária para implementação do reajuste, de modo que o mérito do direito à parcela remuneratória não teria sido efetivamente afastado, entendimento posteriormente superado no julgamento da ação coletiva, que reconheceu a legalidade e exigibilidade da vantagem; 3) não estão presentes os requisitos da coisa julgada previstos no art. 337, §2º, do CPC, pois inexiste identidade entre as demandas sob a ótica da teoria da tríplice identidade, uma vez que a ação individual possuía natureza de ação de cobrança voltada ao recebimento de diferenças remuneratórias, enquanto a ação coletiva buscou o cumprimento integral da Lei Distrital nº 5.226/2013 mediante obrigação de fazer, além de ter sido ajuizada por ente sindical na condição de substituto processual da categoria; 4) a sentença recorrida violou os arts. 502 e 503 do CPC ao desconsiderar a autonomia e a eficácia própria do título executivo coletivo, cuja coisa julgada produz efeitos erga omnes em favor dos substituídos, inclusive filiados e não filiados ao sindicato; 5) a jurisprudência do TJDFT, do STJ e o regime do art. 104 do CDC adotam o sistema opt out, de forma que os efeitos benéficos da ação coletiva somente deixam de alcançar o titular da ação individual quando demonstrada sua ciência inequívoca da existência da demanda coletiva e sua opção por permanecer fora dela, circunstância inexistente no caso concreto, sobretudo porque a ação coletiva foi proposta anos após o ajuizamento da ação individual; 6) a ausência de comunicação acerca da ação coletiva impede a exclusão dos efeitos da coisa julgada coletiva, cabendo ao réu o ônus de comprovar a ciência do autor sobre a demanda coletiva, conforme precedentes invocados do TJDFT; 7) diversos julgados recentes das Varas de Fazenda Pública do Distrito Federal, em execuções individuais fundadas no mesmo título coletivo da GIURB, afastaram alegações idênticas de coisa julgada e reconheceram a possibilidade de execução do julgado coletivo por servidores que haviam ajuizado ações individuais anteriores, razão pela qual a manutenção da sentença recorrida afronta os princípios da isonomia, da segurança jurídica, da confiança legítima e da coerência jurisprudencial previstos no art. 926 do CPC; 8) o próprio acórdão coletivo reconheceu que a hipótese não se enquadra no Tema 864 do STF, por se tratar do cumprimento de reajuste já previsto em lei específica cuja terceira parcela deixou de ser implementada por mera decisão administrativa, sendo devidas as diferenças salariais desde 1º/12/2015 até a efetiva incorporação da verba; 9) subsidiariamente, caso reconhecida alguma eficácia da coisa julgada oriunda da ação individual, seus efeitos não poderiam alcançar período posterior ao respectivo trânsito em julgado, devendo ser admitida ao menos a execução das parcelas compreendidas entre 28/07/2020 e março de 2022, correspondentes a lapso temporal não apreciado na demanda individual.</w:t>
      </w:r>
    </w:p>
    <w:p>
      <w:pPr>
        <w:spacing w:line="360" w:lineRule="auto" w:after="0" w:before="0"/>
        <w:jc w:val="both"/>
      </w:pPr>
      <w:r>
        <w:rPr>
          <w:rFonts w:ascii="Arial" w:hAnsi="Arial" w:cs="Arial"/>
          <w:b w:val="0"/>
          <w:i w:val="0"/>
          <w:color w:val="00B050"/>
          <w:sz w:val="27"/>
          <w:szCs w:val="27"/>
        </w:rPr>
        <w:t xml:space="preserve">Requer a reforma integral da sentença para afastar o reconhecimento da coisa julgada e determinar o regular prosseguimento do cumprimento de sentença coletivo, com inversão dos ônus sucumbenciais ou, subsidiariamente, o prosseguimento da execução quanto ao período posterior ao trânsito em julgado da ação individual (ID 78303710).</w:t>
      </w:r>
    </w:p>
    <w:p>
      <w:pPr>
        <w:spacing w:line="360" w:lineRule="auto" w:after="0" w:before="0"/>
        <w:jc w:val="both"/>
      </w:pPr>
      <w:r>
        <w:rPr>
          <w:rFonts w:ascii="Arial" w:hAnsi="Arial" w:cs="Arial"/>
          <w:b w:val="0"/>
          <w:i w:val="0"/>
          <w:color w:val="00B050"/>
          <w:sz w:val="27"/>
          <w:szCs w:val="27"/>
        </w:rPr>
        <w:t xml:space="preserve">Sem razão.</w:t>
      </w:r>
    </w:p>
    <w:p>
      <w:pPr>
        <w:spacing w:line="360" w:lineRule="auto" w:after="0" w:before="0"/>
        <w:jc w:val="both"/>
      </w:pPr>
      <w:r>
        <w:rPr>
          <w:rFonts w:ascii="Arial" w:hAnsi="Arial" w:cs="Arial"/>
          <w:b w:val="0"/>
          <w:i w:val="0"/>
          <w:color w:val="00B050"/>
          <w:sz w:val="27"/>
          <w:szCs w:val="27"/>
        </w:rPr>
        <w:t xml:space="preserve">A r. sentença, cujos argumentos acolho, está bem fundamentada e rebate as alegações do apelo (ID 78303507):</w:t>
      </w:r>
    </w:p>
    <w:p>
      <w:pPr>
        <w:spacing w:line="360" w:lineRule="auto" w:after="0" w:before="0"/>
        <w:jc w:val="both"/>
      </w:pPr>
      <w:r>
        <w:rPr>
          <w:rFonts w:ascii="Arial" w:hAnsi="Arial" w:cs="Arial"/>
          <w:b w:val="0"/>
          <w:i w:val="0"/>
          <w:color w:val="00B050"/>
          <w:sz w:val="27"/>
          <w:szCs w:val="27"/>
        </w:rPr>
        <w:t xml:space="preserve">“(...) Cuida-se de cumprimento individual de sentença coletiva, com base no título executivo proferido nos autos 0705877- 53.2020.8.07.0018, no qual o réu foi condenado (i) a proceder a implementação nos vencimentos dos servidores substituídos pelo SINDAFIS da última parcela do reajuste da gratificação de incentivo à fiscalização de atividades urbanas – GIUrb, no importe de 10% (dez por cento), nos termos do determinado no art. 11, inc. III, da Lei Distrital n. 5.226/2013; (ii) ao pagamento das diferenças salariais vencidas desde 1º/12/2015, até a data da incorporação do reajuste sobre os vencimentos dos Servidores, com os devidos reflexos sobre as parcelas de caráter salarial, diferenças estas devidas a toda a categoria, incluindo servidores filiados e não filiados ao SINDAFIS.</w:t>
      </w:r>
    </w:p>
    <w:p>
      <w:pPr>
        <w:spacing w:line="360" w:lineRule="auto" w:after="0" w:before="0"/>
        <w:jc w:val="both"/>
      </w:pPr>
      <w:r>
        <w:rPr>
          <w:rFonts w:ascii="Arial" w:hAnsi="Arial" w:cs="Arial"/>
          <w:b w:val="0"/>
          <w:i w:val="0"/>
          <w:color w:val="00B050"/>
          <w:sz w:val="27"/>
          <w:szCs w:val="27"/>
        </w:rPr>
        <w:t xml:space="preserve">O Distrito Federal alegou existir coisa julgada, em razão dos autos de nº 0744459-36.2017.8.07.0016, cujo pedido e causa de pedir são idênticos, já havendo trânsito em julgado daquela ação.</w:t>
      </w:r>
    </w:p>
    <w:p>
      <w:pPr>
        <w:spacing w:line="360" w:lineRule="auto" w:after="0" w:before="0"/>
        <w:jc w:val="both"/>
      </w:pPr>
      <w:r>
        <w:rPr>
          <w:rFonts w:ascii="Arial" w:hAnsi="Arial" w:cs="Arial"/>
          <w:b w:val="0"/>
          <w:i w:val="0"/>
          <w:color w:val="00B050"/>
          <w:sz w:val="27"/>
          <w:szCs w:val="27"/>
        </w:rPr>
        <w:t xml:space="preserve">A autora, por seu turno, alegou que a coisa julgada individual não é oponível à coletiva, que o contrário feriria os postulados constitucionais da isonomia e da representação sindical e que a decisão individual não afasta a eficácia vinculante e obrigatória da decisão coletiva.</w:t>
      </w:r>
    </w:p>
    <w:p>
      <w:pPr>
        <w:spacing w:line="360" w:lineRule="auto" w:after="0" w:before="0"/>
        <w:jc w:val="both"/>
      </w:pPr>
      <w:r>
        <w:rPr>
          <w:rFonts w:ascii="Arial" w:hAnsi="Arial" w:cs="Arial"/>
          <w:b w:val="0"/>
          <w:i w:val="0"/>
          <w:color w:val="00B050"/>
          <w:sz w:val="27"/>
          <w:szCs w:val="27"/>
        </w:rPr>
        <w:t xml:space="preserve">Da análise das decisões proferidas nesta ação individual verifica-se que, de fato, tem ela o mesmo objeto e causa de pedir que a ação coletiva que fundamenta o presente cumprimento de sentença, o que aliás não foi contestado pelo autor.</w:t>
      </w:r>
    </w:p>
    <w:p>
      <w:pPr>
        <w:spacing w:line="360" w:lineRule="auto" w:after="0" w:before="0"/>
        <w:jc w:val="both"/>
      </w:pPr>
      <w:r>
        <w:rPr>
          <w:rFonts w:ascii="Arial" w:hAnsi="Arial" w:cs="Arial"/>
          <w:b w:val="0"/>
          <w:i w:val="0"/>
          <w:color w:val="00B050"/>
          <w:sz w:val="27"/>
          <w:szCs w:val="27"/>
        </w:rPr>
        <w:t xml:space="preserve">No caso da ação individual, todavia, o pedido foi indeferido, já havendo trânsito em julgado. Há, portanto, coisa julgada no que se refere ao autor deste cumprimento, conforme artigo 337, § 4º, do Código de Processo Civil.</w:t>
      </w:r>
    </w:p>
    <w:p>
      <w:pPr>
        <w:spacing w:line="360" w:lineRule="auto" w:after="0" w:before="0"/>
        <w:jc w:val="both"/>
      </w:pPr>
      <w:r>
        <w:rPr>
          <w:rFonts w:ascii="Arial" w:hAnsi="Arial" w:cs="Arial"/>
          <w:b w:val="0"/>
          <w:i w:val="0"/>
          <w:color w:val="00B050"/>
          <w:sz w:val="27"/>
          <w:szCs w:val="27"/>
        </w:rPr>
        <w:t xml:space="preserve">Deve ser destacado que não existe litispendência entre a ação individual e a ação coletiva, cabendo ao autor a escolha daquela que entenda mais oportuna. No entanto, a coisa julgada da ação coletiva só lhe favorece caso desista ou suspenda ou curso da ação individual, o que não ocorreu no caso, sendo irrelevante questionar se tinha ele ou não conhecimento da ação coletiva, especialmente porque a ação individual é anterior à ação coletiva.</w:t>
      </w:r>
    </w:p>
    <w:p>
      <w:pPr>
        <w:spacing w:line="360" w:lineRule="auto" w:after="0" w:before="0"/>
        <w:jc w:val="both"/>
      </w:pPr>
      <w:r>
        <w:rPr>
          <w:rFonts w:ascii="Arial" w:hAnsi="Arial" w:cs="Arial"/>
          <w:b w:val="0"/>
          <w:i w:val="0"/>
          <w:color w:val="00B050"/>
          <w:sz w:val="27"/>
          <w:szCs w:val="27"/>
        </w:rPr>
        <w:t xml:space="preserve">Veja-se a respeito a jurisprudência do Superior Tribunal de Justiça e deste Tribunal de Justiça:</w:t>
      </w:r>
    </w:p>
    <w:p>
      <w:pPr>
        <w:spacing w:line="360" w:lineRule="auto" w:after="0" w:before="0"/>
        <w:jc w:val="both"/>
      </w:pPr>
      <w:r>
        <w:rPr>
          <w:rFonts w:ascii="Arial" w:hAnsi="Arial" w:cs="Arial"/>
          <w:b w:val="0"/>
          <w:i w:val="0"/>
          <w:color w:val="00B050"/>
          <w:sz w:val="27"/>
          <w:szCs w:val="27"/>
        </w:rPr>
        <w:t xml:space="preserve">(...) 3. A jurisprudência do STJ é firme no sentido de não existir litispendência entre ação individual e ação coletiva, bem como de ser inaproveitável e inoponível a coisa julgada formada na ação coletiva para quem litiga individualmente e não desistiu de sua demanda. Registra-se ainda que o STJ já decidiu que "os beneficiários do título judicial não podem ser impedidos de executá-lo, em razão de desídia do sindicato na condução do processo de execução coletiva, que culminou na prescrição intercorrente" (AgInt no REsp 1.960.015/PE, Rel. Min. Og Fernandes, Segunda Turma, DJe de 1º.4.2022).</w:t>
      </w:r>
    </w:p>
    <w:p>
      <w:pPr>
        <w:spacing w:line="360" w:lineRule="auto" w:after="0" w:before="0"/>
        <w:jc w:val="both"/>
      </w:pPr>
      <w:r>
        <w:rPr>
          <w:rFonts w:ascii="Arial" w:hAnsi="Arial" w:cs="Arial"/>
          <w:b w:val="0"/>
          <w:i w:val="0"/>
          <w:color w:val="00B050"/>
          <w:sz w:val="27"/>
          <w:szCs w:val="27"/>
        </w:rPr>
        <w:t xml:space="preserve">4. Agravo Interno não provido.</w:t>
      </w:r>
    </w:p>
    <w:p>
      <w:pPr>
        <w:spacing w:line="360" w:lineRule="auto" w:after="0" w:before="0"/>
        <w:jc w:val="both"/>
      </w:pPr>
      <w:r>
        <w:rPr>
          <w:rFonts w:ascii="Arial" w:hAnsi="Arial" w:cs="Arial"/>
          <w:b w:val="0"/>
          <w:i w:val="0"/>
          <w:color w:val="00B050"/>
          <w:sz w:val="27"/>
          <w:szCs w:val="27"/>
        </w:rPr>
        <w:t xml:space="preserve">(AgInt no REsp n. 2.118.977/PE, relator Ministro Herman Benjamin, Segunda Turma, julgado em 27/5/2024, DJe de 4/6/2024.)</w:t>
      </w:r>
    </w:p>
    <w:p>
      <w:pPr>
        <w:spacing w:line="360" w:lineRule="auto" w:after="0" w:before="0"/>
        <w:jc w:val="both"/>
      </w:pPr>
      <w:r>
        <w:rPr>
          <w:rFonts w:ascii="Arial" w:hAnsi="Arial" w:cs="Arial"/>
          <w:b w:val="0"/>
          <w:i w:val="0"/>
          <w:color w:val="00B050"/>
          <w:sz w:val="27"/>
          <w:szCs w:val="27"/>
        </w:rPr>
        <w:t xml:space="preserve">(...) 2 – Preliminar de litispendência. Preconiza o artigo 337, §1º, §2º e §3º, do CPC/15 que há litispendência quando se reproduz ação anteriormente ajuizada ou quando se repete ação que está em curso com as mesmas partes, a mesma causa de pedir e o mesmo pedido. Apreendido que os processos indicados almejam a incorporação (obrigação de fazer) ou o pagamento relativo a períodos distintos, de rigor a rejeição da preliminar. ora objetivam obrigação de pagar, contudo, relativa a período diverso (a partir de 29/12/1995 ou a partir de 15/12/1998).</w:t>
      </w:r>
    </w:p>
    <w:p>
      <w:pPr>
        <w:spacing w:line="360" w:lineRule="auto" w:after="0" w:before="0"/>
        <w:jc w:val="both"/>
      </w:pPr>
      <w:r>
        <w:rPr>
          <w:rFonts w:ascii="Arial" w:hAnsi="Arial" w:cs="Arial"/>
          <w:b w:val="0"/>
          <w:i w:val="0"/>
          <w:color w:val="00B050"/>
          <w:sz w:val="27"/>
          <w:szCs w:val="27"/>
        </w:rPr>
        <w:t xml:space="preserve">Não há litispendência entre ação individual e ação coletiva, e que é inaproveitável e não oponível a coisa julgada formada na ação coletiva para quem litiga individualmente e não desistiu de sua ação (AgInt no REsp: 1940693 PE 2021/0162630-1, Relator: Ministro HERMAN BENJAMIN). (...)</w:t>
      </w:r>
    </w:p>
    <w:p>
      <w:pPr>
        <w:spacing w:line="360" w:lineRule="auto" w:after="0" w:before="0"/>
        <w:jc w:val="both"/>
      </w:pPr>
      <w:r>
        <w:rPr>
          <w:rFonts w:ascii="Arial" w:hAnsi="Arial" w:cs="Arial"/>
          <w:b w:val="0"/>
          <w:i w:val="0"/>
          <w:color w:val="00B050"/>
          <w:sz w:val="27"/>
          <w:szCs w:val="27"/>
        </w:rPr>
        <w:t xml:space="preserve">(Acórdão 1766375, 0722596-62.2023.8.07.0000, Relator(a):</w:t>
      </w:r>
    </w:p>
    <w:p>
      <w:pPr>
        <w:spacing w:line="360" w:lineRule="auto" w:after="0" w:before="0"/>
        <w:jc w:val="both"/>
      </w:pPr>
      <w:r>
        <w:rPr>
          <w:rFonts w:ascii="Arial" w:hAnsi="Arial" w:cs="Arial"/>
          <w:b w:val="0"/>
          <w:i w:val="0"/>
          <w:color w:val="00B050"/>
          <w:sz w:val="27"/>
          <w:szCs w:val="27"/>
        </w:rPr>
        <w:t xml:space="preserve">AISTON HENRIQUE DE SOUSA, 4ª TURMA CÍVEL, data de julgamento: 28/09/2023, publicado no DJe: 16/10/2023.)</w:t>
      </w:r>
    </w:p>
    <w:p>
      <w:pPr>
        <w:spacing w:line="360" w:lineRule="auto" w:after="0" w:before="0"/>
        <w:jc w:val="both"/>
      </w:pPr>
      <w:r>
        <w:rPr>
          <w:rFonts w:ascii="Arial" w:hAnsi="Arial" w:cs="Arial"/>
          <w:b w:val="0"/>
          <w:i w:val="0"/>
          <w:color w:val="00B050"/>
          <w:sz w:val="27"/>
          <w:szCs w:val="27"/>
        </w:rPr>
        <w:t xml:space="preserve">Assim, a preliminar relativa à coisa julgada deve ser acolhida.</w:t>
      </w:r>
    </w:p>
    <w:p>
      <w:pPr>
        <w:spacing w:line="360" w:lineRule="auto" w:after="0" w:before="0"/>
        <w:jc w:val="both"/>
      </w:pPr>
      <w:r>
        <w:rPr>
          <w:rFonts w:ascii="Arial" w:hAnsi="Arial" w:cs="Arial"/>
          <w:b w:val="0"/>
          <w:i w:val="0"/>
          <w:color w:val="00B050"/>
          <w:sz w:val="27"/>
          <w:szCs w:val="27"/>
        </w:rPr>
        <w:t xml:space="preserve">(...)” (Grifei)</w:t>
      </w:r>
    </w:p>
    <w:p>
      <w:pPr>
        <w:spacing w:line="360" w:lineRule="auto" w:after="0" w:before="0"/>
        <w:jc w:val="both"/>
      </w:pPr>
      <w:r>
        <w:rPr>
          <w:rFonts w:ascii="Arial" w:hAnsi="Arial" w:cs="Arial"/>
          <w:b w:val="0"/>
          <w:i w:val="0"/>
          <w:color w:val="00B050"/>
          <w:sz w:val="27"/>
          <w:szCs w:val="27"/>
        </w:rPr>
        <w:t xml:space="preserve">A alegação de que a ação individual não teria apreciado o direito material não prospera.</w:t>
      </w:r>
    </w:p>
    <w:p>
      <w:pPr>
        <w:spacing w:line="360" w:lineRule="auto" w:after="0" w:before="0"/>
        <w:jc w:val="both"/>
      </w:pPr>
      <w:commentRangeStart w:id="5"/>
      <w:r>
        <w:rPr>
          <w:rFonts w:ascii="Arial" w:hAnsi="Arial" w:cs="Arial"/>
          <w:b w:val="0"/>
          <w:i w:val="0"/>
          <w:color w:val="00B050"/>
          <w:sz w:val="27"/>
          <w:szCs w:val="27"/>
        </w:rPr>
        <w:t xml:space="preserve">A sentença proferida no processo nº 0740818-40.2017.8.07.0016 julgou improcedente, com resolução de mérito, o pedido de implementação da terceira parcela da GIURB e de pagamento das diferenças remuneratórias, exatamente com fundamento na Lei Distrital nº 5.226/2013, tendo transitado em julgado em 27/07/2020 (ID 66695931 do processo de referência)</w:t>
      </w:r>
      <w:commentRangeEnd w:id="5"/>
      <w:r>
        <w:rPr>
          <w:rStyle w:val="CommentReference"/>
        </w:rPr>
        <w:commentReference w:id="5"/>
      </w:r>
    </w:p>
    <w:p>
      <w:pPr>
        <w:spacing w:line="360" w:lineRule="auto" w:after="0" w:before="0"/>
        <w:jc w:val="both"/>
      </w:pPr>
      <w:r>
        <w:rPr>
          <w:rFonts w:ascii="Arial" w:hAnsi="Arial" w:cs="Arial"/>
          <w:b w:val="0"/>
          <w:i w:val="0"/>
          <w:color w:val="00B050"/>
          <w:sz w:val="27"/>
          <w:szCs w:val="27"/>
        </w:rPr>
        <w:t xml:space="preserve">O fato de o fundamento adotado ter sido a incidência do Tema 864/STF, que dispõe que “a revisão geral anual da remuneração dos servidores públicos depende, cumulativamente, de dotação na Lei Orçamentária Anual e de previsão na Lei de Diretrizes Orçamentárias”, não descaracteriza o julgamento de mérito nem autoriza a rediscussão da mesma pretensão por meio de cumprimento individual de sentença coletiva posteriormente formada.</w:t>
      </w:r>
    </w:p>
    <w:p>
      <w:pPr>
        <w:spacing w:line="360" w:lineRule="auto" w:after="0" w:before="0"/>
        <w:jc w:val="both"/>
      </w:pPr>
      <w:r>
        <w:rPr>
          <w:rFonts w:ascii="Arial" w:hAnsi="Arial" w:cs="Arial"/>
          <w:b w:val="0"/>
          <w:i w:val="0"/>
          <w:color w:val="00B050"/>
          <w:sz w:val="27"/>
          <w:szCs w:val="27"/>
        </w:rPr>
        <w:t xml:space="preserve">Também não procede a tentativa de limitar a coisa julgada ao período anterior ao trânsito em julgado da ação individual.</w:t>
      </w:r>
    </w:p>
    <w:p>
      <w:pPr>
        <w:spacing w:line="360" w:lineRule="auto" w:after="0" w:before="0"/>
        <w:jc w:val="both"/>
      </w:pPr>
      <w:r>
        <w:rPr>
          <w:rFonts w:ascii="Arial" w:hAnsi="Arial" w:cs="Arial"/>
          <w:b w:val="0"/>
          <w:i w:val="0"/>
          <w:color w:val="00B050"/>
          <w:sz w:val="27"/>
          <w:szCs w:val="27"/>
        </w:rPr>
        <w:t xml:space="preserve">Na demanda originária, o autor pediu não apenas as parcelas vencidas desde dezembro de 2015, mas também as parcelas vincendas até a efetiva implementação integral do reajuste. (ID 10582592 do processo de referência)</w:t>
      </w:r>
    </w:p>
    <w:p>
      <w:pPr>
        <w:spacing w:line="360" w:lineRule="auto" w:after="0" w:before="0"/>
        <w:jc w:val="both"/>
      </w:pPr>
      <w:r>
        <w:rPr>
          <w:rFonts w:ascii="Arial" w:hAnsi="Arial" w:cs="Arial"/>
          <w:b w:val="0"/>
          <w:i w:val="0"/>
          <w:color w:val="00B050"/>
          <w:sz w:val="27"/>
          <w:szCs w:val="27"/>
        </w:rPr>
        <w:t xml:space="preserve">Portanto, a relação jurídica remuneratória foi submetida ao Judiciário em sua integralidade, abrangendo tanto as diferenças vencidas quanto as futuras, enquanto não incorporada a verba.</w:t>
      </w:r>
    </w:p>
    <w:p>
      <w:pPr>
        <w:spacing w:line="360" w:lineRule="auto" w:after="0" w:before="0"/>
        <w:jc w:val="both"/>
      </w:pPr>
      <w:r>
        <w:rPr>
          <w:rFonts w:ascii="Arial" w:hAnsi="Arial" w:cs="Arial"/>
          <w:b w:val="0"/>
          <w:i w:val="0"/>
          <w:color w:val="00B050"/>
          <w:sz w:val="27"/>
          <w:szCs w:val="27"/>
        </w:rPr>
        <w:t xml:space="preserve">Nessa linha, embora inexista litispendência entre ação individual e ação coletiva, a posterior formação de título coletivo favorável à categoria não tem o efeito de desconstituir coisa julgada individual anterior, regularmente formada contra o próprio servidor.</w:t>
      </w:r>
    </w:p>
    <w:p>
      <w:pPr>
        <w:spacing w:line="360" w:lineRule="auto" w:after="0" w:before="0"/>
        <w:jc w:val="both"/>
      </w:pPr>
      <w:r>
        <w:rPr>
          <w:rFonts w:ascii="Arial" w:hAnsi="Arial" w:cs="Arial"/>
          <w:b w:val="0"/>
          <w:i w:val="0"/>
          <w:color w:val="00B050"/>
          <w:sz w:val="27"/>
          <w:szCs w:val="27"/>
        </w:rPr>
        <w:t xml:space="preserve">A coisa julgada coletiva pode beneficiar os substituídos que não tenham obtido pronunciamento individual definitivo desfavorável, mas não serve como sucedâneo de ação rescisória nem como via para reabrir relação jurídica já acobertada pela imutabilidade do julgado.</w:t>
      </w:r>
    </w:p>
    <w:p>
      <w:pPr>
        <w:spacing w:line="360" w:lineRule="auto" w:after="0" w:before="0"/>
        <w:jc w:val="both"/>
      </w:pPr>
      <w:r>
        <w:rPr>
          <w:rFonts w:ascii="Arial" w:hAnsi="Arial" w:cs="Arial"/>
          <w:b w:val="0"/>
          <w:i w:val="0"/>
          <w:color w:val="00B050"/>
          <w:sz w:val="27"/>
          <w:szCs w:val="27"/>
        </w:rPr>
        <w:t xml:space="preserve">O art. 104 do CDC, invocado pelo apelante, não conduz a conclusão diversa:</w:t>
      </w:r>
    </w:p>
    <w:p>
      <w:pPr>
        <w:spacing w:line="360" w:lineRule="auto" w:after="0" w:before="0"/>
        <w:jc w:val="both"/>
      </w:pPr>
      <w:r>
        <w:rPr>
          <w:rFonts w:ascii="Arial" w:hAnsi="Arial" w:cs="Arial"/>
          <w:b w:val="0"/>
          <w:i w:val="0"/>
          <w:color w:val="00B050"/>
          <w:sz w:val="27"/>
          <w:szCs w:val="27"/>
        </w:rPr>
        <w:t xml:space="preserve">“Art. 104. As ações coletivas, previstas nos incisos I e II e do parágrafo único do art. 81, não induzem litispendência para as ações individuais, mas os efeitos da coisa julgada erga omnes ou ultra partes a que aludem os incisos II e III do artigo anterior não beneficiarão os autores das ações individuais, se não for requerida sua suspensão no prazo de trinta dias, a contar da ciência nos autos do ajuizamento da ação coletiva.”</w:t>
      </w:r>
    </w:p>
    <w:p>
      <w:pPr>
        <w:spacing w:line="360" w:lineRule="auto" w:after="0" w:before="0"/>
        <w:jc w:val="both"/>
      </w:pPr>
      <w:r>
        <w:rPr>
          <w:rFonts w:ascii="Arial" w:hAnsi="Arial" w:cs="Arial"/>
          <w:b w:val="0"/>
          <w:i w:val="0"/>
          <w:color w:val="00B050"/>
          <w:sz w:val="27"/>
          <w:szCs w:val="27"/>
        </w:rPr>
        <w:t xml:space="preserve">A regra do sistema opt out pressupõe coexistência entre ação individual pendente e ação coletiva, de modo a permitir ao interessado suspender a demanda individual para aproveitar eventual resultado coletivo favorável.</w:t>
      </w:r>
    </w:p>
    <w:p>
      <w:pPr>
        <w:spacing w:line="360" w:lineRule="auto" w:after="0" w:before="0"/>
        <w:jc w:val="both"/>
      </w:pPr>
      <w:r>
        <w:rPr>
          <w:rFonts w:ascii="Arial" w:hAnsi="Arial" w:cs="Arial"/>
          <w:b w:val="0"/>
          <w:i w:val="0"/>
          <w:color w:val="00B050"/>
          <w:sz w:val="27"/>
          <w:szCs w:val="27"/>
        </w:rPr>
        <w:t xml:space="preserve">No caso, porém, a ação individual antecedeu a ação coletiva e já havia transitado em julgado quando se formou o título coletivo, o que torna irrelevante a discussão sobre prévia ciência do autor acerca da demanda coletiva.</w:t>
      </w:r>
    </w:p>
    <w:p>
      <w:pPr>
        <w:spacing w:line="360" w:lineRule="auto" w:after="0" w:before="0"/>
        <w:jc w:val="both"/>
      </w:pPr>
      <w:r>
        <w:rPr>
          <w:rFonts w:ascii="Arial" w:hAnsi="Arial" w:cs="Arial"/>
          <w:b w:val="0"/>
          <w:i w:val="0"/>
          <w:color w:val="00B050"/>
          <w:sz w:val="27"/>
          <w:szCs w:val="27"/>
        </w:rPr>
        <w:t xml:space="preserve">Assim, deve prevalecer a autoridade da coisa julgada formada na ação individual, sob pena de permitir que o servidor, vencido em demanda própria, obtenha pela via executiva coletiva resultado incompatível com decisão anterior definitiva.</w:t>
      </w:r>
    </w:p>
    <w:p>
      <w:pPr>
        <w:spacing w:line="360" w:lineRule="auto" w:after="0" w:before="0"/>
        <w:jc w:val="both"/>
      </w:pPr>
      <w:r>
        <w:rPr>
          <w:rFonts w:ascii="Arial" w:hAnsi="Arial" w:cs="Arial"/>
          <w:b w:val="0"/>
          <w:i w:val="0"/>
          <w:color w:val="00B050"/>
          <w:sz w:val="27"/>
          <w:szCs w:val="27"/>
        </w:rPr>
        <w:t xml:space="preserve">Nesse sentido:</w:t>
      </w:r>
    </w:p>
    <w:p>
      <w:pPr>
        <w:spacing w:line="360" w:lineRule="auto" w:after="0" w:before="0"/>
        <w:jc w:val="both"/>
      </w:pPr>
      <w:r>
        <w:rPr>
          <w:rFonts w:ascii="Arial" w:hAnsi="Arial" w:cs="Arial"/>
          <w:b w:val="0"/>
          <w:i w:val="0"/>
          <w:color w:val="00B050"/>
          <w:sz w:val="27"/>
          <w:szCs w:val="27"/>
        </w:rPr>
        <w:t xml:space="preserve">“PROCESSUAL CIVIL. AÇÃO INDIVIDUAL E AÇÃO COLETIVA.</w:t>
      </w:r>
    </w:p>
    <w:p>
      <w:pPr>
        <w:spacing w:line="360" w:lineRule="auto" w:after="0" w:before="0"/>
        <w:jc w:val="both"/>
      </w:pPr>
      <w:r>
        <w:rPr>
          <w:rFonts w:ascii="Arial" w:hAnsi="Arial" w:cs="Arial"/>
          <w:b w:val="0"/>
          <w:i w:val="0"/>
          <w:color w:val="00B050"/>
          <w:sz w:val="27"/>
          <w:szCs w:val="27"/>
        </w:rPr>
        <w:t xml:space="preserve">PEDIDO DE SUSPENSÃO. FEITO JÁ SENTENCIADO.</w:t>
      </w:r>
    </w:p>
    <w:p>
      <w:pPr>
        <w:spacing w:line="360" w:lineRule="auto" w:after="0" w:before="0"/>
        <w:jc w:val="both"/>
      </w:pPr>
      <w:r>
        <w:rPr>
          <w:rFonts w:ascii="Arial" w:hAnsi="Arial" w:cs="Arial"/>
          <w:b w:val="0"/>
          <w:i w:val="0"/>
          <w:color w:val="00B050"/>
          <w:sz w:val="27"/>
          <w:szCs w:val="27"/>
        </w:rPr>
        <w:t xml:space="preserve">IMPOSSIBILIDADE.</w:t>
      </w:r>
    </w:p>
    <w:p>
      <w:pPr>
        <w:spacing w:line="360" w:lineRule="auto" w:after="0" w:before="0"/>
        <w:jc w:val="both"/>
      </w:pPr>
      <w:r>
        <w:rPr>
          <w:rFonts w:ascii="Arial" w:hAnsi="Arial" w:cs="Arial"/>
          <w:b w:val="0"/>
          <w:i w:val="0"/>
          <w:color w:val="00B050"/>
          <w:sz w:val="27"/>
          <w:szCs w:val="27"/>
        </w:rPr>
        <w:t xml:space="preserve">1. O direito potestativo referente à suspensão do feito individual, com os efeitos preconizados pelo art. 104 do CDC, é assegurado ao autor somente até a prolação da sentença de mérito; depois disso, a tramitação do processo individual independe do desate da ação coletiva.</w:t>
      </w:r>
    </w:p>
    <w:p>
      <w:pPr>
        <w:spacing w:line="360" w:lineRule="auto" w:after="0" w:before="0"/>
        <w:jc w:val="both"/>
      </w:pPr>
      <w:r>
        <w:rPr>
          <w:rFonts w:ascii="Arial" w:hAnsi="Arial" w:cs="Arial"/>
          <w:b w:val="0"/>
          <w:i w:val="0"/>
          <w:color w:val="00B050"/>
          <w:sz w:val="27"/>
          <w:szCs w:val="27"/>
        </w:rPr>
        <w:t xml:space="preserve">2. Prestada a jurisdição em uma ou ambas as demandas, não é mais possível ao interessado buscar que o provimento judicial de uma prevaleça sobre o da outra, porquanto isso representaria clara afronta ao princípio do juízo natural. (...)” (AgInt no REsp n. 1.926.280/RN, relator Ministro Gurgel de Faria, Primeira Turma, julgado em 13/2/2023, DJe de 16/2/2023.)</w:t>
      </w:r>
    </w:p>
    <w:p>
      <w:pPr>
        <w:spacing w:line="360" w:lineRule="auto" w:after="0" w:before="0"/>
        <w:jc w:val="both"/>
      </w:pPr>
      <w:r>
        <w:rPr>
          <w:rFonts w:ascii="Arial" w:hAnsi="Arial" w:cs="Arial"/>
          <w:b w:val="0"/>
          <w:i w:val="0"/>
          <w:color w:val="00B050"/>
          <w:sz w:val="27"/>
          <w:szCs w:val="27"/>
        </w:rPr>
        <w:t xml:space="preserve">“(...) 3. De acordo com o artigo 337, § 4º, do Código de Processo Civil, tem-se por configurada a coisa julgada quando há repetição de ação que já foi decidida por decisão transitada em julgado.</w:t>
      </w:r>
    </w:p>
    <w:p>
      <w:pPr>
        <w:spacing w:line="360" w:lineRule="auto" w:after="0" w:before="0"/>
        <w:jc w:val="both"/>
      </w:pPr>
      <w:r>
        <w:rPr>
          <w:rFonts w:ascii="Arial" w:hAnsi="Arial" w:cs="Arial"/>
          <w:b w:val="0"/>
          <w:i w:val="0"/>
          <w:color w:val="00B050"/>
          <w:sz w:val="27"/>
          <w:szCs w:val="27"/>
        </w:rPr>
        <w:t xml:space="preserve">4. A eficácia erga omnes da sentença coletiva, prevista no artigo 103, inciso II, do CDC, não alcança relações jurídicas já acobertadas por coisa julgada individual anterior, pois o título coletivo não tem o condão de desconstituir decisão judicial transitada em julgado.</w:t>
      </w:r>
    </w:p>
    <w:p>
      <w:pPr>
        <w:spacing w:line="360" w:lineRule="auto" w:after="0" w:before="0"/>
        <w:jc w:val="both"/>
      </w:pPr>
      <w:r>
        <w:rPr>
          <w:rFonts w:ascii="Arial" w:hAnsi="Arial" w:cs="Arial"/>
          <w:b w:val="0"/>
          <w:i w:val="0"/>
          <w:color w:val="00B050"/>
          <w:sz w:val="27"/>
          <w:szCs w:val="27"/>
        </w:rPr>
        <w:t xml:space="preserve">5. Observado, no caso concreto, que a ação coletiva ajuizada pelo sindicato da categoria, na qual foi constituído o título judicial, foi proposta após o trânsito em julgado da sentença exarada na ação de conhecimento individual promovida pelo servidor substituído, cujo pedido inicial foi julgado improcedente, mostra-se configurada a existência de coisa julgada. (...)” (Grifei)</w:t>
      </w:r>
    </w:p>
    <w:p>
      <w:pPr>
        <w:spacing w:line="360" w:lineRule="auto" w:after="0" w:before="0"/>
        <w:jc w:val="both"/>
      </w:pPr>
      <w:r>
        <w:rPr>
          <w:rFonts w:ascii="Arial" w:hAnsi="Arial" w:cs="Arial"/>
          <w:b w:val="0"/>
          <w:i w:val="0"/>
          <w:color w:val="00B050"/>
          <w:sz w:val="27"/>
          <w:szCs w:val="27"/>
        </w:rPr>
        <w:t xml:space="preserve">(Acórdão 2113868, 0707651-45.2025.8.07.0018, Relator(a): CARMEN BITTENCOURT, 8ª TURMA CÍVEL, data de julgamento: 14/04/2026, publicado no DJe: 04/05/2026.)</w:t>
      </w:r>
    </w:p>
    <w:p>
      <w:pPr>
        <w:spacing w:line="360" w:lineRule="auto" w:after="0" w:before="0"/>
        <w:jc w:val="both"/>
      </w:pPr>
      <w:r>
        <w:rPr>
          <w:rFonts w:ascii="Arial" w:hAnsi="Arial" w:cs="Arial"/>
          <w:b w:val="0"/>
          <w:i w:val="0"/>
          <w:color w:val="00B050"/>
          <w:sz w:val="27"/>
          <w:szCs w:val="27"/>
        </w:rPr>
        <w:t xml:space="preserve">DISPOSITIVO Ante o exposto, nego provimento ao apelo do exequente, Ricardo Afonso da Silva.</w:t>
      </w:r>
    </w:p>
    <w:p>
      <w:pPr>
        <w:spacing w:line="360" w:lineRule="auto" w:after="0" w:before="0"/>
        <w:jc w:val="both"/>
      </w:pPr>
      <w:r>
        <w:rPr>
          <w:rFonts w:ascii="Arial" w:hAnsi="Arial" w:cs="Arial"/>
          <w:b w:val="0"/>
          <w:i w:val="0"/>
          <w:color w:val="00B050"/>
          <w:sz w:val="27"/>
          <w:szCs w:val="27"/>
        </w:rPr>
        <w:t xml:space="preserve">Fixo os honorários advocatícios recursais em 1% do valor da causa (CPC 85 §§ 1º 11), somando-se ao percentual fixado na r. sentença.</w:t>
      </w:r>
    </w:p>
    <w:p>
      <w:pPr>
        <w:spacing w:line="360" w:lineRule="auto" w:after="0" w:before="0"/>
        <w:jc w:val="both"/>
      </w:pPr>
      <w:r>
        <w:rPr>
          <w:rFonts w:ascii="Arial" w:hAnsi="Arial" w:cs="Arial"/>
          <w:b w:val="0"/>
          <w:i w:val="0"/>
          <w:color w:val="00B050"/>
          <w:sz w:val="27"/>
          <w:szCs w:val="27"/>
        </w:rPr>
        <w:t xml:space="preserve">É como voto.</w:t>
      </w:r>
    </w:p>
    <w:p>
      <w:pPr>
        <w:spacing w:line="360" w:lineRule="auto" w:after="0" w:before="0"/>
        <w:jc w:val="both"/>
      </w:pPr>
      <w:r>
        <w:rPr>
          <w:rFonts w:ascii="Arial" w:hAnsi="Arial" w:cs="Arial"/>
          <w:b w:val="0"/>
          <w:i w:val="0"/>
          <w:color w:val="00B050"/>
          <w:sz w:val="27"/>
          <w:szCs w:val="27"/>
        </w:rPr>
        <w:t xml:space="preserve">O Senhor Desembargador MARIO-ZAM BELMIRO - 1º Vogal Com o(a) relator(a)</w:t>
      </w:r>
    </w:p>
    <w:p>
      <w:pPr>
        <w:spacing w:line="360" w:lineRule="auto" w:after="0" w:before="0"/>
        <w:jc w:val="both"/>
      </w:pPr>
      <w:r>
        <w:rPr>
          <w:rFonts w:ascii="Arial" w:hAnsi="Arial" w:cs="Arial"/>
          <w:b w:val="0"/>
          <w:i w:val="0"/>
          <w:color w:val="00B050"/>
          <w:sz w:val="27"/>
          <w:szCs w:val="27"/>
        </w:rPr>
        <w:t xml:space="preserve">O Senhor Desembargador ROBERVAL CASEMIRO BELINATI - 2º Vogal Com o(a) relator(a)</w:t>
      </w:r>
    </w:p>
    <w:p>
      <w:pPr>
        <w:spacing w:line="360" w:lineRule="auto" w:after="0" w:before="0"/>
        <w:jc w:val="both"/>
      </w:pPr>
      <w:r>
        <w:rPr>
          <w:rFonts w:ascii="Arial" w:hAnsi="Arial" w:cs="Arial"/>
          <w:b w:val="0"/>
          <w:i w:val="0"/>
          <w:color w:val="00B050"/>
          <w:sz w:val="27"/>
          <w:szCs w:val="27"/>
        </w:rPr>
        <w:t xml:space="preserve">DECISÃO NEGAR PROVIMENTO AO RECURSO. UNÂNIME</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initials="MG" w:date="2026-10-30T16:45:19Z">
    <w:p>
      <w:pPr>
        <w:pStyle w:val="CommentText"/>
      </w:pPr>
      <w:r>
        <w:rPr>
          <w:rStyle w:val="CommentReference"/>
        </w:rPr>
        <w:annotationRef/>
      </w:r>
      <w:r>
        <w:t>MINUTA GDSXSR — Processo recebido como embargos de declaração cível (EMD), 4ª Turma Cível, contra o acórdão 2172110 (ID 89537289) da apelação de mesmo número; não é AGI nem APC. Minuta do zero, resultado NP (nego provimento): o acórdão enfrentou cada ponto alegado (ID 87700402) e os embargos pedem a rediscussão do mérito. Modelos lidos (C-05): EMD 0745673-32 e 0748895-08 (Drive, nível 1) e EMD 0703926-84 (voto do zero aceito por Marcos). C-73: EMD sem tese nova admite modelo mais leve; esta minuta foi feita no modelo da thread e Marcos decide se quer refazê-la em outro.</w:t>
      </w:r>
    </w:p>
  </w:comment>
  <w:comment w:id="1" w:author="Minuta GDSXSR" w:initials="MG" w:date="2026-10-30T16:45:19Z">
    <w:p>
      <w:pPr>
        <w:pStyle w:val="CommentText"/>
      </w:pPr>
      <w:r>
        <w:rPr>
          <w:rStyle w:val="CommentReference"/>
        </w:rPr>
        <w:annotationRef/>
      </w:r>
      <w:r>
        <w:t>MINUTA GDSXSR — Pendência (C-52), tempestividade: o acórdão foi disponibilizado no DJEN em 16/09/2026 e publicado em 17/09/2026 (ID 89716844); contados 5 dias úteis (CPC 1.023) a partir de 18/09, o prazo terminaria em 24/09/2026, e os embargos foram protocolados em 25/09/2026, às 14h39 (ID 90149858). Os autos recebidos não trazem a intimação do embargante pelo PJe (a certidão ID 90066759 registra só a ciência do Distrito Federal, em 24/09/2026, e o Distrito Federal não alegou intempestividade). Se a ciência do embargante foi só pelo DJEN, os embargos são intempestivos e o voto passa a 'não conheço'; se foi posterior, fica como está. Mantive 'conheço' por falta dessa prova.</w:t>
      </w:r>
    </w:p>
  </w:comment>
  <w:comment w:id="2" w:author="Minuta GDSXSR" w:initials="MG" w:date="2026-10-30T16:45:19Z">
    <w:p>
      <w:pPr>
        <w:pStyle w:val="CommentText"/>
      </w:pPr>
      <w:r>
        <w:rPr>
          <w:rStyle w:val="CommentReference"/>
        </w:rPr>
        <w:annotationRef/>
      </w:r>
      <w:r>
        <w:t>MINUTA GDSXSR — Texto literal (C-63): CPC, art. 1.022: “Art. 1.022. Cabem embargos de declaração contra qualquer decisão judicial para: I - esclarecer obscuridade ou eliminar contradição; II - suprir omissão de ponto ou questão sobre o qual devia se pronunciar o juiz de ofício ou a requerimento; III - corrigir erro material. Parágrafo único. Considera-se omissa a decisão que: I - deixe de se manifestar sobre tese firmada em julgamento de casos repetitivos ou em incidente de assunção de competência aplicável ao caso sob julgamento; II - incorra em qualquer das condutas descritas no art. 489, § 1º.” (fonte: iajus, texto da Lei 13.105/2015 conforme o Planalto).</w:t>
      </w:r>
    </w:p>
  </w:comment>
  <w:comment w:id="3" w:author="Minuta GDSXSR" w:initials="MG" w:date="2026-10-30T16:45:19Z">
    <w:p>
      <w:pPr>
        <w:pStyle w:val="CommentText"/>
      </w:pPr>
      <w:r>
        <w:rPr>
          <w:rStyle w:val="CommentReference"/>
        </w:rPr>
        <w:annotationRef/>
      </w:r>
      <w:r>
        <w:t>MINUTA GDSXSR — Pendência (C-52, C-67, C-72): o iajus devolveu ementa, processo, relator e data de julgamento do acórdão da 4ª Turma Cível (Proc. 0715037-11.2024.8.07.0003, Aiston Henrique de Sousa, j. 18/03/2026), mas não o número do acórdão nem o DJe; a página do JurisDF não pôde ser lida pela ferramenta (bloqueio de robôs). Completar número e DJe no JurisDF. O item 6 da ementa, transcrito no capítulo do voto, foi conferido na ementa devolvida pelo iajus. O mesmo acórdão cita, como precedente do Relator, o Acórdão 2065883 (Proc. 0701401-30.2024.8.07.0018, Des. Sérgio Rocha, j. 06/11/2025, DJe 24/11/2025), que não foi lido por inteiro.</w:t>
      </w:r>
    </w:p>
  </w:comment>
  <w:comment w:id="4" w:author="Minuta GDSXSR" w:initials="MG" w:date="2026-10-30T16:45:19Z">
    <w:p>
      <w:pPr>
        <w:pStyle w:val="CommentText"/>
      </w:pPr>
      <w:r>
        <w:rPr>
          <w:rStyle w:val="CommentReference"/>
        </w:rPr>
        <w:annotationRef/>
      </w:r>
      <w:r>
        <w:t>MINUTA GDSXSR — Conferido nos autos: o art. 505, I, do CPC não aparece nas razões da apelação (ID 78303710) nem nas nove alegações resumidas no acórdão (ID 87700402); só surge nos embargos (ID 90149858). Texto literal (C-63): CPC, art. 505: “Art. 505. Nenhum juiz decidirá novamente as questões já decididas relativas à mesma lide, salvo: I - se, tratando-se de relação jurídica de trato continuado, sobreveio modificação no estado de fato ou de direito, caso em que poderá a parte pedir a revisão do que foi estatuído na sentença;” (fonte: iajus, texto da Lei 13.105/2015 conforme o Planalto).</w:t>
      </w:r>
    </w:p>
  </w:comment>
  <w:comment w:id="5" w:author="Minuta GDSXSR" w:initials="MG" w:date="2026-10-30T16:45:19Z">
    <w:p>
      <w:pPr>
        <w:pStyle w:val="CommentText"/>
      </w:pPr>
      <w:r>
        <w:rPr>
          <w:rStyle w:val="CommentReference"/>
        </w:rPr>
        <w:annotationRef/>
      </w:r>
      <w:r>
        <w:t>MINUTA GDSXSR — Número do processo da ação individual: o acórdão, os embargos e a certidão de trânsito (ID 68674938) citam o 0740818-40.2017.8.07.0016; a sentença do cumprimento e as contrarrazões do Distrito Federal citam o 0744459-36.2017.8.07.0016. Mantive o do acórdão, que coincide com os embargos e com a certidão; a divergência não altera o resultado. Texto transcrito literalmente do acórdão (ID 87700402), sem as quebras de linha do PDF.</w:t>
      </w:r>
    </w:p>
  </w:comment>
  <w:comment w:id="6" w:author="Minuta GDSXSR" w:initials="MG" w:date="2026-10-30T16:45:19Z">
    <w:p>
      <w:pPr>
        <w:pStyle w:val="CommentText"/>
      </w:pPr>
      <w:r>
        <w:rPr>
          <w:rStyle w:val="CommentReference"/>
        </w:rPr>
        <w:annotationRef/>
      </w:r>
      <w:r>
        <w:t>MINUTA GDSXSR — Fórmula da contradição interna do perfil EMD (item 3), mantida sem alteração (C-3H). A contradição alegada nos embargos não é interna: o embargante discorda da prevalência dada à coisa julgada individual, o que é inconformismo meritório.</w:t>
      </w:r>
    </w:p>
  </w:comment>
</w:comments>
</file>

<file path=word/commentsExtended.xml><?xml version="1.0" encoding="utf-8"?>
<w15:commentsEx xmlns:mc="http://schemas.openxmlformats.org/markup-compatibility/2006" xmlns:w15="http://schemas.microsoft.com/office/word/2012/wordml" mc:Ignorable="w15">
  <w15:commentEx w15:done="0" w15:paraId="53946126"/>
  <w15:commentEx w15:done="0" w15:paraId="1617252E"/>
  <w15:commentEx w15:done="0" w15:paraId="1D8DCDBF" w15:paraIdParent="1617252E"/>
  <w15:commentEx w15:done="0" w15:paraId="6029EBB5" w15:paraIdParent="1617252E"/>
  <w15:commentEx w15:done="0" w15:paraId="79AC0CEC"/>
  <w15:commentEx w15:done="0" w15:paraId="7D5E3CA3"/>
  <w15:commentEx w15:done="0" w15:paraId="09ED36C1"/>
  <w15:commentEx w15:done="0" w15:paraId="664BFDE5"/>
  <w15:commentEx w15:done="0" w15:paraId="76C8CC23"/>
  <w15:commentEx w15:done="0" w15:paraId="0E1AF305" w15:paraIdParent="5394612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E13722" w16cex:dateUtc="2025-01-15T20:45:00Z"/>
  <w16cex:commentExtensible w16cex:durableId="62876044" w16cex:dateUtc="2025-02-13T20:01:00Z"/>
  <w16cex:commentExtensible w16cex:durableId="107D5E84" w16cex:dateUtc="2025-02-16T14:29:00Z"/>
  <w16cex:commentExtensible w16cex:durableId="12372489" w16cex:dateUtc="2025-02-17T22:51:00Z"/>
  <w16cex:commentExtensible w16cex:durableId="598CE646" w16cex:dateUtc="2025-01-15T20:43:00Z"/>
  <w16cex:commentExtensible w16cex:durableId="5212C952" w16cex:dateUtc="2025-02-17T21:31:00Z"/>
  <w16cex:commentExtensible w16cex:durableId="429EEF6A" w16cex:dateUtc="2025-02-17T22:01:00Z"/>
  <w16cex:commentExtensible w16cex:durableId="1BF6874C" w16cex:dateUtc="2025-02-13T18:55:00Z"/>
  <w16cex:commentExtensible w16cex:durableId="52619A33" w16cex:dateUtc="2025-02-17T22:15:00Z"/>
  <w16cex:commentExtensible w16cex:durableId="5040A6A6" w16cex:dateUtc="2025-02-18T01:02:48.802Z"/>
</w16cex:commentsExtensible>
</file>

<file path=word/commentsIds.xml><?xml version="1.0" encoding="utf-8"?>
<w16cid:commentsIds xmlns:mc="http://schemas.openxmlformats.org/markup-compatibility/2006" xmlns:w16cid="http://schemas.microsoft.com/office/word/2016/wordml/cid" mc:Ignorable="w16cid">
  <w16cid:commentId w16cid:paraId="53946126" w16cid:durableId="3FE13722"/>
  <w16cid:commentId w16cid:paraId="1617252E" w16cid:durableId="62876044"/>
  <w16cid:commentId w16cid:paraId="1D8DCDBF" w16cid:durableId="107D5E84"/>
  <w16cid:commentId w16cid:paraId="6029EBB5" w16cid:durableId="12372489"/>
  <w16cid:commentId w16cid:paraId="79AC0CEC" w16cid:durableId="598CE646"/>
  <w16cid:commentId w16cid:paraId="7D5E3CA3" w16cid:durableId="5212C952"/>
  <w16cid:commentId w16cid:paraId="09ED36C1" w16cid:durableId="429EEF6A"/>
  <w16cid:commentId w16cid:paraId="664BFDE5" w16cid:durableId="1BF6874C"/>
  <w16cid:commentId w16cid:paraId="76C8CC23" w16cid:durableId="52619A33"/>
  <w16cid:commentId w16cid:paraId="0E1AF305" w16cid:durableId="5040A6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