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asks.xml" ContentType="application/vnd.ms-office.documenttask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xmlns:wp14="http://schemas.microsoft.com/office/word/2010/wordml" w:rsidTr="7A6EA4F2" w14:paraId="32AA7D4D" wp14:textId="77777777">
        <w:tc>
          <w:tcPr>
            <w:tcW w:w="2608" w:type="dxa"/>
            <w:tcMar/>
            <w:vAlign w:val="center"/>
          </w:tcPr>
          <w:p w14:paraId="672A6659" wp14:textId="77777777">
            <w:pPr>
              <w:spacing w:line="240" w:lineRule="auto"/>
              <w:jc w:val="center"/>
            </w:pPr>
            <w:r w:rsidR="7A6EA4F2">
              <w:drawing>
                <wp:inline xmlns:wp14="http://schemas.microsoft.com/office/word/2010/wordprocessingDrawing" wp14:editId="3625830C" wp14:anchorId="7C4C8523">
                  <wp:extent cx="1512000" cy="426918"/>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imbre.png"/>
                          <pic:cNvPicPr/>
                        </pic:nvPicPr>
                        <pic:blipFill>
                          <a:blip xmlns:r="http://schemas.openxmlformats.org/officeDocument/2006/relationships" r:embed="rId10"/>
                          <a:stretch>
                            <a:fillRect/>
                          </a:stretch>
                        </pic:blipFill>
                        <pic:spPr>
                          <a:xfrm>
                            <a:off x="0" y="0"/>
                            <a:ext cx="1512000" cy="426918"/>
                          </a:xfrm>
                          <a:prstGeom prst="rect"/>
                        </pic:spPr>
                      </pic:pic>
                    </a:graphicData>
                  </a:graphic>
                </wp:inline>
              </w:drawing>
            </w:r>
          </w:p>
        </w:tc>
        <w:tc>
          <w:tcPr>
            <w:tcW w:w="5896" w:type="dxa"/>
            <w:tcMar/>
            <w:vAlign w:val="center"/>
          </w:tcPr>
          <w:p w14:paraId="056807CB" wp14:textId="77777777">
            <w:pPr>
              <w:spacing w:before="0" w:after="0" w:line="240" w:lineRule="auto"/>
              <w:jc w:val="left"/>
            </w:pPr>
            <w:r>
              <w:rPr>
                <w:b/>
                <w:color w:val="000000"/>
                <w:sz w:val="24"/>
              </w:rPr>
              <w:t>Poder Judiciário da União</w:t>
            </w:r>
          </w:p>
          <w:p w14:paraId="0C21EA25" wp14:textId="77777777">
            <w:pPr>
              <w:spacing w:before="0" w:after="0" w:line="240" w:lineRule="auto"/>
              <w:jc w:val="left"/>
            </w:pPr>
            <w:r>
              <w:rPr>
                <w:b w:val="0"/>
                <w:color w:val="000000"/>
                <w:sz w:val="22"/>
              </w:rPr>
              <w:t>Tribunal de Justiça do Distrito Federal e dos Territórios</w:t>
            </w:r>
          </w:p>
          <w:p w14:paraId="5F994615" wp14:textId="77777777">
            <w:pPr>
              <w:spacing w:before="0" w:after="0" w:line="240" w:lineRule="auto"/>
              <w:jc w:val="left"/>
            </w:pPr>
            <w:r>
              <w:rPr>
                <w:b w:val="0"/>
                <w:color w:val="000000"/>
                <w:sz w:val="22"/>
              </w:rPr>
              <w:t>GDSXSR</w:t>
            </w:r>
          </w:p>
          <w:p w14:paraId="51F8A651" wp14:textId="77777777">
            <w:pPr>
              <w:spacing w:before="0" w:after="0" w:line="240" w:lineRule="auto"/>
              <w:jc w:val="left"/>
            </w:pPr>
            <w:r>
              <w:rPr>
                <w:b w:val="0"/>
                <w:color w:val="000000"/>
                <w:sz w:val="22"/>
              </w:rPr>
              <w:t>GABINETE DO DESEMBARGADOR SÉRGIO ROCHA</w:t>
            </w:r>
          </w:p>
        </w:tc>
      </w:tr>
    </w:tbl>
    <w:p xmlns:wp14="http://schemas.microsoft.com/office/word/2010/wordml" w14:paraId="0A37501D" wp14:textId="77777777">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xmlns:wp14="http://schemas.microsoft.com/office/word/2010/wordml" w:rsidTr="7A6EA4F2" w14:paraId="443659CF" wp14:textId="77777777">
        <w:tc>
          <w:tcPr>
            <w:tcW w:w="2268" w:type="dxa"/>
            <w:tcMar/>
          </w:tcPr>
          <w:p w14:paraId="6F66D78F" wp14:textId="77777777">
            <w:pPr>
              <w:spacing w:before="0" w:after="0" w:line="360" w:lineRule="auto"/>
              <w:jc w:val="left"/>
            </w:pPr>
            <w:r>
              <w:rPr>
                <w:b w:val="0"/>
                <w:i w:val="0"/>
                <w:color w:val="000000"/>
                <w:sz w:val="24"/>
              </w:rPr>
              <w:t>Órgão</w:t>
            </w:r>
          </w:p>
        </w:tc>
        <w:tc>
          <w:tcPr>
            <w:tcW w:w="397" w:type="dxa"/>
            <w:tcMar/>
          </w:tcPr>
          <w:p w14:paraId="2127E81B"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BC8F9EF" wp14:textId="77777777">
            <w:pPr>
              <w:spacing w:before="0" w:after="0" w:line="360" w:lineRule="auto"/>
              <w:jc w:val="left"/>
            </w:pPr>
            <w:commentRangeStart w:id="0"/>
            <w:commentRangeStart w:id="295744808"/>
            <w:commentRangeStart w:id="2008684976"/>
            <w:r>
              <w:rPr>
                <w:b w:val="0"/>
                <w:i w:val="0"/>
                <w:color w:val="000000"/>
                <w:sz w:val="24"/>
              </w:rPr>
              <w:t>4ª Turma Cível</w:t>
            </w:r>
            <w:commentRangeEnd w:id="0"/>
            <w:r>
              <w:rPr>
                <w:rStyle w:val="CommentReference"/>
              </w:rPr>
              <w:commentReference w:id="0"/>
            </w:r>
            <w:commentRangeEnd w:id="295744808"/>
            <w:r>
              <w:rPr>
                <w:rStyle w:val="CommentReference"/>
              </w:rPr>
              <w:commentReference w:id="295744808"/>
            </w:r>
            <w:commentRangeEnd w:id="2008684976"/>
            <w:r>
              <w:rPr>
                <w:rStyle w:val="CommentReference"/>
              </w:rPr>
              <w:commentReference w:id="2008684976"/>
            </w:r>
          </w:p>
        </w:tc>
      </w:tr>
      <w:tr xmlns:wp14="http://schemas.microsoft.com/office/word/2010/wordml" w:rsidTr="7A6EA4F2" w14:paraId="2314F5FD" wp14:textId="77777777">
        <w:tc>
          <w:tcPr>
            <w:tcW w:w="2268" w:type="dxa"/>
            <w:tcMar/>
          </w:tcPr>
          <w:p w14:paraId="671FE9FF" wp14:textId="77777777">
            <w:pPr>
              <w:spacing w:before="0" w:after="0" w:line="360" w:lineRule="auto"/>
              <w:jc w:val="left"/>
            </w:pPr>
            <w:r>
              <w:rPr>
                <w:b w:val="0"/>
                <w:i w:val="0"/>
                <w:color w:val="000000"/>
                <w:sz w:val="24"/>
              </w:rPr>
              <w:t>Classe</w:t>
            </w:r>
          </w:p>
        </w:tc>
        <w:tc>
          <w:tcPr>
            <w:tcW w:w="397" w:type="dxa"/>
            <w:tcMar/>
          </w:tcPr>
          <w:p w14:paraId="67A8245E"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5598A79" wp14:textId="77777777">
            <w:pPr>
              <w:spacing w:before="0" w:after="0" w:line="360" w:lineRule="auto"/>
              <w:jc w:val="left"/>
            </w:pPr>
            <w:r w:rsidRPr="7A6EA4F2" w:rsidR="7A6EA4F2">
              <w:rPr>
                <w:b w:val="0"/>
                <w:bCs w:val="0"/>
                <w:i w:val="0"/>
                <w:iCs w:val="0"/>
                <w:color w:val="000000" w:themeColor="text1" w:themeTint="FF" w:themeShade="FF"/>
                <w:sz w:val="24"/>
                <w:szCs w:val="24"/>
              </w:rPr>
              <w:t>Agravo de Instrumento</w:t>
            </w:r>
          </w:p>
        </w:tc>
      </w:tr>
      <w:tr xmlns:wp14="http://schemas.microsoft.com/office/word/2010/wordml" w:rsidTr="7A6EA4F2" w14:paraId="5BDF8430" wp14:textId="77777777">
        <w:tc>
          <w:tcPr>
            <w:tcW w:w="2268" w:type="dxa"/>
            <w:tcMar/>
          </w:tcPr>
          <w:p w14:paraId="7386709D" wp14:textId="77777777">
            <w:pPr>
              <w:spacing w:before="0" w:after="0" w:line="360" w:lineRule="auto"/>
              <w:jc w:val="left"/>
            </w:pPr>
            <w:r>
              <w:rPr>
                <w:b w:val="0"/>
                <w:i w:val="0"/>
                <w:color w:val="000000"/>
                <w:sz w:val="24"/>
              </w:rPr>
              <w:t>Processo nº</w:t>
            </w:r>
          </w:p>
        </w:tc>
        <w:tc>
          <w:tcPr>
            <w:tcW w:w="397" w:type="dxa"/>
            <w:tcMar/>
          </w:tcPr>
          <w:p w14:paraId="56A8759A"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62AC99E" wp14:textId="77777777">
            <w:pPr>
              <w:spacing w:before="0" w:after="0" w:line="360" w:lineRule="auto"/>
              <w:jc w:val="left"/>
            </w:pPr>
            <w:r w:rsidRPr="7A6EA4F2" w:rsidR="7A6EA4F2">
              <w:rPr>
                <w:b w:val="0"/>
                <w:bCs w:val="0"/>
                <w:i w:val="0"/>
                <w:iCs w:val="0"/>
                <w:color w:val="000000" w:themeColor="text1" w:themeTint="FF" w:themeShade="FF"/>
                <w:sz w:val="24"/>
                <w:szCs w:val="24"/>
              </w:rPr>
              <w:t>0726017-55.2026.8.07.0000</w:t>
            </w:r>
          </w:p>
        </w:tc>
      </w:tr>
      <w:tr xmlns:wp14="http://schemas.microsoft.com/office/word/2010/wordml" w:rsidTr="7A6EA4F2" w14:paraId="09A71FFC" wp14:textId="77777777">
        <w:tc>
          <w:tcPr>
            <w:tcW w:w="2268" w:type="dxa"/>
            <w:tcMar/>
          </w:tcPr>
          <w:p w14:paraId="15901F2C" wp14:textId="77777777">
            <w:pPr>
              <w:spacing w:before="0" w:after="0" w:line="360" w:lineRule="auto"/>
              <w:jc w:val="left"/>
            </w:pPr>
            <w:r>
              <w:rPr>
                <w:b w:val="0"/>
                <w:i w:val="0"/>
                <w:color w:val="000000"/>
                <w:sz w:val="24"/>
              </w:rPr>
              <w:t>Agravante (s)</w:t>
            </w:r>
          </w:p>
        </w:tc>
        <w:tc>
          <w:tcPr>
            <w:tcW w:w="397" w:type="dxa"/>
            <w:tcMar/>
          </w:tcPr>
          <w:p w14:paraId="18329EB3"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692CFCBD" wp14:textId="77777777">
            <w:pPr>
              <w:spacing w:before="0" w:after="0" w:line="360" w:lineRule="auto"/>
              <w:jc w:val="left"/>
            </w:pPr>
            <w:commentRangeStart w:id="3"/>
            <w:r>
              <w:rPr>
                <w:b w:val="0"/>
                <w:i w:val="0"/>
                <w:color w:val="000000"/>
                <w:sz w:val="24"/>
              </w:rPr>
              <w:t>ADRIANO DA SILVA</w:t>
            </w:r>
            <w:commentRangeEnd w:id="3"/>
            <w:r>
              <w:rPr>
                <w:rStyle w:val="CommentReference"/>
              </w:rPr>
              <w:commentReference w:id="3"/>
            </w:r>
          </w:p>
        </w:tc>
      </w:tr>
      <w:tr xmlns:wp14="http://schemas.microsoft.com/office/word/2010/wordml" w:rsidTr="7A6EA4F2" w14:paraId="404FA486" wp14:textId="77777777">
        <w:tc>
          <w:tcPr>
            <w:tcW w:w="2268" w:type="dxa"/>
            <w:tcMar/>
          </w:tcPr>
          <w:p w14:paraId="384CDB1A" wp14:textId="77777777">
            <w:pPr>
              <w:spacing w:before="0" w:after="0" w:line="360" w:lineRule="auto"/>
              <w:jc w:val="left"/>
            </w:pPr>
            <w:r>
              <w:rPr>
                <w:b w:val="0"/>
                <w:i w:val="0"/>
                <w:color w:val="000000"/>
                <w:sz w:val="24"/>
              </w:rPr>
              <w:t>Agravado (a)(s)</w:t>
            </w:r>
          </w:p>
        </w:tc>
        <w:tc>
          <w:tcPr>
            <w:tcW w:w="397" w:type="dxa"/>
            <w:tcMar/>
          </w:tcPr>
          <w:p w14:paraId="370CD116"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15C7692" wp14:textId="77777777">
            <w:pPr>
              <w:spacing w:before="0" w:after="0" w:line="360" w:lineRule="auto"/>
              <w:jc w:val="left"/>
            </w:pPr>
            <w:r>
              <w:rPr>
                <w:b w:val="0"/>
                <w:i w:val="0"/>
                <w:color w:val="000000"/>
                <w:sz w:val="24"/>
              </w:rPr>
              <w:t>RAPHAELY FERREIRA DA SILVA</w:t>
            </w:r>
          </w:p>
        </w:tc>
      </w:tr>
      <w:tr xmlns:wp14="http://schemas.microsoft.com/office/word/2010/wordml" w:rsidTr="7A6EA4F2" w14:paraId="3D9F16A8" wp14:textId="77777777">
        <w:tc>
          <w:tcPr>
            <w:tcW w:w="2268" w:type="dxa"/>
            <w:tcMar/>
          </w:tcPr>
          <w:p w14:paraId="42E49AD6" wp14:textId="77777777">
            <w:pPr>
              <w:spacing w:before="0" w:after="0" w:line="360" w:lineRule="auto"/>
              <w:jc w:val="left"/>
            </w:pPr>
            <w:r>
              <w:rPr>
                <w:b w:val="0"/>
                <w:i w:val="0"/>
                <w:color w:val="000000"/>
                <w:sz w:val="24"/>
              </w:rPr>
              <w:t>Relator(a)</w:t>
            </w:r>
          </w:p>
        </w:tc>
        <w:tc>
          <w:tcPr>
            <w:tcW w:w="397" w:type="dxa"/>
            <w:tcMar/>
          </w:tcPr>
          <w:p w14:paraId="69B263F4"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2DE0CA21" wp14:textId="77777777">
            <w:pPr>
              <w:spacing w:before="0" w:after="0" w:line="360" w:lineRule="auto"/>
              <w:jc w:val="left"/>
            </w:pPr>
            <w:r>
              <w:rPr>
                <w:b/>
                <w:i w:val="0"/>
                <w:color w:val="000000"/>
                <w:sz w:val="24"/>
              </w:rPr>
              <w:t>Des. Sérgio Rocha</w:t>
            </w:r>
          </w:p>
        </w:tc>
      </w:tr>
    </w:tbl>
    <w:p xmlns:wp14="http://schemas.microsoft.com/office/word/2010/wordml" w14:paraId="5DAB6C7B" wp14:textId="77777777">
      <w:pPr/>
    </w:p>
    <w:p>
      <w:pPr>
        <w:spacing w:line="360" w:lineRule="auto" w:after="0" w:before="0"/>
        <w:jc w:val="left"/>
      </w:pPr>
      <w:r>
        <w:rPr>
          <w:rFonts w:ascii="Arial" w:hAnsi="Arial" w:cs="Arial"/>
          <w:b/>
          <w:i w:val="0"/>
          <w:color w:val="000000"/>
          <w:sz w:val="28"/>
        </w:rPr>
        <w:t>EMENTA</w:t>
      </w:r>
    </w:p>
    <w:p>
      <w:pPr>
        <w:spacing w:line="360" w:lineRule="auto" w:after="0" w:before="0"/>
        <w:jc w:val="both"/>
      </w:pPr>
      <w:commentRangeStart w:id="0"/>
      <w:r>
        <w:rPr>
          <w:rFonts w:ascii="Arial" w:hAnsi="Arial" w:cs="Arial"/>
          <w:b w:val="0"/>
          <w:i w:val="0"/>
          <w:color w:val="000000"/>
          <w:sz w:val="28"/>
        </w:rPr>
        <w:t>AGRAVO DE INSTRUMENTO. PROCESSO CIVIL. CUMPRIMENTO DE SENTENÇA DE ALIMENTOS. IMPUGNAÇÃO. GORJETAS EXTRAFOLHA. QUITAÇÃO NÃO COMPROVADA. EXCESSO DE EXECUÇÃO NÃO ALEGADO NA ORIGEM. SUPRESSÃO DE INSTÂNCIA. RECURSO NÃO PROVIDO.</w:t>
      </w:r>
      <w:commentRangeEnd w:id="0"/>
      <w:r>
        <w:rPr>
          <w:rStyle w:val="CommentReference"/>
        </w:rPr>
        <w:commentReference w:id="0"/>
      </w:r>
    </w:p>
    <w:p>
      <w:pPr>
        <w:spacing w:line="360" w:lineRule="auto" w:after="0" w:before="0"/>
        <w:jc w:val="both"/>
      </w:pPr>
      <w:r>
        <w:rPr>
          <w:rFonts w:ascii="Arial" w:hAnsi="Arial" w:cs="Arial"/>
          <w:b/>
          <w:i w:val="0"/>
          <w:color w:val="000000"/>
          <w:sz w:val="28"/>
        </w:rPr>
        <w:t>I. Caso em exame</w:t>
      </w:r>
    </w:p>
    <w:p>
      <w:pPr>
        <w:spacing w:line="360" w:lineRule="auto" w:after="0" w:before="0"/>
        <w:jc w:val="both"/>
      </w:pPr>
      <w:commentRangeStart w:id="1"/>
      <w:r>
        <w:rPr>
          <w:rFonts w:ascii="Arial" w:hAnsi="Arial" w:cs="Arial"/>
          <w:b w:val="0"/>
          <w:i w:val="0"/>
          <w:color w:val="000000"/>
          <w:sz w:val="28"/>
        </w:rPr>
        <w:t>1. Cumprimento de sentença de alimentos proposto por alimentanda, pessoa natural, com 18 anos de idade, contra o genitor e alimentante, pessoa natural, visando à cobrança das parcelas de janeiro/2021 a novembro/2025 (R$ 46.202,66).</w:t>
      </w:r>
      <w:commentRangeEnd w:id="1"/>
      <w:r>
        <w:rPr>
          <w:rStyle w:val="CommentReference"/>
        </w:rPr>
        <w:commentReference w:id="1"/>
      </w:r>
    </w:p>
    <w:p>
      <w:pPr>
        <w:spacing w:line="360" w:lineRule="auto" w:after="0" w:before="0"/>
        <w:jc w:val="both"/>
      </w:pPr>
      <w:r>
        <w:rPr>
          <w:rFonts w:ascii="Arial" w:hAnsi="Arial" w:cs="Arial"/>
          <w:b w:val="0"/>
          <w:i w:val="0"/>
          <w:color w:val="000000"/>
          <w:sz w:val="28"/>
        </w:rPr>
        <w:t>2. A decisão agravada rejeitou a impugnação do executado e determinou o prosseguimento da execução, com penhora on-line.</w:t>
      </w:r>
    </w:p>
    <w:p>
      <w:pPr>
        <w:spacing w:line="360" w:lineRule="auto" w:after="0" w:before="0"/>
        <w:jc w:val="both"/>
      </w:pPr>
      <w:r>
        <w:rPr>
          <w:rFonts w:ascii="Arial" w:hAnsi="Arial" w:cs="Arial"/>
          <w:b w:val="0"/>
          <w:i w:val="0"/>
          <w:color w:val="000000"/>
          <w:sz w:val="28"/>
        </w:rPr>
        <w:t>3. O executado agrava sustentando que parte das gorjetas constava dos contracheques, que a sentença trabalhista não serve de base integral da execução e que há risco de cobrança em duplicidade, e requer a remessa dos autos à Contadoria Judicial.</w:t>
      </w:r>
    </w:p>
    <w:p>
      <w:pPr>
        <w:spacing w:line="360" w:lineRule="auto" w:after="0" w:before="0"/>
        <w:jc w:val="both"/>
      </w:pPr>
      <w:r>
        <w:rPr>
          <w:rFonts w:ascii="Arial" w:hAnsi="Arial" w:cs="Arial"/>
          <w:b/>
          <w:i w:val="0"/>
          <w:color w:val="000000"/>
          <w:sz w:val="28"/>
        </w:rPr>
        <w:t>II. Questão em discussão</w:t>
      </w:r>
    </w:p>
    <w:p>
      <w:pPr>
        <w:spacing w:line="360" w:lineRule="auto" w:after="0" w:before="0"/>
        <w:jc w:val="both"/>
      </w:pPr>
      <w:r>
        <w:rPr>
          <w:rFonts w:ascii="Arial" w:hAnsi="Arial" w:cs="Arial"/>
          <w:b w:val="0"/>
          <w:i w:val="0"/>
          <w:color w:val="000000"/>
          <w:sz w:val="28"/>
        </w:rPr>
        <w:t>4. Há duas questões em discussão: (i) saber se os descontos em folha comprovam a quitação do débito alimentar e afastam a presunção de gorjetas recebidas fora da folha; e (ii) saber se o excesso de execução e a remessa à Contadoria, não deduzidos na impugnação, podem ser examinados no agravo.</w:t>
      </w:r>
    </w:p>
    <w:p>
      <w:pPr>
        <w:spacing w:line="360" w:lineRule="auto" w:after="0" w:before="0"/>
        <w:jc w:val="both"/>
      </w:pPr>
      <w:r>
        <w:rPr>
          <w:rFonts w:ascii="Arial" w:hAnsi="Arial" w:cs="Arial"/>
          <w:b/>
          <w:i w:val="0"/>
          <w:color w:val="000000"/>
          <w:sz w:val="28"/>
        </w:rPr>
        <w:t>III. Razões de decidir</w:t>
      </w:r>
    </w:p>
    <w:p>
      <w:pPr>
        <w:spacing w:line="360" w:lineRule="auto" w:after="0" w:before="0"/>
        <w:jc w:val="both"/>
      </w:pPr>
      <w:r>
        <w:rPr>
          <w:rFonts w:ascii="Arial" w:hAnsi="Arial" w:cs="Arial"/>
          <w:b w:val="0"/>
          <w:i w:val="0"/>
          <w:color w:val="000000"/>
          <w:sz w:val="28"/>
        </w:rPr>
        <w:t>5. Os descontos em folha não comprovam a quitação do débito alimentar de 2021 a 2023, pois os contracheques registram apenas estimativa de gorjetas, de R$ 330,00 a R$ 390,60, e a sentença trabalhista reconheceu média real de R$ 3.000,00 (ID 275990366 e 272588621, do processo de origem).</w:t>
      </w:r>
    </w:p>
    <w:p>
      <w:pPr>
        <w:spacing w:line="360" w:lineRule="auto" w:after="0" w:before="0"/>
        <w:jc w:val="both"/>
      </w:pPr>
      <w:r>
        <w:rPr>
          <w:rFonts w:ascii="Arial" w:hAnsi="Arial" w:cs="Arial"/>
          <w:b w:val="0"/>
          <w:i w:val="0"/>
          <w:color w:val="000000"/>
          <w:sz w:val="28"/>
        </w:rPr>
        <w:t>6. A sentença trabalhista foi usada como elemento probatório da remuneração, e não como base automática da execução, e não se evidencia, de plano, risco de cobrança em duplicidade (ID 85699338).</w:t>
      </w:r>
    </w:p>
    <w:p>
      <w:pPr>
        <w:spacing w:line="360" w:lineRule="auto" w:after="0" w:before="0"/>
        <w:jc w:val="both"/>
      </w:pPr>
      <w:r>
        <w:rPr>
          <w:rFonts w:ascii="Arial" w:hAnsi="Arial" w:cs="Arial"/>
          <w:b w:val="0"/>
          <w:i w:val="0"/>
          <w:color w:val="000000"/>
          <w:sz w:val="28"/>
        </w:rPr>
        <w:t>7. O excesso de execução, a remessa à Contadoria e a limitação da constrição ao valor incontroverso não foram deduzidos na impugnação, que não indicou o valor tido por correto nem apresentou demonstrativo (CPC 525 §§ 4º e 5º), e seu exame diretamente no agravo configura supressão de instância.</w:t>
      </w:r>
    </w:p>
    <w:p>
      <w:pPr>
        <w:spacing w:line="360" w:lineRule="auto" w:after="0" w:before="0"/>
        <w:jc w:val="both"/>
      </w:pPr>
      <w:r>
        <w:rPr>
          <w:rFonts w:ascii="Arial" w:hAnsi="Arial" w:cs="Arial"/>
          <w:b/>
          <w:i w:val="0"/>
          <w:color w:val="000000"/>
          <w:sz w:val="28"/>
        </w:rPr>
        <w:t>IV. Dispositivo</w:t>
      </w:r>
    </w:p>
    <w:p>
      <w:pPr>
        <w:spacing w:line="360" w:lineRule="auto" w:after="0" w:before="0"/>
        <w:jc w:val="both"/>
      </w:pPr>
      <w:r>
        <w:rPr>
          <w:rFonts w:ascii="Arial" w:hAnsi="Arial" w:cs="Arial"/>
          <w:b w:val="0"/>
          <w:i w:val="0"/>
          <w:color w:val="000000"/>
          <w:sz w:val="28"/>
        </w:rPr>
        <w:t>8. Negou-se provimento ao agravo de instrumento do executado.</w:t>
      </w:r>
    </w:p>
    <w:p>
      <w:pPr>
        <w:spacing w:line="360" w:lineRule="auto" w:after="0"/>
        <w:jc w:val="both"/>
      </w:pPr>
      <w:r>
        <w:rPr>
          <w:rFonts w:ascii="Arial" w:hAnsi="Arial" w:cs="Arial"/>
          <w:b w:val="0"/>
          <w:i w:val="0"/>
          <w:color w:val="000000"/>
          <w:sz w:val="28"/>
        </w:rPr>
        <w:t>________</w:t>
      </w:r>
    </w:p>
    <w:p>
      <w:pPr>
        <w:spacing w:line="360" w:lineRule="auto" w:after="0" w:before="0"/>
        <w:jc w:val="both"/>
      </w:pPr>
      <w:r>
        <w:rPr>
          <w:rFonts w:ascii="Arial" w:hAnsi="Arial" w:cs="Arial"/>
          <w:b w:val="0"/>
          <w:i/>
          <w:color w:val="000000"/>
          <w:sz w:val="26"/>
        </w:rPr>
        <w:t>Dispositivos relevantes citados:</w:t>
      </w:r>
      <w:r>
        <w:rPr>
          <w:rFonts w:ascii="Arial" w:hAnsi="Arial" w:cs="Arial"/>
          <w:b w:val="0"/>
          <w:i w:val="0"/>
          <w:color w:val="000000"/>
          <w:sz w:val="26"/>
        </w:rPr>
        <w:t xml:space="preserve"> CPC, art. 525, §§ 4º e 5º.</w:t>
      </w:r>
    </w:p>
    <w:p>
      <w:pPr>
        <w:spacing w:line="360" w:lineRule="auto" w:after="0" w:before="0"/>
        <w:jc w:val="both"/>
      </w:pPr>
      <w:commentRangeStart w:id="2"/>
      <w:r>
        <w:rPr>
          <w:rFonts w:ascii="Arial" w:hAnsi="Arial" w:cs="Arial"/>
          <w:b w:val="0"/>
          <w:i/>
          <w:color w:val="000000"/>
          <w:sz w:val="26"/>
        </w:rPr>
        <w:t>Jurisprudência relevante citada:</w:t>
      </w:r>
      <w:r>
        <w:rPr>
          <w:rFonts w:ascii="Arial" w:hAnsi="Arial" w:cs="Arial"/>
          <w:b w:val="0"/>
          <w:i w:val="0"/>
          <w:color w:val="000000"/>
          <w:sz w:val="26"/>
        </w:rPr>
        <w:t xml:space="preserve"> TJDFT, Acórdão nº 2087896, Rel. Des. Edi Maria Coutinho Bizzi, 4ª Turma Cível, j. 05/02/2026, DJe 23/02/2026.</w:t>
      </w:r>
      <w:commentRangeEnd w:id="2"/>
      <w:r>
        <w:rPr>
          <w:rStyle w:val="CommentReference"/>
        </w:rPr>
        <w:commentReference w:id="2"/>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commentRangeStart w:id="3"/>
      <w:r>
        <w:rPr>
          <w:rFonts w:ascii="Arial" w:hAnsi="Arial" w:cs="Arial"/>
          <w:b/>
          <w:i w:val="0"/>
          <w:color w:val="EE0000"/>
          <w:sz w:val="28"/>
          <w:highlight w:val="yellow"/>
        </w:rPr>
        <w:t>RESUMO DO AGRAVO EM SENTIDO CONTRÁRIO AO VOTO</w:t>
      </w:r>
      <w:commentRangeEnd w:id="3"/>
      <w:r>
        <w:rPr>
          <w:rStyle w:val="CommentReference"/>
        </w:rPr>
        <w:commentReference w:id="3"/>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1. Premissa equivocada sobre as gorjetas</w:t>
      </w:r>
    </w:p>
    <w:p>
      <w:pPr>
        <w:spacing w:line="360" w:lineRule="auto" w:after="0" w:before="0"/>
        <w:ind w:hanging="357" w:left="720"/>
        <w:jc w:val="both"/>
      </w:pPr>
      <w:r>
        <w:rPr>
          <w:rFonts w:ascii="Arial" w:hAnsi="Arial" w:cs="Arial"/>
          <w:b w:val="0"/>
          <w:i w:val="0"/>
          <w:color w:val="EE0000"/>
          <w:sz w:val="28"/>
        </w:rPr>
        <w:t>A decisão tratou a totalidade das gorjetas como extrafolha, mas parcela delas constava dos contracheques, que registram estimativa de gorjetas e descontos de pensão sobre a remuneração formal; só a diferença não registrada poderia ser executada.</w:t>
      </w:r>
    </w:p>
    <w:p>
      <w:pPr>
        <w:spacing w:line="360" w:lineRule="auto" w:after="0" w:before="0"/>
        <w:jc w:val="both"/>
      </w:pPr>
      <w:r>
        <w:rPr>
          <w:rFonts w:ascii="Arial" w:hAnsi="Arial" w:cs="Arial"/>
          <w:b/>
          <w:i w:val="0"/>
          <w:color w:val="EE0000"/>
          <w:sz w:val="28"/>
        </w:rPr>
        <w:t>2. Sentença trabalhista como base automática</w:t>
      </w:r>
    </w:p>
    <w:p>
      <w:pPr>
        <w:spacing w:line="360" w:lineRule="auto" w:after="0" w:before="0"/>
        <w:ind w:hanging="357" w:left="720"/>
        <w:jc w:val="both"/>
      </w:pPr>
      <w:r>
        <w:rPr>
          <w:rFonts w:ascii="Arial" w:hAnsi="Arial" w:cs="Arial"/>
          <w:b w:val="0"/>
          <w:i w:val="0"/>
          <w:color w:val="EE0000"/>
          <w:sz w:val="28"/>
        </w:rPr>
        <w:t>A sentença trabalhista prova a remuneração global, mas não dispensa a apuração mês a mês dos valores lançados nos contracheques e dos descontos feitos, nem produz coisa julgada sobre o valor devido na execução de alimentos.</w:t>
      </w:r>
    </w:p>
    <w:p>
      <w:pPr>
        <w:spacing w:line="360" w:lineRule="auto" w:after="0" w:before="0"/>
        <w:jc w:val="both"/>
      </w:pPr>
      <w:r>
        <w:rPr>
          <w:rFonts w:ascii="Arial" w:hAnsi="Arial" w:cs="Arial"/>
          <w:b/>
          <w:i w:val="0"/>
          <w:color w:val="EE0000"/>
          <w:sz w:val="28"/>
        </w:rPr>
        <w:t>3. Excesso de execução e duplicidade</w:t>
      </w:r>
    </w:p>
    <w:p>
      <w:pPr>
        <w:spacing w:line="360" w:lineRule="auto" w:after="0" w:before="0"/>
        <w:ind w:hanging="357" w:left="720"/>
        <w:jc w:val="both"/>
      </w:pPr>
      <w:r>
        <w:rPr>
          <w:rFonts w:ascii="Arial" w:hAnsi="Arial" w:cs="Arial"/>
          <w:b w:val="0"/>
          <w:i w:val="0"/>
          <w:color w:val="EE0000"/>
          <w:sz w:val="28"/>
        </w:rPr>
        <w:t>Há risco de cobrança em duplicidade e de enriquecimento sem causa (CC 884), o que caracteriza excesso de execução (CPC 525 § 1º V), e a proteção do crédito alimentar não autoriza cobrar mais que o devido.</w:t>
      </w:r>
    </w:p>
    <w:p>
      <w:pPr>
        <w:spacing w:line="360" w:lineRule="auto" w:after="0" w:before="0"/>
        <w:jc w:val="both"/>
      </w:pPr>
      <w:r>
        <w:rPr>
          <w:rFonts w:ascii="Arial" w:hAnsi="Arial" w:cs="Arial"/>
          <w:b/>
          <w:i w:val="0"/>
          <w:color w:val="EE0000"/>
          <w:sz w:val="28"/>
        </w:rPr>
        <w:t>4. Necessidade de cálculo técnico</w:t>
      </w:r>
    </w:p>
    <w:p>
      <w:pPr>
        <w:spacing w:line="360" w:lineRule="auto" w:after="0" w:before="0"/>
        <w:ind w:hanging="357" w:left="720"/>
        <w:jc w:val="both"/>
      </w:pPr>
      <w:r>
        <w:rPr>
          <w:rFonts w:ascii="Arial" w:hAnsi="Arial" w:cs="Arial"/>
          <w:b w:val="0"/>
          <w:i w:val="0"/>
          <w:color w:val="EE0000"/>
          <w:sz w:val="28"/>
        </w:rPr>
        <w:t>A controvérsia é contábil e exige remessa à Contadoria Judicial (CPC 370), para conferir contracheques, descontos e rubricas de gorjetas, sem rediscutir o título.</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efeito suspensivo, a reforma da decisão para remeter os autos à Contadoria e limitar a execução à diferença apurada, subsidiariamente limitar as constrições ao valor incontroverso (R$ 8.262,62).</w:t>
      </w:r>
    </w:p>
    <w:p>
      <w:pPr>
        <w:pageBreakBefore/>
        <w:spacing w:line="360" w:lineRule="auto" w:after="0" w:before="0"/>
        <w:jc w:val="center"/>
      </w:pPr>
      <w:r>
        <w:rPr>
          <w:rFonts w:ascii="Arial" w:hAnsi="Arial" w:cs="Arial"/>
          <w:b/>
          <w:i w:val="0"/>
          <w:color w:val="000000"/>
          <w:sz w:val="28"/>
        </w:rPr>
        <w:t>RELATÓRIO</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color w:val="000000"/>
          <w:sz w:val="28"/>
        </w:rPr>
        <w:t>Adoto o relatório da liminar (ID 85699338):</w:t>
      </w:r>
      <w:commentRangeEnd w:id="4"/>
      <w:r>
        <w:rPr>
          <w:rStyle w:val="CommentReference"/>
        </w:rPr>
        <w:commentReference w:id="4"/>
      </w:r>
    </w:p>
    <w:p>
      <w:pPr>
        <w:spacing w:line="360" w:lineRule="auto" w:after="0"/>
        <w:ind w:firstLine="2268"/>
      </w:pPr>
      <w:r>
        <w:rPr>
          <w:sz w:val="28"/>
        </w:rPr>
      </w:r>
    </w:p>
    <w:p>
      <w:pPr>
        <w:spacing w:line="360" w:lineRule="auto" w:after="0" w:before="0"/>
        <w:ind w:firstLine="1134" w:left="2268"/>
        <w:jc w:val="both"/>
      </w:pPr>
      <w:r>
        <w:rPr>
          <w:rFonts w:ascii="Arial" w:hAnsi="Arial" w:cs="Arial"/>
          <w:b w:val="0"/>
          <w:i/>
          <w:color w:val="000000"/>
          <w:sz w:val="26"/>
        </w:rPr>
        <w:t>“Trata-se de cumprimento de sentença de obrigação de prestar alimentos, pelo rito da expropriação, ajuizado por R. F. D. S. (18 anos) em face de A. D. S., com o objetivo de cobrar débito alimentar referente ao período de janeiro de 2021 a novembro de 2025, no valor aproximado de R$ 46.202,66.</w:t>
      </w:r>
    </w:p>
    <w:p>
      <w:pPr>
        <w:spacing w:line="360" w:lineRule="auto" w:after="0" w:before="0"/>
        <w:ind w:firstLine="1134" w:left="2268"/>
        <w:jc w:val="both"/>
      </w:pPr>
      <w:r>
        <w:rPr>
          <w:rFonts w:ascii="Arial" w:hAnsi="Arial" w:cs="Arial"/>
          <w:b w:val="0"/>
          <w:i/>
          <w:color w:val="000000"/>
          <w:sz w:val="26"/>
        </w:rPr>
        <w:t>O Juízo de origem rejeitou a impugnação apresentada pelo executado, ao fundamento de que não houve comprovação suficiente de quitação integral da obrigação alimentar, especialmente quanto aos valores incidentes sobre rendimentos extrafolha, reconhecendo a plausibilidade da cobrança das diferenças e determinando o prosseguimento dos atos executivos, inclusive com medidas constritivas.</w:t>
      </w:r>
    </w:p>
    <w:p>
      <w:pPr>
        <w:spacing w:line="360" w:lineRule="auto" w:after="0" w:before="0"/>
        <w:ind w:firstLine="1134" w:left="2268"/>
        <w:jc w:val="both"/>
      </w:pPr>
      <w:r>
        <w:rPr>
          <w:rFonts w:ascii="Arial" w:hAnsi="Arial" w:cs="Arial"/>
          <w:b w:val="0"/>
          <w:i/>
          <w:color w:val="000000"/>
          <w:sz w:val="26"/>
        </w:rPr>
        <w:t xml:space="preserve">O executado interpôs agravo de instrumento alegando, em síntese, que: </w:t>
      </w:r>
      <w:r>
        <w:rPr>
          <w:rFonts w:ascii="Arial" w:hAnsi="Arial" w:cs="Arial"/>
          <w:b/>
          <w:i/>
          <w:color w:val="000000"/>
          <w:sz w:val="26"/>
        </w:rPr>
        <w:t>1)</w:t>
      </w:r>
      <w:r>
        <w:rPr>
          <w:rFonts w:ascii="Arial" w:hAnsi="Arial" w:cs="Arial"/>
          <w:b w:val="0"/>
          <w:i/>
          <w:color w:val="000000"/>
          <w:sz w:val="26"/>
        </w:rPr>
        <w:t xml:space="preserve"> a decisão agravada partiu de premissa equivocada ao considerar como extrafolha a integralidade das gorjetas; </w:t>
      </w:r>
      <w:r>
        <w:rPr>
          <w:rFonts w:ascii="Arial" w:hAnsi="Arial" w:cs="Arial"/>
          <w:b/>
          <w:i/>
          <w:color w:val="000000"/>
          <w:sz w:val="26"/>
        </w:rPr>
        <w:t>2)</w:t>
      </w:r>
      <w:r>
        <w:rPr>
          <w:rFonts w:ascii="Arial" w:hAnsi="Arial" w:cs="Arial"/>
          <w:b w:val="0"/>
          <w:i/>
          <w:color w:val="000000"/>
          <w:sz w:val="26"/>
        </w:rPr>
        <w:t xml:space="preserve"> parte relevante das gorjetas constava dos contracheques e já integrava a base de cálculo da pensão; </w:t>
      </w:r>
      <w:r>
        <w:rPr>
          <w:rFonts w:ascii="Arial" w:hAnsi="Arial" w:cs="Arial"/>
          <w:b/>
          <w:i/>
          <w:color w:val="000000"/>
          <w:sz w:val="26"/>
        </w:rPr>
        <w:t>3)</w:t>
      </w:r>
      <w:r>
        <w:rPr>
          <w:rFonts w:ascii="Arial" w:hAnsi="Arial" w:cs="Arial"/>
          <w:b w:val="0"/>
          <w:i/>
          <w:color w:val="000000"/>
          <w:sz w:val="26"/>
        </w:rPr>
        <w:t xml:space="preserve"> a sentença trabalhista não pode ser utilizada automaticamente como base de cálculo integral da execução; </w:t>
      </w:r>
      <w:r>
        <w:rPr>
          <w:rFonts w:ascii="Arial" w:hAnsi="Arial" w:cs="Arial"/>
          <w:b/>
          <w:i/>
          <w:color w:val="000000"/>
          <w:sz w:val="26"/>
        </w:rPr>
        <w:t>4)</w:t>
      </w:r>
      <w:r>
        <w:rPr>
          <w:rFonts w:ascii="Arial" w:hAnsi="Arial" w:cs="Arial"/>
          <w:b w:val="0"/>
          <w:i/>
          <w:color w:val="000000"/>
          <w:sz w:val="26"/>
        </w:rPr>
        <w:t xml:space="preserve"> há risco de cobrança em duplicidade e excesso de execução; </w:t>
      </w:r>
      <w:r>
        <w:rPr>
          <w:rFonts w:ascii="Arial" w:hAnsi="Arial" w:cs="Arial"/>
          <w:b/>
          <w:i/>
          <w:color w:val="000000"/>
          <w:sz w:val="26"/>
        </w:rPr>
        <w:t>5)</w:t>
      </w:r>
      <w:r>
        <w:rPr>
          <w:rFonts w:ascii="Arial" w:hAnsi="Arial" w:cs="Arial"/>
          <w:b w:val="0"/>
          <w:i/>
          <w:color w:val="000000"/>
          <w:sz w:val="26"/>
        </w:rPr>
        <w:t xml:space="preserve"> a controvérsia demanda apuração técnica mediante remessa à Contadoria Judicial.</w:t>
      </w:r>
    </w:p>
    <w:p>
      <w:pPr>
        <w:spacing w:line="360" w:lineRule="auto" w:after="0" w:before="0"/>
        <w:ind w:firstLine="1134" w:left="2268"/>
        <w:jc w:val="both"/>
      </w:pPr>
      <w:r>
        <w:rPr>
          <w:rFonts w:ascii="Arial" w:hAnsi="Arial" w:cs="Arial"/>
          <w:b w:val="0"/>
          <w:i/>
          <w:color w:val="000000"/>
          <w:sz w:val="26"/>
        </w:rPr>
        <w:t>Requer a concessão de efeito suspensivo para sustar os atos expropriatórios até a apuração do valor efetivamente devido, bem como, no mérito, a reforma da decisão agravada para determinar a reanálise da impugnação e a realização de cálculo técnico.”</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Indeferi o efeito suspensivo (ID 85699338).</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Sem contrarrazões (ID 86816711).</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0000"/>
          <w:sz w:val="28"/>
        </w:rPr>
        <w:t>VOTO</w:t>
      </w:r>
    </w:p>
    <w:p>
      <w:pPr>
        <w:spacing w:line="360" w:lineRule="auto" w:after="0"/>
        <w:ind w:firstLine="2268"/>
      </w:pPr>
      <w:r>
        <w:rPr>
          <w:sz w:val="28"/>
        </w:rPr>
      </w:r>
    </w:p>
    <w:p>
      <w:pPr>
        <w:spacing w:line="360" w:lineRule="auto" w:after="0" w:before="0"/>
        <w:jc w:val="both"/>
      </w:pPr>
      <w:r>
        <w:rPr>
          <w:rFonts w:ascii="Arial" w:hAnsi="Arial" w:cs="Arial"/>
          <w:b/>
          <w:i w:val="0"/>
          <w:color w:val="000000"/>
          <w:sz w:val="28"/>
        </w:rPr>
        <w:t>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color w:val="000000"/>
          <w:sz w:val="28"/>
        </w:rPr>
        <w:t>AGRAVO DE INSTRUMENTO DO EXECUTADO, ADRIANO DA SILVA</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color w:val="000000"/>
          <w:sz w:val="28"/>
        </w:rPr>
        <w:t>Presentes os pressupostos de admissibilidade, conheço do agravo de instrumento.</w:t>
      </w:r>
      <w:commentRangeEnd w:id="5"/>
      <w:r>
        <w:rPr>
          <w:rStyle w:val="CommentReference"/>
        </w:rPr>
        <w:commentReference w:id="5"/>
      </w:r>
    </w:p>
    <w:p>
      <w:pPr>
        <w:spacing w:line="360" w:lineRule="auto" w:after="0"/>
        <w:ind w:firstLine="2268"/>
      </w:pPr>
      <w:r>
        <w:rPr>
          <w:sz w:val="28"/>
        </w:rPr>
      </w:r>
    </w:p>
    <w:p>
      <w:pPr>
        <w:spacing w:line="360" w:lineRule="auto" w:after="0" w:before="0"/>
        <w:jc w:val="center"/>
      </w:pPr>
      <w:r>
        <w:rPr>
          <w:rFonts w:ascii="Arial" w:hAnsi="Arial" w:cs="Arial"/>
          <w:b w:val="0"/>
          <w:i w:val="0"/>
          <w:color w:val="000000"/>
          <w:sz w:val="28"/>
          <w:highlight w:val="yellow"/>
        </w:rPr>
        <w:t>DA AUSÊNCIA DE PROVA DA QUITAÇÃO E DA DESNECESSIDADE DE REMESSA À CONTADORIA</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 xml:space="preserve">O executado/agravante alega que: </w:t>
      </w:r>
      <w:r>
        <w:rPr>
          <w:rFonts w:ascii="Arial" w:hAnsi="Arial" w:cs="Arial"/>
          <w:b/>
          <w:i w:val="0"/>
          <w:color w:val="000000"/>
          <w:sz w:val="28"/>
        </w:rPr>
        <w:t>1)</w:t>
      </w:r>
      <w:r>
        <w:rPr>
          <w:rFonts w:ascii="Arial" w:hAnsi="Arial" w:cs="Arial"/>
          <w:b w:val="0"/>
          <w:i w:val="0"/>
          <w:color w:val="000000"/>
          <w:sz w:val="28"/>
        </w:rPr>
        <w:t xml:space="preserve"> a decisão agravada partiu de premissa equivocada ao considerar como extrafolha a integralidade das gorjetas; </w:t>
      </w:r>
      <w:r>
        <w:rPr>
          <w:rFonts w:ascii="Arial" w:hAnsi="Arial" w:cs="Arial"/>
          <w:b/>
          <w:i w:val="0"/>
          <w:color w:val="000000"/>
          <w:sz w:val="28"/>
        </w:rPr>
        <w:t>2)</w:t>
      </w:r>
      <w:r>
        <w:rPr>
          <w:rFonts w:ascii="Arial" w:hAnsi="Arial" w:cs="Arial"/>
          <w:b w:val="0"/>
          <w:i w:val="0"/>
          <w:color w:val="000000"/>
          <w:sz w:val="28"/>
        </w:rPr>
        <w:t xml:space="preserve"> parte relevante das gorjetas constava dos contracheques e já integrava a base de cálculo da pensão; </w:t>
      </w:r>
      <w:r>
        <w:rPr>
          <w:rFonts w:ascii="Arial" w:hAnsi="Arial" w:cs="Arial"/>
          <w:b/>
          <w:i w:val="0"/>
          <w:color w:val="000000"/>
          <w:sz w:val="28"/>
        </w:rPr>
        <w:t>3)</w:t>
      </w:r>
      <w:r>
        <w:rPr>
          <w:rFonts w:ascii="Arial" w:hAnsi="Arial" w:cs="Arial"/>
          <w:b w:val="0"/>
          <w:i w:val="0"/>
          <w:color w:val="000000"/>
          <w:sz w:val="28"/>
        </w:rPr>
        <w:t xml:space="preserve"> a sentença trabalhista não pode ser utilizada automaticamente como base de cálculo integral da execução; </w:t>
      </w:r>
      <w:r>
        <w:rPr>
          <w:rFonts w:ascii="Arial" w:hAnsi="Arial" w:cs="Arial"/>
          <w:b/>
          <w:i w:val="0"/>
          <w:color w:val="000000"/>
          <w:sz w:val="28"/>
        </w:rPr>
        <w:t>4)</w:t>
      </w:r>
      <w:r>
        <w:rPr>
          <w:rFonts w:ascii="Arial" w:hAnsi="Arial" w:cs="Arial"/>
          <w:b w:val="0"/>
          <w:i w:val="0"/>
          <w:color w:val="000000"/>
          <w:sz w:val="28"/>
        </w:rPr>
        <w:t xml:space="preserve"> há risco de cobrança em duplicidade e excesso de execução; </w:t>
      </w:r>
      <w:r>
        <w:rPr>
          <w:rFonts w:ascii="Arial" w:hAnsi="Arial" w:cs="Arial"/>
          <w:b/>
          <w:i w:val="0"/>
          <w:color w:val="000000"/>
          <w:sz w:val="28"/>
        </w:rPr>
        <w:t>5)</w:t>
      </w:r>
      <w:r>
        <w:rPr>
          <w:rFonts w:ascii="Arial" w:hAnsi="Arial" w:cs="Arial"/>
          <w:b w:val="0"/>
          <w:i w:val="0"/>
          <w:color w:val="000000"/>
          <w:sz w:val="28"/>
        </w:rPr>
        <w:t xml:space="preserve"> a controvérsia demanda apuração técnica mediante remessa à Contadoria Judicial (ID 85626711).</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Requer a reforma da r. decisão agravada para determinar a remessa dos autos à Contadoria Judicial e limitar a execução à diferença apurada.</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highlight w:val="yellow"/>
        </w:rPr>
        <w:t>Sem razão.</w:t>
      </w:r>
    </w:p>
    <w:p>
      <w:pPr>
        <w:spacing w:line="360" w:lineRule="auto" w:after="0"/>
        <w:ind w:firstLine="2268"/>
      </w:pPr>
      <w:r>
        <w:rPr>
          <w:sz w:val="28"/>
        </w:rPr>
      </w:r>
    </w:p>
    <w:p>
      <w:pPr>
        <w:spacing w:line="360" w:lineRule="auto" w:after="0" w:before="0"/>
        <w:ind w:firstLine="2268"/>
        <w:jc w:val="both"/>
      </w:pPr>
      <w:commentRangeStart w:id="6"/>
      <w:r>
        <w:rPr>
          <w:rFonts w:ascii="Arial" w:hAnsi="Arial" w:cs="Arial"/>
          <w:b w:val="0"/>
          <w:i w:val="0"/>
          <w:color w:val="000000"/>
          <w:sz w:val="28"/>
        </w:rPr>
        <w:t>Mantenho as razões expostas na decisão liminar que indeferiu o pedido de efeito suspensivo (ID 85699338):</w:t>
      </w:r>
      <w:commentRangeEnd w:id="6"/>
      <w:r>
        <w:rPr>
          <w:rStyle w:val="CommentReference"/>
        </w:rPr>
        <w:commentReference w:id="6"/>
      </w:r>
    </w:p>
    <w:p>
      <w:pPr>
        <w:spacing w:line="360" w:lineRule="auto" w:after="0"/>
        <w:ind w:firstLine="2268"/>
      </w:pPr>
      <w:r>
        <w:rPr>
          <w:sz w:val="28"/>
        </w:rPr>
      </w:r>
    </w:p>
    <w:p>
      <w:pPr>
        <w:spacing w:line="360" w:lineRule="auto" w:after="0" w:before="0"/>
        <w:ind w:firstLine="1134" w:left="2268"/>
        <w:jc w:val="both"/>
      </w:pPr>
      <w:r>
        <w:rPr>
          <w:rFonts w:ascii="Arial" w:hAnsi="Arial" w:cs="Arial"/>
          <w:b w:val="0"/>
          <w:i/>
          <w:color w:val="000000"/>
          <w:sz w:val="26"/>
        </w:rPr>
        <w:t>“(...) Não vislumbro a probabilidade do direito alegado, ao menos nesta sede de cognição sumária.</w:t>
      </w:r>
    </w:p>
    <w:p>
      <w:pPr>
        <w:spacing w:line="360" w:lineRule="auto" w:after="0" w:before="0"/>
        <w:ind w:firstLine="1134" w:left="2268"/>
        <w:jc w:val="both"/>
      </w:pPr>
      <w:r>
        <w:rPr>
          <w:rFonts w:ascii="Arial" w:hAnsi="Arial" w:cs="Arial"/>
          <w:b w:val="0"/>
          <w:i/>
          <w:color w:val="000000"/>
          <w:sz w:val="26"/>
        </w:rPr>
        <w:t>Consta da r. decisão agravada, in verbis:</w:t>
      </w:r>
    </w:p>
    <w:p>
      <w:pPr>
        <w:spacing w:line="360" w:lineRule="auto" w:after="0" w:before="0"/>
        <w:ind w:left="3402"/>
        <w:jc w:val="both"/>
      </w:pPr>
      <w:r>
        <w:rPr>
          <w:rFonts w:ascii="Arial" w:hAnsi="Arial" w:cs="Arial"/>
          <w:b w:val="0"/>
          <w:i/>
          <w:color w:val="000000"/>
          <w:sz w:val="26"/>
        </w:rPr>
        <w:t>‘(...) 7) De início, consigne que não há controvérsia acerca do valor da pensão mensal apontada na inicial – R$ 661,03.</w:t>
      </w:r>
    </w:p>
    <w:p>
      <w:pPr>
        <w:spacing w:line="360" w:lineRule="auto" w:after="0" w:before="0"/>
        <w:ind w:left="3402"/>
        <w:jc w:val="both"/>
      </w:pPr>
      <w:r>
        <w:rPr>
          <w:rFonts w:ascii="Arial" w:hAnsi="Arial" w:cs="Arial"/>
          <w:b w:val="0"/>
          <w:i/>
          <w:color w:val="000000"/>
          <w:sz w:val="26"/>
        </w:rPr>
        <w:t>8) Além disso, verifica-se que a controvérsia instaurada não diz respeito aos valores descontados diretamente em folha de pagamento, os quais, ao que tudo indica, já foram considerados pela exequente em seus cálculos, mas sim à alegada ausência de adimplemento da verba alimentar incidente sobre rendimentos percebidos extrafolha pelo executado.</w:t>
      </w:r>
    </w:p>
    <w:p>
      <w:pPr>
        <w:spacing w:line="360" w:lineRule="auto" w:after="0" w:before="0"/>
        <w:ind w:left="3402"/>
        <w:jc w:val="both"/>
      </w:pPr>
      <w:r>
        <w:rPr>
          <w:rFonts w:ascii="Arial" w:hAnsi="Arial" w:cs="Arial"/>
          <w:b w:val="0"/>
          <w:i/>
          <w:color w:val="000000"/>
          <w:sz w:val="26"/>
        </w:rPr>
        <w:t>9) Nesse contexto, observa-se que a exequente trouxe aos autos sentença proferida em reclamação trabalhista, autos nº 0000240-57.2025.5.10.0018, movida pelo próprio executado, em que se reconheceu este recebia gorjetas no importe de R$ 3.000,00, fixando salário mensal no valor de R$ 4.576,38, já incluídas as gorjetas.</w:t>
      </w:r>
    </w:p>
    <w:p>
      <w:pPr>
        <w:spacing w:line="360" w:lineRule="auto" w:after="0" w:before="0"/>
        <w:ind w:left="3402"/>
        <w:jc w:val="both"/>
      </w:pPr>
      <w:r>
        <w:rPr>
          <w:rFonts w:ascii="Arial" w:hAnsi="Arial" w:cs="Arial"/>
          <w:b w:val="0"/>
          <w:i/>
          <w:color w:val="000000"/>
          <w:sz w:val="26"/>
        </w:rPr>
        <w:t>10) Embora a sentença trabalhista não produza coisa julgada material automática perante este Juízo quanto à integralidade da obrigação alimentar, constitui relevante elemento probatório acerca da composição remuneratória efetivamente percebida pelo executado no período executado, especialmente diante da natureza salarial das gorjetas, nos termos do art. 457 da CLT.</w:t>
      </w:r>
    </w:p>
    <w:p>
      <w:pPr>
        <w:spacing w:line="360" w:lineRule="auto" w:after="0" w:before="0"/>
        <w:ind w:left="3402"/>
        <w:jc w:val="both"/>
      </w:pPr>
      <w:r>
        <w:rPr>
          <w:rFonts w:ascii="Arial" w:hAnsi="Arial" w:cs="Arial"/>
          <w:b w:val="0"/>
          <w:i/>
          <w:color w:val="000000"/>
          <w:sz w:val="26"/>
        </w:rPr>
        <w:t>11) Assim, em cognição própria desta fase executiva, a alegação genérica do executado de que os descontos realizados em contracheque quitariam integralmente a obrigação alimentar não se mostra suficiente, por si só, para afastar a plausibilidade da pretensão executiva, notadamente porque a exequente afirma ter abatido todos os valores oficialmente descontados, perseguindo apenas as diferenças incidentes sobre verbas remuneratórias não incluídas na folha salarial.</w:t>
      </w:r>
    </w:p>
    <w:p>
      <w:pPr>
        <w:spacing w:line="360" w:lineRule="auto" w:after="0" w:before="0"/>
        <w:ind w:left="3402"/>
        <w:jc w:val="both"/>
      </w:pPr>
      <w:r>
        <w:rPr>
          <w:rFonts w:ascii="Arial" w:hAnsi="Arial" w:cs="Arial"/>
          <w:b w:val="0"/>
          <w:i/>
          <w:color w:val="000000"/>
          <w:sz w:val="26"/>
        </w:rPr>
        <w:t>12) Ademais, competia ao executado demonstrar, de forma específica e documental, a quitação integral da obrigação alimentar, inclusive quanto à incidência sobre eventuais rendimentos variáveis ou informais que compunham sua remuneração habitual, ônus do qual não se desincumbiu satisfatoriamente. (...)’ (ID 276365906, origem) – Grifei.</w:t>
      </w:r>
    </w:p>
    <w:p>
      <w:pPr>
        <w:spacing w:line="360" w:lineRule="auto" w:after="0" w:before="0"/>
        <w:ind w:firstLine="1134" w:left="2268"/>
        <w:jc w:val="both"/>
      </w:pPr>
      <w:r>
        <w:rPr>
          <w:rFonts w:ascii="Arial" w:hAnsi="Arial" w:cs="Arial"/>
          <w:b w:val="0"/>
          <w:i/>
          <w:color w:val="000000"/>
          <w:sz w:val="26"/>
        </w:rPr>
        <w:t>Observa-se que a decisão agravada não afirmou, de forma absoluta, que a integralidade das gorjetas seria extrafolha, mas reconheceu a plausibilidade da tese executiva diante de elementos probatórios que indicam a existência de parcela remuneratória não contemplada nos descontos habituais, o que afasta a alegada premissa equivocada.</w:t>
      </w:r>
    </w:p>
    <w:p>
      <w:pPr>
        <w:spacing w:line="360" w:lineRule="auto" w:after="0" w:before="0"/>
        <w:ind w:firstLine="1134" w:left="2268"/>
        <w:jc w:val="both"/>
      </w:pPr>
      <w:r>
        <w:rPr>
          <w:rFonts w:ascii="Arial" w:hAnsi="Arial" w:cs="Arial"/>
          <w:b w:val="0"/>
          <w:i/>
          <w:color w:val="000000"/>
          <w:sz w:val="26"/>
        </w:rPr>
        <w:t>Embora o agravante sustente que parte das gorjetas constava dos contracheques, tal circunstância, por si só, não demonstra erro na decisão agravada, que expressamente consignou que os valores formalmente descontados já teriam sido considerados, subsistindo controvérsia apenas quanto às diferenças apontadas pela exequente.</w:t>
      </w:r>
    </w:p>
    <w:p>
      <w:pPr>
        <w:spacing w:line="360" w:lineRule="auto" w:after="0" w:before="0"/>
        <w:ind w:firstLine="1134" w:left="2268"/>
        <w:jc w:val="both"/>
      </w:pPr>
      <w:r>
        <w:rPr>
          <w:rFonts w:ascii="Arial" w:hAnsi="Arial" w:cs="Arial"/>
          <w:b w:val="0"/>
          <w:i/>
          <w:color w:val="000000"/>
          <w:sz w:val="26"/>
        </w:rPr>
        <w:t>No ponto, verifica-se que, dentre os diversos contracheques juntados pelo executado/agravante, apenas aqueles referentes ao período de maio/2024 a dezembro/2024 consignam a rubrica “gorjeta”, em valor aproximado de R$ 3.000,00 (ID 275990366, págs. 40/44, origem).</w:t>
      </w:r>
    </w:p>
    <w:p>
      <w:pPr>
        <w:spacing w:line="360" w:lineRule="auto" w:after="0" w:before="0"/>
        <w:ind w:firstLine="1134" w:left="2268"/>
        <w:jc w:val="both"/>
      </w:pPr>
      <w:r>
        <w:rPr>
          <w:rFonts w:ascii="Arial" w:hAnsi="Arial" w:cs="Arial"/>
          <w:b w:val="0"/>
          <w:i/>
          <w:color w:val="000000"/>
          <w:sz w:val="26"/>
        </w:rPr>
        <w:t>Nas demais folhas, compreendidas entre janeiro/2020 e abril/2024 (ID 275990366, págs. 8/39, origem), não há qualquer indicação dessa verba, o que autoriza, em juízo de cognição sumária, a presunção de que o executado/agravante percebia tais importâncias de maneira informal, sem o correspondente adimplemento da obrigação alimentar.</w:t>
      </w:r>
    </w:p>
    <w:p>
      <w:pPr>
        <w:spacing w:line="360" w:lineRule="auto" w:after="0" w:before="0"/>
        <w:ind w:firstLine="1134" w:left="2268"/>
        <w:jc w:val="both"/>
      </w:pPr>
      <w:r>
        <w:rPr>
          <w:rFonts w:ascii="Arial" w:hAnsi="Arial" w:cs="Arial"/>
          <w:b w:val="0"/>
          <w:i/>
          <w:color w:val="000000"/>
          <w:sz w:val="26"/>
        </w:rPr>
        <w:t>Além disso, verifica-se que o Juízo de origem não utilizou automaticamente a sentença trabalhista como base integral da execução, mas como elemento indiciário relevante acerca da composição da remuneração do executado, o que se mostra adequado nesta fase processual.</w:t>
      </w:r>
    </w:p>
    <w:p>
      <w:pPr>
        <w:spacing w:line="360" w:lineRule="auto" w:after="0" w:before="0"/>
        <w:ind w:firstLine="1134" w:left="2268"/>
        <w:jc w:val="both"/>
      </w:pPr>
      <w:r>
        <w:rPr>
          <w:rFonts w:ascii="Arial" w:hAnsi="Arial" w:cs="Arial"/>
          <w:b w:val="0"/>
          <w:i/>
          <w:color w:val="000000"/>
          <w:sz w:val="26"/>
        </w:rPr>
        <w:t>Portanto, não se evidencia, de plano, risco de cobrança em duplicidade ou de excesso de execução que enseje a intervenção da Contadoria Judicial.</w:t>
      </w:r>
    </w:p>
    <w:p>
      <w:pPr>
        <w:spacing w:line="360" w:lineRule="auto" w:after="0" w:before="0"/>
        <w:ind w:firstLine="1134" w:left="2268"/>
        <w:jc w:val="both"/>
      </w:pPr>
      <w:commentRangeStart w:id="7"/>
      <w:r>
        <w:rPr>
          <w:rFonts w:ascii="Arial" w:hAnsi="Arial" w:cs="Arial"/>
          <w:b w:val="0"/>
          <w:i/>
          <w:color w:val="000000"/>
          <w:sz w:val="26"/>
        </w:rPr>
        <w:t>Eventual conclusão em sentido contrário demanda uma análise mais detida da questão e recomenda a instauração do prévio contraditório.” (ID 85699338)</w:t>
      </w:r>
      <w:commentRangeEnd w:id="7"/>
      <w:r>
        <w:rPr>
          <w:rStyle w:val="CommentReference"/>
        </w:rPr>
        <w:commentReference w:id="7"/>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Acrescento que os contracheques de 2021 a 2023 registram apenas estimativa de gorjetas, de R$ 330,00 a R$ 390,60, valor muito inferior à média de R$ 3.000,00 reconhecida pela sentença trabalhista com base nos cadernos de controle e na prova oral (ID 275990366 e 272588621, do processo de origem).</w:t>
      </w:r>
    </w:p>
    <w:p>
      <w:pPr>
        <w:spacing w:line="360" w:lineRule="auto" w:after="0"/>
        <w:ind w:firstLine="2268"/>
      </w:pPr>
      <w:r>
        <w:rPr>
          <w:sz w:val="28"/>
        </w:rPr>
      </w:r>
    </w:p>
    <w:p>
      <w:pPr>
        <w:spacing w:line="360" w:lineRule="auto" w:after="0" w:before="0"/>
        <w:ind w:firstLine="2268"/>
        <w:jc w:val="both"/>
      </w:pPr>
      <w:commentRangeStart w:id="8"/>
      <w:r>
        <w:rPr>
          <w:rFonts w:ascii="Arial" w:hAnsi="Arial" w:cs="Arial"/>
          <w:b w:val="0"/>
          <w:i w:val="0"/>
          <w:color w:val="000000"/>
          <w:sz w:val="28"/>
          <w:highlight w:val="yellow"/>
        </w:rPr>
        <w:t>No mais, a impugnação limitou-se a afirmar que os descontos em folha quitaram o período de 01/2021 a 12/2024 e a reconhecer o débito de 2025, sem alegar excesso de execução, indicar o valor tido por correto ou apresentar demonstrativo (CPC 525 §§ 4º e 5º; ID 275990363, do processo de origem).</w:t>
      </w:r>
      <w:commentRangeEnd w:id="8"/>
      <w:r>
        <w:rPr>
          <w:rStyle w:val="CommentReference"/>
        </w:rPr>
        <w:commentReference w:id="8"/>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O executado tampouco se manifestou sobre a petição da exequente que apontou as gorjetas extrafolha (ID 276011964 e 276071772, do processo de origem).</w:t>
      </w:r>
    </w:p>
    <w:p>
      <w:pPr>
        <w:spacing w:line="360" w:lineRule="auto" w:after="0"/>
        <w:ind w:firstLine="2268"/>
      </w:pPr>
      <w:r>
        <w:rPr>
          <w:sz w:val="28"/>
        </w:rPr>
      </w:r>
    </w:p>
    <w:p>
      <w:pPr>
        <w:spacing w:line="360" w:lineRule="auto" w:after="0" w:before="0"/>
        <w:ind w:firstLine="2268"/>
        <w:jc w:val="both"/>
      </w:pPr>
      <w:commentRangeStart w:id="9"/>
      <w:r>
        <w:rPr>
          <w:rFonts w:ascii="Arial" w:hAnsi="Arial" w:cs="Arial"/>
          <w:b w:val="0"/>
          <w:i w:val="0"/>
          <w:color w:val="000000"/>
          <w:sz w:val="28"/>
        </w:rPr>
        <w:t>Depois da decisão agravada, o executado repetiu a tese em impugnação à penhora, rejeitada pelo d. Juízo de origem por não ter apresentado demonstrativo discriminado e atualizado do valor tido por correto (ID 281564522 e 288203170, do processo de origem).</w:t>
      </w:r>
      <w:commentRangeEnd w:id="9"/>
      <w:r>
        <w:rPr>
          <w:rStyle w:val="CommentReference"/>
        </w:rPr>
        <w:commentReference w:id="9"/>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Dessa forma, o excesso de execução, a remessa à Contadoria e a limitação da constrição ao valor incontroverso surgem apenas no agravo, e seu exame por esta instância configuraria supressão de instância.</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Nesse sentido:</w:t>
      </w:r>
    </w:p>
    <w:p>
      <w:pPr>
        <w:spacing w:line="360" w:lineRule="auto" w:after="0"/>
        <w:ind w:firstLine="2268"/>
      </w:pPr>
      <w:r>
        <w:rPr>
          <w:sz w:val="28"/>
        </w:rPr>
      </w:r>
    </w:p>
    <w:p>
      <w:pPr>
        <w:spacing w:line="360" w:lineRule="auto" w:after="0" w:before="0"/>
        <w:ind w:left="2268"/>
        <w:jc w:val="both"/>
      </w:pPr>
      <w:commentRangeStart w:id="10"/>
      <w:r>
        <w:rPr>
          <w:rFonts w:ascii="Arial" w:hAnsi="Arial" w:cs="Arial"/>
          <w:b w:val="0"/>
          <w:i/>
          <w:color w:val="000000"/>
          <w:sz w:val="26"/>
        </w:rPr>
        <w:t>“(...) 5. Se o pedido de substituição da penhora não foi apresentado perante o juízo de origem, sua apreciação por este Tribunal implicaria supressão de instância, vedada pelo art. 1.013, § 1º, do CPC. (...)” (Acórdão 2087896, 0738156-73.2025.8.07.0000, Relator(a): EDI MARIA COUTINHO BIZZI, 4ª TURMA CÍVEL, data de julgamento: 05/02/2026, publicado no DJe: 23/02/2026.) – Grifei</w:t>
      </w:r>
      <w:commentRangeEnd w:id="10"/>
      <w:r>
        <w:rPr>
          <w:rStyle w:val="CommentReference"/>
        </w:rPr>
        <w:commentReference w:id="10"/>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highlight w:val="yellow"/>
        </w:rPr>
        <w:t>Esse o quadro, deve ser mantida a r. decisão agravada que rejeitou a impugnação ao cumprimento de sentença e determinou o prosseguimento da execução (ID 276365906, do processo de origem).</w:t>
      </w:r>
    </w:p>
    <w:p>
      <w:pPr>
        <w:spacing w:line="360" w:lineRule="auto" w:after="0"/>
        <w:ind w:firstLine="2268"/>
      </w:pPr>
      <w:r>
        <w:rPr>
          <w:sz w:val="28"/>
        </w:rPr>
      </w:r>
    </w:p>
    <w:p>
      <w:pPr>
        <w:spacing w:line="360" w:lineRule="auto" w:after="0" w:before="0"/>
        <w:jc w:val="center"/>
      </w:pPr>
      <w:r>
        <w:rPr>
          <w:rFonts w:ascii="Arial" w:hAnsi="Arial" w:cs="Arial"/>
          <w:b/>
          <w:i w:val="0"/>
          <w:color w:val="00000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 xml:space="preserve">Ante o exposto, </w:t>
      </w:r>
      <w:r>
        <w:rPr>
          <w:rFonts w:ascii="Arial" w:hAnsi="Arial" w:cs="Arial"/>
          <w:b/>
          <w:i w:val="0"/>
          <w:color w:val="000000"/>
          <w:sz w:val="28"/>
        </w:rPr>
        <w:t>nego provimento</w:t>
      </w:r>
      <w:r>
        <w:rPr>
          <w:rFonts w:ascii="Arial" w:hAnsi="Arial" w:cs="Arial"/>
          <w:b w:val="0"/>
          <w:i w:val="0"/>
          <w:color w:val="000000"/>
          <w:sz w:val="28"/>
        </w:rPr>
        <w:t xml:space="preserve"> ao agravo de instrumento do executado, ADRIANO DA SILVA.</w:t>
      </w:r>
    </w:p>
    <w:p>
      <w:pPr>
        <w:spacing w:line="360" w:lineRule="auto" w:after="0"/>
        <w:ind w:firstLine="2268"/>
      </w:pPr>
      <w:r>
        <w:rPr>
          <w:sz w:val="28"/>
        </w:rPr>
      </w:r>
    </w:p>
    <w:p>
      <w:pPr>
        <w:spacing w:line="360" w:lineRule="auto" w:after="0" w:before="0"/>
        <w:ind w:firstLine="2268"/>
        <w:jc w:val="both"/>
      </w:pPr>
      <w:r>
        <w:rPr>
          <w:rFonts w:ascii="Arial" w:hAnsi="Arial" w:cs="Arial"/>
          <w:b w:val="0"/>
          <w:i w:val="0"/>
          <w:color w:val="000000"/>
          <w:sz w:val="28"/>
        </w:rPr>
        <w:t>É como voto.</w:t>
      </w:r>
    </w:p>
    <w:p>
      <w:pPr>
        <w:pageBreakBefore/>
        <w:spacing w:line="360" w:lineRule="auto" w:after="0" w:before="0"/>
        <w:jc w:val="center"/>
      </w:pPr>
      <w:r>
        <w:rPr>
          <w:rFonts w:ascii="Arial" w:hAnsi="Arial" w:cs="Arial"/>
          <w:b/>
          <w:i w:val="0"/>
          <w:color w:val="00B050"/>
          <w:sz w:val="27"/>
        </w:rPr>
        <w:t>DECISÃO AGRAVADA (ID 276365906 do processo de origem)</w:t>
      </w:r>
    </w:p>
    <w:p>
      <w:pPr>
        <w:spacing w:line="360" w:lineRule="auto" w:after="0" w:before="0"/>
        <w:jc w:val="both"/>
      </w:pPr>
      <w:r>
        <w:rPr>
          <w:rFonts w:ascii="Arial" w:hAnsi="Arial" w:cs="Arial"/>
          <w:b w:val="0"/>
          <w:i w:val="0"/>
          <w:color w:val="00B050"/>
          <w:sz w:val="27"/>
        </w:rPr>
        <w:t>Poder Judiciário da União</w:t>
      </w:r>
    </w:p>
    <w:p>
      <w:pPr>
        <w:spacing w:line="360" w:lineRule="auto" w:after="0" w:before="0"/>
        <w:jc w:val="both"/>
      </w:pPr>
      <w:r>
        <w:rPr>
          <w:rFonts w:ascii="Arial" w:hAnsi="Arial" w:cs="Arial"/>
          <w:b w:val="0"/>
          <w:i w:val="0"/>
          <w:color w:val="00B050"/>
          <w:sz w:val="27"/>
        </w:rPr>
        <w:t>TRIBUNAL DE JUSTIÇA DO DISTRITO FEDERAL E DOS TERRITÓRIOS</w:t>
      </w:r>
    </w:p>
    <w:p>
      <w:pPr>
        <w:spacing w:line="360" w:lineRule="auto" w:after="0" w:before="0"/>
        <w:jc w:val="both"/>
      </w:pPr>
      <w:r>
        <w:rPr>
          <w:rFonts w:ascii="Arial" w:hAnsi="Arial" w:cs="Arial"/>
          <w:b w:val="0"/>
          <w:i w:val="0"/>
          <w:color w:val="00B050"/>
          <w:sz w:val="27"/>
        </w:rPr>
        <w:t>3ª Vara de Família e de Órfãos e Sucessões de Ceilândia</w:t>
      </w:r>
    </w:p>
    <w:p>
      <w:pPr>
        <w:spacing w:line="360" w:lineRule="auto" w:after="0" w:before="0"/>
        <w:jc w:val="both"/>
      </w:pPr>
      <w:r>
        <w:rPr>
          <w:rFonts w:ascii="Arial" w:hAnsi="Arial" w:cs="Arial"/>
          <w:b w:val="0"/>
          <w:i w:val="0"/>
          <w:color w:val="00B050"/>
          <w:sz w:val="27"/>
        </w:rPr>
        <w:t>Número do processo: 0712066-82.2026.8.07.0003</w:t>
      </w:r>
    </w:p>
    <w:p>
      <w:pPr>
        <w:spacing w:line="360" w:lineRule="auto" w:after="0" w:before="0"/>
        <w:jc w:val="both"/>
      </w:pPr>
      <w:r>
        <w:rPr>
          <w:rFonts w:ascii="Arial" w:hAnsi="Arial" w:cs="Arial"/>
          <w:b w:val="0"/>
          <w:i w:val="0"/>
          <w:color w:val="00B050"/>
          <w:sz w:val="27"/>
        </w:rPr>
        <w:t>Classe: CUMPRIMENTO DE SENTENÇA DE OBRIGAÇÃO DE PRESTAR ALIMENTOS (12246)</w:t>
      </w:r>
    </w:p>
    <w:p>
      <w:pPr>
        <w:spacing w:line="360" w:lineRule="auto" w:after="0" w:before="0"/>
        <w:jc w:val="both"/>
      </w:pPr>
      <w:r>
        <w:rPr>
          <w:rFonts w:ascii="Arial" w:hAnsi="Arial" w:cs="Arial"/>
          <w:b w:val="0"/>
          <w:i w:val="0"/>
          <w:color w:val="00B050"/>
          <w:sz w:val="27"/>
        </w:rPr>
        <w:t>EXEQUENTE: R. F. D. S.</w:t>
      </w:r>
    </w:p>
    <w:p>
      <w:pPr>
        <w:spacing w:line="360" w:lineRule="auto" w:after="0" w:before="0"/>
        <w:jc w:val="both"/>
      </w:pPr>
      <w:r>
        <w:rPr>
          <w:rFonts w:ascii="Arial" w:hAnsi="Arial" w:cs="Arial"/>
          <w:b w:val="0"/>
          <w:i w:val="0"/>
          <w:color w:val="00B050"/>
          <w:sz w:val="27"/>
        </w:rPr>
        <w:t>EXECUTADO: A. D. S.</w:t>
      </w:r>
    </w:p>
    <w:p>
      <w:pPr>
        <w:spacing w:line="360" w:lineRule="auto" w:after="0" w:before="0"/>
        <w:jc w:val="both"/>
      </w:pPr>
      <w:r>
        <w:rPr>
          <w:rFonts w:ascii="Arial" w:hAnsi="Arial" w:cs="Arial"/>
          <w:b w:val="0"/>
          <w:i w:val="0"/>
          <w:color w:val="00B050"/>
          <w:sz w:val="27"/>
        </w:rPr>
        <w:t>DECISÃO INTERLOCUTÓRIA</w:t>
      </w:r>
    </w:p>
    <w:p>
      <w:pPr>
        <w:spacing w:line="360" w:lineRule="auto" w:after="0" w:before="0"/>
        <w:jc w:val="both"/>
      </w:pPr>
      <w:r>
        <w:rPr>
          <w:rFonts w:ascii="Arial" w:hAnsi="Arial" w:cs="Arial"/>
          <w:b w:val="0"/>
          <w:i w:val="0"/>
          <w:color w:val="00B050"/>
          <w:sz w:val="27"/>
        </w:rPr>
        <w:t>1) Trata-se de cumprimento de sentença de obrigação alimentar, pelo rito da penhora, promovido para cobrança das parcelas vencidas no período de janeiro/2021 a novembro/2025.</w:t>
      </w:r>
    </w:p>
    <w:p>
      <w:pPr>
        <w:spacing w:line="360" w:lineRule="auto" w:after="0" w:before="0"/>
        <w:jc w:val="both"/>
      </w:pPr>
      <w:r>
        <w:rPr>
          <w:rFonts w:ascii="Arial" w:hAnsi="Arial" w:cs="Arial"/>
          <w:b w:val="0"/>
          <w:i w:val="0"/>
          <w:color w:val="00B050"/>
          <w:sz w:val="27"/>
        </w:rPr>
        <w:t>2) Narra a exequente, na petição inicial de ID 272584659, que o executado efetuou pagamentos parciais no importe total de R$ 8.143,41, os quais foram devidamente imputados às parcelas mais antigas, restando inadimplido, de forma parcial, o mês de dezembro/2021, bem como integralmente o período subsequente até novembro/2025.</w:t>
      </w:r>
    </w:p>
    <w:p>
      <w:pPr>
        <w:spacing w:line="360" w:lineRule="auto" w:after="0" w:before="0"/>
        <w:jc w:val="both"/>
      </w:pPr>
      <w:r>
        <w:rPr>
          <w:rFonts w:ascii="Arial" w:hAnsi="Arial" w:cs="Arial"/>
          <w:b w:val="0"/>
          <w:i w:val="0"/>
          <w:color w:val="00B050"/>
          <w:sz w:val="27"/>
        </w:rPr>
        <w:t>3) Intimado, o executado apresentou impugnação em ID 275990363, sustentando que os alimentos relativos ao período de janeiro/2021 a dezembro/2024 foram regularmente descontados em folha de pagamento, reconhecendo débito apenas quanto ao período de janeiro a novembro/2025, no valor de R$ 8.262,62, requerendo prazo para apresentação de proposta de pagamento.</w:t>
      </w:r>
    </w:p>
    <w:p>
      <w:pPr>
        <w:spacing w:line="360" w:lineRule="auto" w:after="0" w:before="0"/>
        <w:jc w:val="both"/>
      </w:pPr>
      <w:r>
        <w:rPr>
          <w:rFonts w:ascii="Arial" w:hAnsi="Arial" w:cs="Arial"/>
          <w:b w:val="0"/>
          <w:i w:val="0"/>
          <w:color w:val="00B050"/>
          <w:sz w:val="27"/>
        </w:rPr>
        <w:t>4) Em manifestação de ID 276011964, a exequente esclareceu que os valoresdescontados em contracheque já foram integralmente abatidos da planilha apresentada, afirmando que o objeto da presente execução consiste justamente na cobrança da diferença incidente sobre a renda informal percebida pelo executado a título de gorjetas “por fora”, no valor mensal de R$ 3.000,00.</w:t>
      </w:r>
    </w:p>
    <w:p>
      <w:pPr>
        <w:spacing w:line="360" w:lineRule="auto" w:after="0" w:before="0"/>
        <w:jc w:val="both"/>
      </w:pPr>
      <w:r>
        <w:rPr>
          <w:rFonts w:ascii="Arial" w:hAnsi="Arial" w:cs="Arial"/>
          <w:b w:val="0"/>
          <w:i w:val="0"/>
          <w:color w:val="00B050"/>
          <w:sz w:val="27"/>
        </w:rPr>
        <w:t>5) Requereu: “a) A REJEIÇÃO IN TOTUM da impugnação/defesa apresentada, bem como o indeferimento imediato do pleito de concessão de 10 dias para apresentação de proposta, negando-se qualquer efeito suspensivo à execução; b) O INDEFERIMENTO da Gratuidade de Justiça, com a condenação do Executado às penas de litigância de má-fé e multa por atentado à dignidade da justiça, face à alteração da verdade dos fatos e ocultação de renda (art. 80, II e IV, do CPC); c) O prosseguimento imediato dos atos de expropriação forçada para satisfação da dívida, determinando- se a realização urgente de pesquisas e bloqueios via SISBAJUD (modalidade Teimosinha) nas contas vinculadas ao CPF do Executado e, em virtude da fraude demonstrada, também no CPF de sua esposa, LUZIA MARIA DA SILVA AGUIAR (CPF 019.862.041-11); d) A expedição imediata de ofícios para PENHORA NO ROSTO DOS AUTOS dos processos nº 0000240-57.2025.5.10.0018 (18ª Vara do Trabalho de Brasília) e nº 1001314-97.2022.4.01.3501 (JEF de Luziânia/GO), até a satisfação integral do débito exequendo.”</w:t>
      </w:r>
    </w:p>
    <w:p>
      <w:pPr>
        <w:spacing w:line="360" w:lineRule="auto" w:after="0" w:before="0"/>
        <w:jc w:val="both"/>
      </w:pPr>
      <w:r>
        <w:rPr>
          <w:rFonts w:ascii="Arial" w:hAnsi="Arial" w:cs="Arial"/>
          <w:b w:val="0"/>
          <w:i w:val="0"/>
          <w:color w:val="00B050"/>
          <w:sz w:val="27"/>
        </w:rPr>
        <w:t>6) DECIDO.</w:t>
      </w:r>
    </w:p>
    <w:p>
      <w:pPr>
        <w:spacing w:line="360" w:lineRule="auto" w:after="0" w:before="0"/>
        <w:jc w:val="both"/>
      </w:pPr>
      <w:r>
        <w:rPr>
          <w:rFonts w:ascii="Arial" w:hAnsi="Arial" w:cs="Arial"/>
          <w:b w:val="0"/>
          <w:i w:val="0"/>
          <w:color w:val="00B050"/>
          <w:sz w:val="27"/>
        </w:rPr>
        <w:t>7) De início, consigne que não há controvérsia acerca do valor da pensão mensal apontada na inicial – R$ 661,03.</w:t>
      </w:r>
    </w:p>
    <w:p>
      <w:pPr>
        <w:spacing w:line="360" w:lineRule="auto" w:after="0" w:before="0"/>
        <w:jc w:val="both"/>
      </w:pPr>
      <w:r>
        <w:rPr>
          <w:rFonts w:ascii="Arial" w:hAnsi="Arial" w:cs="Arial"/>
          <w:b w:val="0"/>
          <w:i w:val="0"/>
          <w:color w:val="00B050"/>
          <w:sz w:val="27"/>
        </w:rPr>
        <w:t>8) Além disso, verifica-se que a controvérsia instaurada não diz respeito aos valores descontados diretamente em folha de pagamento, os quais, ao que tudo indica, já foram considerados pela exequente em seus cálculos, mas sim à alegada ausência de adimplemento da verba alimentar incidente sobre rendimentos percebidos extrafolha pelo executado.</w:t>
      </w:r>
    </w:p>
    <w:p>
      <w:pPr>
        <w:spacing w:line="360" w:lineRule="auto" w:after="0" w:before="0"/>
        <w:jc w:val="both"/>
      </w:pPr>
      <w:r>
        <w:rPr>
          <w:rFonts w:ascii="Arial" w:hAnsi="Arial" w:cs="Arial"/>
          <w:b w:val="0"/>
          <w:i w:val="0"/>
          <w:color w:val="00B050"/>
          <w:sz w:val="27"/>
        </w:rPr>
        <w:t>9) Nesse contexto, observa-se que a exequente trouxe aos autos sentença proferida em reclamação trabalhista, autos nº 0000240-57.2025.5.10.0018, movida pelo próprio executado, em que se reconheceu este recebia gorjetas no importe de R$ 3.000,00, fixando salário mensal no valor de R$ 4.576,38, já incluídas as gorjetas.</w:t>
      </w:r>
    </w:p>
    <w:p>
      <w:pPr>
        <w:spacing w:line="360" w:lineRule="auto" w:after="0" w:before="0"/>
        <w:jc w:val="both"/>
      </w:pPr>
      <w:r>
        <w:rPr>
          <w:rFonts w:ascii="Arial" w:hAnsi="Arial" w:cs="Arial"/>
          <w:b w:val="0"/>
          <w:i w:val="0"/>
          <w:color w:val="00B050"/>
          <w:sz w:val="27"/>
        </w:rPr>
        <w:t>10) Embora a sentença trabalhista não produza coisa julgada material automática perante este Juízo quanto à integralidade da obrigação alimentar, constitui relevante elemento probatório acerca da composição remuneratória efetivamente percebida pelo executado no período executado, especialmente diante da natureza salarial das gorjetas, nos termos do art. 457 da CLT.</w:t>
      </w:r>
    </w:p>
    <w:p>
      <w:pPr>
        <w:spacing w:line="360" w:lineRule="auto" w:after="0" w:before="0"/>
        <w:jc w:val="both"/>
      </w:pPr>
      <w:r>
        <w:rPr>
          <w:rFonts w:ascii="Arial" w:hAnsi="Arial" w:cs="Arial"/>
          <w:b w:val="0"/>
          <w:i w:val="0"/>
          <w:color w:val="00B050"/>
          <w:sz w:val="27"/>
        </w:rPr>
        <w:t>11) Assim, em cognição própria desta fase executiva, a alegação genérica do executado de que os descontos realizados em contracheque quitariam integralmente a obrigação alimentar não se mostra suficiente, por si só, para afastar a plausibilidade da pretensão executiva, notadamente porque a exequente afirma ter abatido todos os valores oficialmente descontados, perseguindo apenas as diferenças incidentes sobre verbas remuneratórias não incluídas na folha salarial.</w:t>
      </w:r>
    </w:p>
    <w:p>
      <w:pPr>
        <w:spacing w:line="360" w:lineRule="auto" w:after="0" w:before="0"/>
        <w:jc w:val="both"/>
      </w:pPr>
      <w:r>
        <w:rPr>
          <w:rFonts w:ascii="Arial" w:hAnsi="Arial" w:cs="Arial"/>
          <w:b w:val="0"/>
          <w:i w:val="0"/>
          <w:color w:val="00B050"/>
          <w:sz w:val="27"/>
        </w:rPr>
        <w:t>12) Ademais, competia ao executado demonstrar, de forma específica e documental, a quitação integral da obrigação alimentar, inclusive quanto à incidência sobre eventuais rendimentos variáveis ou informais que compunham sua remuneração habitual, ônus do qual não se desincumbiu satisfatoriamente.</w:t>
      </w:r>
    </w:p>
    <w:p>
      <w:pPr>
        <w:spacing w:line="360" w:lineRule="auto" w:after="0" w:before="0"/>
        <w:jc w:val="both"/>
      </w:pPr>
      <w:r>
        <w:rPr>
          <w:rFonts w:ascii="Arial" w:hAnsi="Arial" w:cs="Arial"/>
          <w:b w:val="0"/>
          <w:i w:val="0"/>
          <w:color w:val="00B050"/>
          <w:sz w:val="27"/>
        </w:rPr>
        <w:t>13) Desta forma, REJEITO a impugnação apresentada pelo executado em ID 275990363.</w:t>
      </w:r>
    </w:p>
    <w:p>
      <w:pPr>
        <w:spacing w:line="360" w:lineRule="auto" w:after="0" w:before="0"/>
        <w:jc w:val="both"/>
      </w:pPr>
      <w:r>
        <w:rPr>
          <w:rFonts w:ascii="Arial" w:hAnsi="Arial" w:cs="Arial"/>
          <w:b w:val="0"/>
          <w:i w:val="0"/>
          <w:color w:val="00B050"/>
          <w:sz w:val="27"/>
        </w:rPr>
        <w:t>14) Por outro lado, a credora postula a penhora de ativos financeiros tanto em nome do devedor quanto de sua esposa LUZIA MARIA DA SILVA AGUIAR, alegando confusão patrimonial, já que o devedor atua na informalidade e utiliza conta bancária de sua atual esposa para blindar seu patrimônio contra penhora, pois: “1. Os depósitos parciais da pensão da Exequente (ex: R</w:t>
      </w:r>
    </w:p>
    <w:p>
      <w:pPr>
        <w:spacing w:line="360" w:lineRule="auto" w:after="0" w:before="0"/>
        <w:jc w:val="both"/>
      </w:pPr>
      <w:r>
        <w:rPr>
          <w:rFonts w:ascii="Arial" w:hAnsi="Arial" w:cs="Arial"/>
          <w:b w:val="0"/>
          <w:i w:val="0"/>
          <w:color w:val="00B050"/>
          <w:sz w:val="27"/>
        </w:rPr>
        <w:t>50) eram feitos via PIX a partir da conta do Nubank de Luzia. 2. Nos autos do Processo nº 0700729-69.2017.8.07.0017 (JEC do Riacho Fundo), movido pelo casal, a própria petição inicial os qualifica afirmando que Luzia é "desempregada" e que é o Executado (Adriano) "quem administra as contas da casa onde moram.”</w:t>
      </w:r>
    </w:p>
    <w:p>
      <w:pPr>
        <w:spacing w:line="360" w:lineRule="auto" w:after="0" w:before="0"/>
        <w:jc w:val="both"/>
      </w:pPr>
      <w:r>
        <w:rPr>
          <w:rFonts w:ascii="Arial" w:hAnsi="Arial" w:cs="Arial"/>
          <w:b w:val="0"/>
          <w:i w:val="0"/>
          <w:color w:val="00B050"/>
          <w:sz w:val="27"/>
        </w:rPr>
        <w:t>15) Com efeito, a informação constante da ação intentada pelo executado e sua esposa (“Os Autores são casados entre si e a primeira Requerente é titular do plano contratado com a Ré e o segundo Autor é quem administra as contas da casa onde moram e, em nome da primeira Autora e autorizada por ela, fazia e faz os contatos junto a Ré também” – ID 272588334, pág.</w:t>
      </w:r>
    </w:p>
    <w:p>
      <w:pPr>
        <w:spacing w:line="360" w:lineRule="auto" w:after="0" w:before="0"/>
        <w:jc w:val="both"/>
      </w:pPr>
      <w:r>
        <w:rPr>
          <w:rFonts w:ascii="Arial" w:hAnsi="Arial" w:cs="Arial"/>
          <w:b w:val="0"/>
          <w:i w:val="0"/>
          <w:color w:val="00B050"/>
          <w:sz w:val="27"/>
        </w:rPr>
        <w:t>04) não é suficiente para demonstrar a existência de confusão patrimonial, blindagem patrimonial dolosa ou utilização sistemática da conta bancária da cônjuge como instrumento de ocultação de ativos do executado.</w:t>
      </w:r>
    </w:p>
    <w:p>
      <w:pPr>
        <w:spacing w:line="360" w:lineRule="auto" w:after="0" w:before="0"/>
        <w:jc w:val="both"/>
      </w:pPr>
      <w:r>
        <w:rPr>
          <w:rFonts w:ascii="Arial" w:hAnsi="Arial" w:cs="Arial"/>
          <w:b w:val="0"/>
          <w:i w:val="0"/>
          <w:color w:val="00B050"/>
          <w:sz w:val="27"/>
        </w:rPr>
        <w:t>16) A circunstância de o executado administrar as despesas domésticas ou realizar movimentações financeiras em nome da esposa, mediante autorização desta, traduz situação comum à dinâmica familiar e, isoladamente, não autoriza a mitigação da autonomia patrimonial de terceiro estranho ao título executivo.</w:t>
      </w:r>
    </w:p>
    <w:p>
      <w:pPr>
        <w:spacing w:line="360" w:lineRule="auto" w:after="0" w:before="0"/>
        <w:jc w:val="both"/>
      </w:pPr>
      <w:r>
        <w:rPr>
          <w:rFonts w:ascii="Arial" w:hAnsi="Arial" w:cs="Arial"/>
          <w:b w:val="0"/>
          <w:i w:val="0"/>
          <w:color w:val="00B050"/>
          <w:sz w:val="27"/>
        </w:rPr>
        <w:t>17) Igualmente, as transferências via PIX em valores irrisórios advindos da conta da esposa do executado em favor da exequente (ID 272584684) não constituem elemento probatório suficiente para justificar medida constritiva diretamente voltada ao patrimônio da cônjuge do executado, sobretudo porque não evidenciam, de forma inequívoca, que a conta bancária estariasendo utilizada como mecanismo de ocultação patrimonial ou desvio de ativos passíveis de constrição.</w:t>
      </w:r>
    </w:p>
    <w:p>
      <w:pPr>
        <w:spacing w:line="360" w:lineRule="auto" w:after="0" w:before="0"/>
        <w:jc w:val="both"/>
      </w:pPr>
      <w:r>
        <w:rPr>
          <w:rFonts w:ascii="Arial" w:hAnsi="Arial" w:cs="Arial"/>
          <w:b w:val="0"/>
          <w:i w:val="0"/>
          <w:color w:val="00B050"/>
          <w:sz w:val="27"/>
        </w:rPr>
        <w:t>18) Ressalte-se que a responsabilização patrimonial de terceiro exige demonstração concreta, robusta e individualizada de abuso, fraude, simulação ou confusão patrimonial, não bastando meras presunções ou indícios frágeis, sob pena de violação aos princípios do devido processo legal, da responsabilidade patrimonial e da intranscendência subjetiva da execução.</w:t>
      </w:r>
    </w:p>
    <w:p>
      <w:pPr>
        <w:spacing w:line="360" w:lineRule="auto" w:after="0" w:before="0"/>
        <w:jc w:val="both"/>
      </w:pPr>
      <w:r>
        <w:rPr>
          <w:rFonts w:ascii="Arial" w:hAnsi="Arial" w:cs="Arial"/>
          <w:b w:val="0"/>
          <w:i w:val="0"/>
          <w:color w:val="00B050"/>
          <w:sz w:val="27"/>
        </w:rPr>
        <w:t>19) Dessa forma, INDEFIRO, por ora, o pedido de pesquisa e bloqueio de ativos financeiros em nome de LUZIA MARIA DA SILVA AGUIAR.</w:t>
      </w:r>
    </w:p>
    <w:p>
      <w:pPr>
        <w:spacing w:line="360" w:lineRule="auto" w:after="0" w:before="0"/>
        <w:jc w:val="both"/>
      </w:pPr>
      <w:r>
        <w:rPr>
          <w:rFonts w:ascii="Arial" w:hAnsi="Arial" w:cs="Arial"/>
          <w:b w:val="0"/>
          <w:i w:val="0"/>
          <w:color w:val="00B050"/>
          <w:sz w:val="27"/>
        </w:rPr>
        <w:t>20) No mais, DEFIRO o pedido de penhora on line, assim como outras medidas de constrição de bens do executado.</w:t>
      </w:r>
    </w:p>
    <w:p>
      <w:pPr>
        <w:spacing w:line="360" w:lineRule="auto" w:after="0" w:before="0"/>
        <w:jc w:val="both"/>
      </w:pPr>
      <w:r>
        <w:rPr>
          <w:rFonts w:ascii="Arial" w:hAnsi="Arial" w:cs="Arial"/>
          <w:b w:val="0"/>
          <w:i w:val="0"/>
          <w:color w:val="00B050"/>
          <w:sz w:val="27"/>
        </w:rPr>
        <w:t>21) Proceda a Secretaria à pesquisa patrimonial e ao bloqueio de eventual numerário do executado através do sistema SISBAJUD, na modalidade de reiteração automática (“teimosinha”), pelo prazo de 30 dias, observando-se o valor do débito de R$ 46.202,66.</w:t>
      </w:r>
    </w:p>
    <w:p>
      <w:pPr>
        <w:spacing w:line="360" w:lineRule="auto" w:after="0" w:before="0"/>
        <w:jc w:val="both"/>
      </w:pPr>
      <w:r>
        <w:rPr>
          <w:rFonts w:ascii="Arial" w:hAnsi="Arial" w:cs="Arial"/>
          <w:b w:val="0"/>
          <w:i w:val="0"/>
          <w:color w:val="00B050"/>
          <w:sz w:val="27"/>
        </w:rPr>
        <w:t>22) Frutífera a diligência, intime-se o executado para apresentar impugnação, no prazo legal.</w:t>
      </w:r>
    </w:p>
    <w:p>
      <w:pPr>
        <w:spacing w:line="360" w:lineRule="auto" w:after="0" w:before="0"/>
        <w:jc w:val="both"/>
      </w:pPr>
      <w:r>
        <w:rPr>
          <w:rFonts w:ascii="Arial" w:hAnsi="Arial" w:cs="Arial"/>
          <w:b w:val="0"/>
          <w:i w:val="0"/>
          <w:color w:val="00B050"/>
          <w:sz w:val="27"/>
        </w:rPr>
        <w:t>23) Caso a consulta seja parcial ou integralmente infrutífera, proceda às pesquisas de bens pelos sistemas RENAJUD, INFOSEG e SerpJud- ONSERP.</w:t>
      </w:r>
    </w:p>
    <w:p>
      <w:pPr>
        <w:spacing w:line="360" w:lineRule="auto" w:after="0" w:before="0"/>
        <w:jc w:val="both"/>
      </w:pPr>
      <w:r>
        <w:rPr>
          <w:rFonts w:ascii="Arial" w:hAnsi="Arial" w:cs="Arial"/>
          <w:b w:val="0"/>
          <w:i w:val="0"/>
          <w:color w:val="00B050"/>
          <w:sz w:val="27"/>
        </w:rPr>
        <w:t>24) DEFIRO a penhora nos rosto dos autos indicados na inicial, consignando que ofício para penhora no rosto dos autos 0000240-57.2025.5.10.0018, em trâmite perante a 18ª Vara do Trabalho de Brasília/DF, e no rosto dos autos nº 1001314-97.2022.4.01.3501, já foram enviados, conforme certidão de ID 274290767.</w:t>
      </w:r>
    </w:p>
    <w:p>
      <w:pPr>
        <w:spacing w:line="360" w:lineRule="auto" w:after="0" w:before="0"/>
        <w:jc w:val="both"/>
      </w:pPr>
      <w:r>
        <w:rPr>
          <w:rFonts w:ascii="Arial" w:hAnsi="Arial" w:cs="Arial"/>
          <w:b w:val="0"/>
          <w:i w:val="0"/>
          <w:color w:val="00B050"/>
          <w:sz w:val="27"/>
        </w:rPr>
        <w:t>25) Oficie-se à CAIXA ECONÔMICA FEDERAL a fim de que, no prazo de 10 (dez) dias, informe a este Juízo acerca da existência de saldos de FGTS ou PIS em nome de ADRIANO DA SILVA (CPF: 563.181.621-00), bem como transfira eventuais quantias para conta judicial vinculada aos presentes autos, cuja abertura ora defiro, até o limite de R$ 46.202,66.</w:t>
      </w:r>
    </w:p>
    <w:p>
      <w:pPr>
        <w:spacing w:line="360" w:lineRule="auto" w:after="0" w:before="0"/>
        <w:jc w:val="both"/>
      </w:pPr>
      <w:r>
        <w:rPr>
          <w:rFonts w:ascii="Arial" w:hAnsi="Arial" w:cs="Arial"/>
          <w:b w:val="0"/>
          <w:i w:val="0"/>
          <w:color w:val="00B050"/>
          <w:sz w:val="27"/>
        </w:rPr>
        <w:t>26) Proceda-se à consulta no sistema PREVJUD - Serviço de Informação e Automação Previdenciária para consulta de eventuais vínculos trabalhistas e/ou de benefícios previdenciários em nome de ADRIANO DA SILVA (CPF: 563.181.621-00).</w:t>
      </w:r>
    </w:p>
    <w:p>
      <w:pPr>
        <w:spacing w:line="360" w:lineRule="auto" w:after="0" w:before="0"/>
        <w:jc w:val="both"/>
      </w:pPr>
      <w:r>
        <w:rPr>
          <w:rFonts w:ascii="Arial" w:hAnsi="Arial" w:cs="Arial"/>
          <w:b w:val="0"/>
          <w:i w:val="0"/>
          <w:color w:val="00B050"/>
          <w:sz w:val="27"/>
        </w:rPr>
        <w:t>27) Vindo informação acerca de eventual vínculo trabalhista do devedor, com informação do nome da empresa, intime-se a parte credora para informar obrigatoriamente o EXATO endereço eletrônico (e-mail) e telefone da área de recursos humanos do empregador do requerido, considerando que este Juízo já não mais utiliza o serviço de correios, salvo exceção extrema, e, ainda, com alicerce nos princípios da economia, celeridade e cooperação processuais, sob pena de não envio do ofício para desconto dos alimentos e penhora de salário.</w:t>
      </w:r>
    </w:p>
    <w:p>
      <w:pPr>
        <w:spacing w:line="360" w:lineRule="auto" w:after="0" w:before="0"/>
        <w:jc w:val="both"/>
      </w:pPr>
      <w:r>
        <w:rPr>
          <w:rFonts w:ascii="Arial" w:hAnsi="Arial" w:cs="Arial"/>
          <w:b w:val="0"/>
          <w:i w:val="0"/>
          <w:color w:val="00B050"/>
          <w:sz w:val="27"/>
        </w:rPr>
        <w:t>28) Com as respostas, manifeste-se a parte credora, em 05 (cinco) dias, indicando bens CONCRETOS à penhora, sob pena de arquivamento/extinção por ausência de bens penhoráveis.</w:t>
      </w:r>
    </w:p>
    <w:p>
      <w:pPr>
        <w:spacing w:line="360" w:lineRule="auto" w:after="0" w:before="0"/>
        <w:jc w:val="both"/>
      </w:pPr>
      <w:r>
        <w:rPr>
          <w:rFonts w:ascii="Arial" w:hAnsi="Arial" w:cs="Arial"/>
          <w:b w:val="0"/>
          <w:i w:val="0"/>
          <w:color w:val="00B050"/>
          <w:sz w:val="27"/>
        </w:rPr>
        <w:t>29) CONFIRO À PRESENTE DECISÃO FORÇA DE OFÍCIO.</w:t>
      </w:r>
    </w:p>
    <w:p>
      <w:pPr>
        <w:spacing w:line="360" w:lineRule="auto" w:after="0" w:before="0"/>
        <w:jc w:val="both"/>
      </w:pPr>
      <w:r>
        <w:rPr>
          <w:rFonts w:ascii="Arial" w:hAnsi="Arial" w:cs="Arial"/>
          <w:b w:val="0"/>
          <w:i w:val="0"/>
          <w:color w:val="00B050"/>
          <w:sz w:val="27"/>
        </w:rPr>
        <w:t>30) Int.</w:t>
      </w:r>
    </w:p>
    <w:p>
      <w:pPr>
        <w:spacing w:line="360" w:lineRule="auto" w:after="0" w:before="0"/>
        <w:jc w:val="both"/>
      </w:pPr>
      <w:r>
        <w:rPr>
          <w:rFonts w:ascii="Arial" w:hAnsi="Arial" w:cs="Arial"/>
          <w:b w:val="0"/>
          <w:i w:val="0"/>
          <w:color w:val="00B050"/>
          <w:sz w:val="27"/>
        </w:rPr>
        <w:t>BRASÍLIA-DF, 18 de maio de 2026 19:34:01.</w:t>
      </w:r>
    </w:p>
    <w:p>
      <w:pPr>
        <w:spacing w:line="360" w:lineRule="auto" w:after="0" w:before="0"/>
        <w:jc w:val="both"/>
      </w:pPr>
      <w:r>
        <w:rPr>
          <w:rFonts w:ascii="Arial" w:hAnsi="Arial" w:cs="Arial"/>
          <w:b w:val="0"/>
          <w:i w:val="0"/>
          <w:color w:val="00B050"/>
          <w:sz w:val="27"/>
        </w:rPr>
        <w:t>MARIA ANGELICA RIBEIRO BAZILLI</w:t>
      </w:r>
    </w:p>
    <w:p>
      <w:pPr>
        <w:spacing w:line="360" w:lineRule="auto" w:after="0" w:before="0"/>
        <w:jc w:val="both"/>
      </w:pPr>
      <w:r>
        <w:rPr>
          <w:rFonts w:ascii="Arial" w:hAnsi="Arial" w:cs="Arial"/>
          <w:b w:val="0"/>
          <w:i w:val="0"/>
          <w:color w:val="00B050"/>
          <w:sz w:val="27"/>
        </w:rPr>
        <w:t>Juíza de Direito</w:t>
      </w:r>
    </w:p>
    <w:sectPr w:rsidRPr="0006063C" w:rsidR="00FC693F" w:rsidSect="00034616">
      <w:footerReference w:type="default" r:id="rId9"/>
      <w:pgSz w:w="11906" w:h="16838" w:orient="portrait"/>
      <w:pgMar w:top="1417" w:right="1701" w:bottom="1417" w:left="1701"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d="0" w:author="Minuta GDSXSR" w:initials="MG" w:date="2026-10-30T19:45:31Z">
    <w:p>
      <w:pPr>
        <w:pStyle w:val="CommentText"/>
      </w:pPr>
      <w:r>
        <w:rPr>
          <w:rStyle w:val="CommentReference"/>
        </w:rPr>
        <w:annotationRef/>
      </w:r>
      <w:r>
        <w:t>MINUTA GDSXSR — Modelos consultados (C-05, C-73): AGI 0744819-04 (NP, impugnação e excesso de execução) e AGI 0742649-59 (NP, voto do zero aprovado por Marcos) para forma, relatório da liminar, transcrição e fecho; matéria já firmada, sem tese nova. Ementa conforme C-3E (cabeçalho fecha em fórmula curta), C-37 (sem tese de julgamento) e C-35 (um fundamento por item).</w:t>
      </w:r>
    </w:p>
  </w:comment>
  <w:comment w:id="1" w:author="Minuta GDSXSR" w:initials="MG" w:date="2026-10-30T19:45:31Z">
    <w:p>
      <w:pPr>
        <w:pStyle w:val="CommentText"/>
      </w:pPr>
      <w:r>
        <w:rPr>
          <w:rStyle w:val="CommentReference"/>
        </w:rPr>
        <w:annotationRef/>
      </w:r>
      <w:r>
        <w:t>MINUTA GDSXSR — Partes sem nome civil, com idade e papel processual (C-34, C-34A); valor da causa no item 1 (C-3H). Idade e valor conforme a liminar (ID 85699338) e a capa do PJe. Nomes completos das partes na tabela de autuação e no dispositivo, como na autuação do PJe; o processo corre em segredo de justiça e a liminar usou iniciais (C-52): se o Gabinete preferir as iniciais, a troca é só nesses pontos.</w:t>
      </w:r>
    </w:p>
  </w:comment>
  <w:comment w:id="2" w:author="Minuta GDSXSR" w:initials="MG" w:date="2026-10-30T19:45:31Z">
    <w:p>
      <w:pPr>
        <w:pStyle w:val="CommentText"/>
      </w:pPr>
      <w:r>
        <w:rPr>
          <w:rStyle w:val="CommentReference"/>
        </w:rPr>
        <w:annotationRef/>
      </w:r>
      <w:r>
        <w:t>MINUTA GDSXSR — Número do acórdão (2087896) e DJe (23/02/2026) informados por Marcos em 30/10/2026, completando a pendência do número que o iajus não devolve (C-67 v47). O julgado trata de substituição de penhora não pedida na origem; foi escolhido pela tese de supressão de instância em AGI, mesma Turma, 2026.</w:t>
      </w:r>
    </w:p>
  </w:comment>
  <w:comment w:id="3" w:author="Minuta GDSXSR" w:initials="MG" w:date="2026-10-30T19:45:31Z">
    <w:p>
      <w:pPr>
        <w:pStyle w:val="CommentText"/>
      </w:pPr>
      <w:r>
        <w:rPr>
          <w:rStyle w:val="CommentReference"/>
        </w:rPr>
        <w:annotationRef/>
      </w:r>
      <w:r>
        <w:t>MINUTA GDSXSR — Resumo de trabalho (C-39) feito a partir das razões do agravo (ID 85626711); é o melhor argumento contrário ao voto.</w:t>
      </w:r>
    </w:p>
  </w:comment>
  <w:comment w:id="4" w:author="Minuta GDSXSR" w:initials="MG" w:date="2026-10-30T19:45:31Z">
    <w:p>
      <w:pPr>
        <w:pStyle w:val="CommentText"/>
      </w:pPr>
      <w:r>
        <w:rPr>
          <w:rStyle w:val="CommentReference"/>
        </w:rPr>
        <w:annotationRef/>
      </w:r>
      <w:r>
        <w:t>MINUTA GDSXSR — Relatório da liminar adotado (C-3S): transcrito o relatório da decisão do Relator que indeferiu o efeito suspensivo (ID 85699338, 18/06/2026); fica de fora a frase decisória final da liminar (“Sem razão, inicialmente, o agravante.”). Depois dele seguem só os atos posteriores (ausência de contrarrazões). Texto literal.</w:t>
      </w:r>
    </w:p>
  </w:comment>
  <w:comment w:id="5" w:author="Minuta GDSXSR" w:initials="MG" w:date="2026-10-30T19:45:31Z">
    <w:p>
      <w:pPr>
        <w:pStyle w:val="CommentText"/>
      </w:pPr>
      <w:r>
        <w:rPr>
          <w:rStyle w:val="CommentReference"/>
        </w:rPr>
        <w:annotationRef/>
      </w:r>
      <w:r>
        <w:t>MINUTA GDSXSR — Admissibilidade direta (C-3T), sem parágrafo sobre gratuidade, por orientação de Marcos (30/10/2026).</w:t>
      </w:r>
    </w:p>
  </w:comment>
  <w:comment w:id="6" w:author="Minuta GDSXSR" w:initials="MG" w:date="2026-10-30T19:45:31Z">
    <w:p>
      <w:pPr>
        <w:pStyle w:val="CommentText"/>
      </w:pPr>
      <w:r>
        <w:rPr>
          <w:rStyle w:val="CommentReference"/>
        </w:rPr>
        <w:annotationRef/>
      </w:r>
      <w:r>
        <w:t>MINUTA GDSXSR — Transcrição integral da fundamentação da liminar (C-17 v42, C-3S): as citações internas passam a aspas simples e mantêm “– Grifei”. Texto literal da liminar. Fica de fora só a frase final do dispositivo (“Ante o exposto, indefiro…”), que é decisão, não fundamento.</w:t>
      </w:r>
    </w:p>
  </w:comment>
  <w:comment w:id="7" w:author="Minuta GDSXSR" w:initials="MG" w:date="2026-10-30T19:45:31Z">
    <w:p>
      <w:pPr>
        <w:pStyle w:val="CommentText"/>
      </w:pPr>
      <w:r>
        <w:rPr>
          <w:rStyle w:val="CommentReference"/>
        </w:rPr>
        <w:annotationRef/>
      </w:r>
      <w:r>
        <w:t>MINUTA GDSXSR — PONTO DE CONFERÊNCIA (C-52, C-53): (i) a liminar diz que nas folhas de janeiro/2020 a abril/2024 “não há qualquer indicação” de gorjetas; as folhas de 2021 a 2023 registram, porém, a rubrica “estimativa de gorjetas” (provento e desconto de mesmo valor, R$ 330,00 em 2021, R$ 363,60 em 2022 e R$ 390,60 em 2023), sobre a qual incide a pensão de 21% sobre o salário bruto; mantive o texto literal da liminar e acrescentei no voto a precisão (parágrafo seguinte). (ii) AUTOS DE ORIGEM (lidos em 30/10/2026): a planilha da exequente (ID 272584659 e 272584672, origem) cobra R$ 661,03 fixos por mês; o principal de 2022 a nov/2025 é R$ 33.051,50, exatamente 50 parcelas de R$ 661,03 (47 meses mais três 13º), sem crédito visível das pensões descontadas em folha nesses anos. O único crédito é a soma de R$ 8.143,41 de pagamentos parciais, imputada a 2021 (art. 355 do CC). Os contracheques (ID 275990366, origem) mostram pensão descontada todo mês: cerca de R$ 561,72 em 2021, R$ 618,92 em jan-out/2022, R$ 463,15 em nov/2022 e R$ 497,54 em jan/2023, e de maio a dezembro/2024 a pensão incide sobre as gorjetas integrais (ex.: R$ 900,54 em maio/2024). A exequente afirma que tudo foi abatido (ID 276011964), e a liminar e a decisão agravada adotaram essa premissa, mas a aritmética da planilha não a confirma. Não sei se o desconto foi repassado à alimentanda (contracheque prova o desconto, não o repasse; extratos da genitora no ID 272584692, origem, não li). O executado não levantou o ponto na impugnação: ela é de uma página, pede só 10 dias e vista pessoal, admite o débito de 2025 (R$ 8.262,62 por R$ 661,03 x 11) e junta contracheques sem demonstrativo (ID 275990363, origem). Por isso mantive o NP (C-03, C-53): o ônus era do executado e há supressão de instância. Risco: cobrança em duplicidade de alimentos já pagos em folha, o que justificaria DPP, com devolução ao Juízo de origem para a conferência mês a mês. Decisão de Marcos.</w:t>
      </w:r>
    </w:p>
  </w:comment>
  <w:comment w:id="8" w:author="Minuta GDSXSR" w:initials="MG" w:date="2026-10-30T19:45:31Z">
    <w:p>
      <w:pPr>
        <w:pStyle w:val="CommentText"/>
      </w:pPr>
      <w:r>
        <w:rPr>
          <w:rStyle w:val="CommentReference"/>
        </w:rPr>
        <w:annotationRef/>
      </w:r>
      <w:r>
        <w:t>MINUTA GDSXSR — Texto literal (C-63), fonte Planalto, CPC, art. 525: “§ 4º Quando o executado alegar que o exequente, em excesso de execução, pleiteia quantia superior à resultante da sentença, cumprir-lhe-á declarar de imediato o valor que entende correto, apresentando demonstrativo discriminado e atualizado de seu cálculo. §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 Conferido no iajus (29/10/2026). Fato: a impugnação (ID 275990363, assinada pela Defensoria em 14/05/2026) tem o texto convertido do PDF com sobreposição de carimbos (OCR); li a íntegra e ela só pede prazo de 10 dias e vista pessoal, sem gorjetas, excesso nem Contadoria. Conferir no PJe, se desejar, a literalidade.</w:t>
      </w:r>
    </w:p>
  </w:comment>
  <w:comment w:id="9" w:author="Minuta GDSXSR" w:initials="MG" w:date="2026-10-30T19:45:31Z">
    <w:p>
      <w:pPr>
        <w:pStyle w:val="CommentText"/>
      </w:pPr>
      <w:r>
        <w:rPr>
          <w:rStyle w:val="CommentReference"/>
        </w:rPr>
        <w:annotationRef/>
      </w:r>
      <w:r>
        <w:t>MINUTA GDSXSR — Autos de origem lidos em 30/10/2026 (0712066-82.2026.8.07.0003). A impugnação à penhora (12/08/2026) traz a tabela de gorjetas dos contracheques e o desligamento em janeiro/2025; a decisão de 25/08/2026 a rejeitou por falta do demonstrativo (CPC 525 §§ 4º e 5º) e por mera reiteração. Fato posterior à decisão agravada, citado só como registro.</w:t>
      </w:r>
    </w:p>
  </w:comment>
  <w:comment w:id="10" w:author="Minuta GDSXSR" w:initials="MG" w:date="2026-10-30T19:45:31Z">
    <w:p>
      <w:pPr>
        <w:pStyle w:val="CommentText"/>
      </w:pPr>
      <w:r>
        <w:rPr>
          <w:rStyle w:val="CommentReference"/>
        </w:rPr>
        <w:annotationRef/>
      </w:r>
      <w:r>
        <w:t>MINUTA GDSXSR — Julgado conferido no iajus (ementa lida, item 5; 4ª Turma Cível, 05/02/2026). Número do acórdão e DJe informados por Marcos (30/10/2026).</w:t>
      </w:r>
    </w:p>
  </w:comment>
</w:comments>
</file>

<file path=word/commentsExtended.xml><?xml version="1.0" encoding="utf-8"?>
<w15:commentsEx xmlns:mc="http://schemas.openxmlformats.org/markup-compatibility/2006" xmlns:w15="http://schemas.microsoft.com/office/word/2012/wordml" mc:Ignorable="w15">
  <w15:commentEx w15:done="0" w15:paraId="2C5B8251"/>
  <w15:commentEx w15:done="0" w15:paraId="798E2068"/>
  <w15:commentEx w15:done="0" w15:paraId="2A6D5DD9"/>
  <w15:commentEx w15:done="0" w15:paraId="1B7BE6E4"/>
  <w15:commentEx w15:done="0" w15:paraId="45FAA30E"/>
  <w15:commentEx w15:done="0" w15:paraId="1B306973"/>
  <w15:commentEx w15:done="0" w15:paraId="43E7FB85"/>
  <w15:commentEx w15:done="0" w15:paraId="3F150D51"/>
  <w15:commentEx w15:done="0" w15:paraId="2C79B740"/>
  <w15:commentEx w15:done="0" w15:paraId="7BBA337D"/>
  <w15:commentEx w15:done="0" w15:paraId="2A9E23A0"/>
  <w15:commentEx w15:done="0" w15:paraId="461976A2"/>
  <w15:commentEx w15:done="0" w15:paraId="1D5F2134"/>
  <w15:commentEx w15:done="0" w15:paraId="4316FF66"/>
  <w15:commentEx w15:done="0" w15:paraId="1DFCC4EB"/>
  <w15:commentEx w15:done="0" w15:paraId="459684B9"/>
  <w15:commentEx w15:done="0" w15:paraId="4496DBAF"/>
  <w15:commentEx w15:done="0" w15:paraId="21AD587B"/>
  <w15:commentEx w15:done="0" w15:paraId="715B9FB8"/>
  <w15:commentEx w15:done="0" w15:paraId="3447A896"/>
  <w15:commentEx w15:done="0" w15:paraId="4EF6052F"/>
  <w15:commentEx w15:done="0" w15:paraId="46F698D4"/>
  <w15:commentEx w15:done="0" w15:paraId="1D8A9808" w15:paraIdParent="2C5B8251"/>
  <w15:commentEx w15:done="0" w15:paraId="4A4C1F6B"/>
  <w15:commentEx w15:done="0" w15:paraId="1F83DBEC"/>
  <w15:commentEx w15:done="0" w15:paraId="7F8AAC5A"/>
  <w15:commentEx w15:done="0" w15:paraId="666EF34C"/>
  <w15:commentEx w15:done="0" w15:paraId="5E23538A"/>
  <w15:commentEx w15:done="0" w15:paraId="3A38D848"/>
  <w15:commentEx w15:done="0" w15:paraId="07DCF8DA" w15:paraIdParent="2C5B825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8A9367" w16cex:dateUtc="2026-10-11T19:22:34.373Z">
    <w16cex:extLst>
      <w16:ext w16:uri="{CE6994B0-6A32-4C9F-8C6B-6E91EDA988CE}">
        <cr:reactions xmlns:cr="http://schemas.microsoft.com/office/comments/2020/reactions">
          <cr:reaction reactionType="1">
            <cr:reactionInfo dateUtc="2026-10-11T22:16:33.46Z">
              <cr:user userId="S::t313207@tjdft.jus.br::d29e2de7-00a4-4621-a031-73d81317b1e9" userProvider="AD" userName="Marcelo Ribeiro Da Silva - GDSXSR"/>
            </cr:reactionInfo>
          </cr:reaction>
        </cr:reactions>
      </w16:ext>
    </w16cex:extLst>
  </w16cex:commentExtensible>
  <w16cex:commentExtensible w16cex:durableId="76C443C4" w16cex:dateUtc="2026-10-11T23:03:36.174Z"/>
</w16cex:commentsExtensible>
</file>

<file path=word/commentsIds.xml><?xml version="1.0" encoding="utf-8"?>
<w16cid:commentsIds xmlns:mc="http://schemas.openxmlformats.org/markup-compatibility/2006" xmlns:w16cid="http://schemas.microsoft.com/office/word/2016/wordml/cid" mc:Ignorable="w16cid">
  <w16cid:commentId w16cid:paraId="2C5B8251" w16cid:durableId="0B053848"/>
  <w16cid:commentId w16cid:paraId="798E2068" w16cid:durableId="486E0027"/>
  <w16cid:commentId w16cid:paraId="2A6D5DD9" w16cid:durableId="343AFC76"/>
  <w16cid:commentId w16cid:paraId="1B7BE6E4" w16cid:durableId="06F67560"/>
  <w16cid:commentId w16cid:paraId="45FAA30E" w16cid:durableId="093D3FE9"/>
  <w16cid:commentId w16cid:paraId="1B306973" w16cid:durableId="4416EADA"/>
  <w16cid:commentId w16cid:paraId="43E7FB85" w16cid:durableId="5093624A"/>
  <w16cid:commentId w16cid:paraId="3F150D51" w16cid:durableId="0E7BECA3"/>
  <w16cid:commentId w16cid:paraId="2C79B740" w16cid:durableId="24D767EA"/>
  <w16cid:commentId w16cid:paraId="7BBA337D" w16cid:durableId="721284C8"/>
  <w16cid:commentId w16cid:paraId="2A9E23A0" w16cid:durableId="6828F1F0"/>
  <w16cid:commentId w16cid:paraId="461976A2" w16cid:durableId="251F1A03"/>
  <w16cid:commentId w16cid:paraId="1D5F2134" w16cid:durableId="7584782F"/>
  <w16cid:commentId w16cid:paraId="4316FF66" w16cid:durableId="7FE4C1BE"/>
  <w16cid:commentId w16cid:paraId="1DFCC4EB" w16cid:durableId="29E3DF67"/>
  <w16cid:commentId w16cid:paraId="459684B9" w16cid:durableId="07FCA37E"/>
  <w16cid:commentId w16cid:paraId="4496DBAF" w16cid:durableId="0143BA81"/>
  <w16cid:commentId w16cid:paraId="21AD587B" w16cid:durableId="103F77A3"/>
  <w16cid:commentId w16cid:paraId="715B9FB8" w16cid:durableId="064803E8"/>
  <w16cid:commentId w16cid:paraId="3447A896" w16cid:durableId="40748DA4"/>
  <w16cid:commentId w16cid:paraId="4EF6052F" w16cid:durableId="739C0535"/>
  <w16cid:commentId w16cid:paraId="46F698D4" w16cid:durableId="34F04E7A"/>
  <w16cid:commentId w16cid:paraId="4A4C1F6B" w16cid:durableId="1584374C"/>
  <w16cid:commentId w16cid:paraId="1F83DBEC" w16cid:durableId="59E39858"/>
  <w16cid:commentId w16cid:paraId="7F8AAC5A" w16cid:durableId="7A3A04F1"/>
  <w16cid:commentId w16cid:paraId="666EF34C" w16cid:durableId="624D51AC"/>
  <w16cid:commentId w16cid:paraId="5E23538A" w16cid:durableId="57F971A6"/>
  <w16cid:commentId w16cid:paraId="3A38D848" w16cid:durableId="412C0201"/>
  <w16cid:commentId w16cid:paraId="07DCF8DA" w16cid:durableId="708A9367"/>
  <w16cid:commentId w16cid:paraId="1D8A9808" w16cid:durableId="76C443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right"/>
    </w:pPr>
    <w:r w:rsidRPr="7A6EA4F2">
      <w:rPr>
        <w:sz w:val="20"/>
        <w:szCs w:val="20"/>
      </w:rPr>
      <w:fldChar w:fldCharType="begin"/>
    </w:r>
    <w:r w:rsidRPr="7A6EA4F2">
      <w:rPr>
        <w:sz w:val="20"/>
        <w:szCs w:val="20"/>
      </w:rPr>
      <w:instrText xml:space="preserve">PAGE</w:instrText>
    </w:r>
    <w:r w:rsidRPr="7A6EA4F2">
      <w:rPr>
        <w:sz w:val="20"/>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8">
    <w:nsid w:val="72ac45b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11270f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af4b86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775335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fb714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eebcbc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9802c3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f86e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215dc0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d4026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1b8c0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6d5d37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3e1570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a1487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f187d8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ec22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9a8bb8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b5340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d1c97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98df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Marcelo Ribeiro Da Silva - GDSXSR">
    <w15:presenceInfo w15:providerId="AD" w15:userId="S::t313207@tjdft.jus.br::d29e2de7-00a4-4621-a031-73d81317b1e9"/>
  </w15:person>
  <w15:person w15:author="Marcelo Ribeiro Da Silva - GDSXSR">
    <w15:presenceInfo w15:providerId="AD" w15:userId="S::t313207@tjdft.jus.br::d29e2de7-00a4-4621-a031-73d81317b1e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E4610"/>
    <w:rsid w:val="03746094"/>
    <w:rsid w:val="070270C6"/>
    <w:rsid w:val="070270C6"/>
    <w:rsid w:val="0CDBB89A"/>
    <w:rsid w:val="0CDBB89A"/>
    <w:rsid w:val="127289C4"/>
    <w:rsid w:val="143FCE2B"/>
    <w:rsid w:val="143FCE2B"/>
    <w:rsid w:val="2579E5BD"/>
    <w:rsid w:val="2671BA38"/>
    <w:rsid w:val="2671BA38"/>
    <w:rsid w:val="27C7E5BF"/>
    <w:rsid w:val="27DC0ACD"/>
    <w:rsid w:val="287199CE"/>
    <w:rsid w:val="2C1D780E"/>
    <w:rsid w:val="304A0FCA"/>
    <w:rsid w:val="30540941"/>
    <w:rsid w:val="30540941"/>
    <w:rsid w:val="31C05ADD"/>
    <w:rsid w:val="3B0A4E47"/>
    <w:rsid w:val="3B52C076"/>
    <w:rsid w:val="3CC530B6"/>
    <w:rsid w:val="3D534256"/>
    <w:rsid w:val="3D98C15A"/>
    <w:rsid w:val="3DB67851"/>
    <w:rsid w:val="40702BEB"/>
    <w:rsid w:val="40702BEB"/>
    <w:rsid w:val="4225855D"/>
    <w:rsid w:val="43BAE1A9"/>
    <w:rsid w:val="45A53B79"/>
    <w:rsid w:val="47433204"/>
    <w:rsid w:val="494E1CDD"/>
    <w:rsid w:val="507E89D7"/>
    <w:rsid w:val="52C5BA21"/>
    <w:rsid w:val="562BD644"/>
    <w:rsid w:val="6043905E"/>
    <w:rsid w:val="6043905E"/>
    <w:rsid w:val="6E02D687"/>
    <w:rsid w:val="6E40A680"/>
    <w:rsid w:val="7924A6A5"/>
    <w:rsid w:val="7A6EA4F2"/>
    <w:rsid w:val="7ABC65D7"/>
    <w:rsid w:val="7E1EE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ECA6FD-2EDC-408E-AAD6-4A9912967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7A6EA4F2"/>
    <w:rPr>
      <w:rFonts w:ascii="Arial" w:hAnsi="Arial" w:eastAsia="Arial"/>
      <w:noProof w:val="0"/>
      <w:color w:val="808080" w:themeColor="background1" w:themeTint="FF" w:themeShade="80"/>
      <w:sz w:val="28"/>
      <w:szCs w:val="28"/>
      <w:lang w:val="pt-BR"/>
    </w:rPr>
    <w:pPr>
      <w:spacing w:before="0" w:after="0"/>
      <w:jc w:val="both"/>
    </w:pPr>
  </w:style>
  <w:style w:type="paragraph" w:styleId="Header">
    <w:uiPriority w:val="99"/>
    <w:name w:val="header"/>
    <w:basedOn w:val="Normal"/>
    <w:unhideWhenUsed/>
    <w:link w:val="HeaderChar"/>
    <w:rsid w:val="7A6EA4F2"/>
    <w:pPr>
      <w:tabs>
        <w:tab w:val="center" w:leader="none" w:pos="4680"/>
        <w:tab w:val="right" w:leader="none" w:pos="9360"/>
      </w:tabs>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7A6EA4F2"/>
    <w:pPr>
      <w:tabs>
        <w:tab w:val="center" w:leader="none" w:pos="4680"/>
        <w:tab w:val="right" w:leader="none" w:pos="9360"/>
      </w:tabs>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7A6EA4F2"/>
    <w:rPr>
      <w:rFonts w:ascii="Calibri" w:hAnsi="Calibri" w:eastAsia="ＭＳ ゴシック" w:cs="" w:asciiTheme="majorAscii" w:hAnsiTheme="majorAscii" w:eastAsiaTheme="majorEastAsia" w:cstheme="majorBidi"/>
      <w:b w:val="1"/>
      <w:bCs w:val="1"/>
      <w:color w:val="365F91" w:themeColor="accent1" w:themeTint="FF" w:themeShade="BF"/>
    </w:rPr>
    <w:pPr>
      <w:keepNext w:val="1"/>
      <w:keepLines w:val="1"/>
      <w:spacing w:before="480"/>
      <w:outlineLvl w:val="0"/>
    </w:pPr>
  </w:style>
  <w:style w:type="paragraph" w:styleId="Heading2">
    <w:uiPriority w:val="9"/>
    <w:name w:val="heading 2"/>
    <w:basedOn w:val="Normal"/>
    <w:next w:val="Normal"/>
    <w:unhideWhenUsed/>
    <w:link w:val="Heading2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outlineLvl w:val="1"/>
    </w:pPr>
  </w:style>
  <w:style w:type="paragraph" w:styleId="Heading3">
    <w:uiPriority w:val="9"/>
    <w:name w:val="heading 3"/>
    <w:basedOn w:val="Normal"/>
    <w:next w:val="Normal"/>
    <w:unhideWhenUsed/>
    <w:link w:val="Heading3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outlineLvl w:val="2"/>
    </w:pPr>
  </w:style>
  <w:style w:type="paragraph" w:styleId="Heading4">
    <w:uiPriority w:val="9"/>
    <w:name w:val="heading 4"/>
    <w:basedOn w:val="Normal"/>
    <w:next w:val="Normal"/>
    <w:semiHidden/>
    <w:unhideWhenUsed/>
    <w:link w:val="Heading4Char"/>
    <w:qFormat/>
    <w:rsid w:val="7A6EA4F2"/>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outlineLvl w:val="3"/>
    </w:pPr>
  </w:style>
  <w:style w:type="paragraph" w:styleId="Heading5">
    <w:uiPriority w:val="9"/>
    <w:name w:val="heading 5"/>
    <w:basedOn w:val="Normal"/>
    <w:next w:val="Normal"/>
    <w:semiHidden/>
    <w:unhideWhenUsed/>
    <w:link w:val="Heading5Char"/>
    <w:qFormat/>
    <w:rsid w:val="7A6EA4F2"/>
    <w:rPr>
      <w:rFonts w:ascii="Calibri" w:hAnsi="Calibri" w:eastAsia="ＭＳ ゴシック" w:cs="" w:asciiTheme="majorAscii" w:hAnsiTheme="majorAscii" w:eastAsiaTheme="majorEastAsia" w:cstheme="majorBidi"/>
      <w:color w:val="243F60"/>
    </w:rPr>
    <w:pPr>
      <w:keepNext w:val="1"/>
      <w:keepLines w:val="1"/>
      <w:spacing w:before="200"/>
      <w:outlineLvl w:val="4"/>
    </w:pPr>
  </w:style>
  <w:style w:type="paragraph" w:styleId="Heading6">
    <w:uiPriority w:val="9"/>
    <w:name w:val="heading 6"/>
    <w:basedOn w:val="Normal"/>
    <w:next w:val="Normal"/>
    <w:semiHidden/>
    <w:unhideWhenUsed/>
    <w:link w:val="Heading6Char"/>
    <w:qFormat/>
    <w:rsid w:val="7A6EA4F2"/>
    <w:rPr>
      <w:rFonts w:ascii="Calibri" w:hAnsi="Calibri" w:eastAsia="ＭＳ ゴシック" w:cs="" w:asciiTheme="majorAscii" w:hAnsiTheme="majorAscii" w:eastAsiaTheme="majorEastAsia" w:cstheme="majorBidi"/>
      <w:i w:val="1"/>
      <w:iCs w:val="1"/>
      <w:color w:val="243F60"/>
    </w:rPr>
    <w:pPr>
      <w:keepNext w:val="1"/>
      <w:keepLines w:val="1"/>
      <w:spacing w:before="200"/>
      <w:outlineLvl w:val="5"/>
    </w:pPr>
  </w:style>
  <w:style w:type="paragraph" w:styleId="Heading7">
    <w:uiPriority w:val="9"/>
    <w:name w:val="heading 7"/>
    <w:basedOn w:val="Normal"/>
    <w:next w:val="Normal"/>
    <w:semiHidden/>
    <w:unhideWhenUsed/>
    <w:link w:val="Heading7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outlineLvl w:val="6"/>
    </w:pPr>
  </w:style>
  <w:style w:type="paragraph" w:styleId="Heading8">
    <w:uiPriority w:val="9"/>
    <w:name w:val="heading 8"/>
    <w:basedOn w:val="Normal"/>
    <w:next w:val="Normal"/>
    <w:semiHidden/>
    <w:unhideWhenUsed/>
    <w:link w:val="Heading8Char"/>
    <w:qFormat/>
    <w:rsid w:val="7A6EA4F2"/>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outlineLvl w:val="7"/>
    </w:pPr>
  </w:style>
  <w:style w:type="paragraph" w:styleId="Heading9">
    <w:uiPriority w:val="9"/>
    <w:name w:val="heading 9"/>
    <w:basedOn w:val="Normal"/>
    <w:next w:val="Normal"/>
    <w:semiHidden/>
    <w:unhideWhenUsed/>
    <w:link w:val="Heading9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7A6EA4F2"/>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7A6EA4F2"/>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7A6EA4F2"/>
    <w:pPr>
      <w:spacing/>
      <w:ind w:left="720"/>
      <w:contextualSpacing/>
    </w:pPr>
  </w:style>
  <w:style w:type="paragraph" w:styleId="BodyText">
    <w:uiPriority w:val="99"/>
    <w:name w:val="Body Text"/>
    <w:basedOn w:val="Normal"/>
    <w:unhideWhenUsed/>
    <w:link w:val="BodyTextChar"/>
    <w:rsid w:val="7A6EA4F2"/>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7A6EA4F2"/>
    <w:pPr>
      <w:spacing w:after="120"/>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7A6EA4F2"/>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7A6EA4F2"/>
    <w:pPr>
      <w:spacing/>
      <w:ind w:left="360" w:hanging="360"/>
      <w:contextualSpacing/>
    </w:pPr>
  </w:style>
  <w:style w:type="paragraph" w:styleId="List2">
    <w:uiPriority w:val="99"/>
    <w:name w:val="List 2"/>
    <w:basedOn w:val="Normal"/>
    <w:unhideWhenUsed/>
    <w:rsid w:val="7A6EA4F2"/>
    <w:pPr>
      <w:spacing/>
      <w:ind w:left="720" w:hanging="360"/>
      <w:contextualSpacing/>
    </w:pPr>
  </w:style>
  <w:style w:type="paragraph" w:styleId="List3">
    <w:uiPriority w:val="99"/>
    <w:name w:val="List 3"/>
    <w:basedOn w:val="Normal"/>
    <w:unhideWhenUsed/>
    <w:rsid w:val="7A6EA4F2"/>
    <w:pPr>
      <w:spacing/>
      <w:ind w:left="1080" w:hanging="360"/>
      <w:contextualSpacing/>
    </w:pPr>
  </w:style>
  <w:style w:type="paragraph" w:styleId="ListBullet">
    <w:uiPriority w:val="99"/>
    <w:name w:val="List Bullet"/>
    <w:basedOn w:val="Normal"/>
    <w:unhideWhenUsed/>
    <w:rsid w:val="7A6EA4F2"/>
    <w:pPr>
      <w:numPr>
        <w:numId w:val="1"/>
      </w:numPr>
      <w:spacing/>
      <w:contextualSpacing/>
    </w:pPr>
  </w:style>
  <w:style w:type="paragraph" w:styleId="ListBullet2">
    <w:uiPriority w:val="99"/>
    <w:name w:val="List Bullet 2"/>
    <w:basedOn w:val="Normal"/>
    <w:unhideWhenUsed/>
    <w:rsid w:val="7A6EA4F2"/>
    <w:pPr>
      <w:numPr>
        <w:numId w:val="2"/>
      </w:numPr>
      <w:spacing/>
      <w:contextualSpacing/>
    </w:pPr>
  </w:style>
  <w:style w:type="paragraph" w:styleId="ListBullet3">
    <w:uiPriority w:val="99"/>
    <w:name w:val="List Bullet 3"/>
    <w:basedOn w:val="Normal"/>
    <w:unhideWhenUsed/>
    <w:rsid w:val="7A6EA4F2"/>
    <w:pPr>
      <w:numPr>
        <w:numId w:val="3"/>
      </w:numPr>
      <w:spacing/>
      <w:contextualSpacing/>
    </w:pPr>
  </w:style>
  <w:style w:type="paragraph" w:styleId="ListNumber">
    <w:uiPriority w:val="99"/>
    <w:name w:val="List Number"/>
    <w:basedOn w:val="Normal"/>
    <w:unhideWhenUsed/>
    <w:rsid w:val="7A6EA4F2"/>
    <w:pPr>
      <w:numPr>
        <w:numId w:val="5"/>
      </w:numPr>
      <w:spacing/>
      <w:contextualSpacing/>
    </w:pPr>
  </w:style>
  <w:style w:type="paragraph" w:styleId="ListNumber2">
    <w:uiPriority w:val="99"/>
    <w:name w:val="List Number 2"/>
    <w:basedOn w:val="Normal"/>
    <w:unhideWhenUsed/>
    <w:rsid w:val="7A6EA4F2"/>
    <w:pPr>
      <w:numPr>
        <w:numId w:val="6"/>
      </w:numPr>
      <w:spacing/>
      <w:contextualSpacing/>
    </w:pPr>
  </w:style>
  <w:style w:type="paragraph" w:styleId="ListNumber3">
    <w:uiPriority w:val="99"/>
    <w:name w:val="List Number 3"/>
    <w:basedOn w:val="Normal"/>
    <w:unhideWhenUsed/>
    <w:rsid w:val="7A6EA4F2"/>
    <w:pPr>
      <w:numPr>
        <w:numId w:val="7"/>
      </w:numPr>
      <w:spacing/>
      <w:contextualSpacing/>
    </w:pPr>
  </w:style>
  <w:style w:type="paragraph" w:styleId="ListContinue">
    <w:uiPriority w:val="99"/>
    <w:name w:val="List Continue"/>
    <w:basedOn w:val="Normal"/>
    <w:unhideWhenUsed/>
    <w:rsid w:val="7A6EA4F2"/>
    <w:pPr>
      <w:spacing w:after="120"/>
      <w:ind w:left="360"/>
      <w:contextualSpacing/>
    </w:pPr>
  </w:style>
  <w:style w:type="paragraph" w:styleId="ListContinue2">
    <w:uiPriority w:val="99"/>
    <w:name w:val="List Continue 2"/>
    <w:basedOn w:val="Normal"/>
    <w:unhideWhenUsed/>
    <w:rsid w:val="7A6EA4F2"/>
    <w:pPr>
      <w:spacing w:after="120"/>
      <w:ind w:left="720"/>
      <w:contextualSpacing/>
    </w:pPr>
  </w:style>
  <w:style w:type="paragraph" w:styleId="ListContinue3">
    <w:uiPriority w:val="99"/>
    <w:name w:val="List Continue 3"/>
    <w:basedOn w:val="Normal"/>
    <w:unhideWhenUsed/>
    <w:rsid w:val="7A6EA4F2"/>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7A6EA4F2"/>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7A6EA4F2"/>
    <w:rPr>
      <w:b w:val="1"/>
      <w:bCs w:val="1"/>
      <w:color w:val="4F81BD" w:themeColor="accent1" w:themeTint="FF" w:themeShade="F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7A6EA4F2"/>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asks.xml><?xml version="1.0" encoding="utf-8"?>
<t:Tasks xmlns:t="http://schemas.microsoft.com/office/tasks/2019/documenttasks" xmlns:oel="http://schemas.microsoft.com/office/2019/extlst">
  <t:Task id="{C67BC264-FEFF-415E-97A8-D74601C1B65E}">
    <t:Anchor>
      <t:Comment id="184891464"/>
    </t:Anchor>
    <t:History>
      <t:Event id="{911C2B67-0C42-4768-9461-3255BECCA592}" time="2026-10-11T19:22:34.391Z">
        <t:Attribution userId="S::t321760@tjdft.jus.br::71ef89ef-9eb5-4780-8a4d-3f3a792db9c6" userProvider="AD" userName="Marcos Dwayne Saraiva Costa - GDSXSR"/>
        <t:Anchor>
          <t:Comment id="1888129895"/>
        </t:Anchor>
        <t:Create/>
      </t:Event>
      <t:Event id="{A9099FB8-1FA0-4673-8448-A211D5BA4203}" time="2026-10-11T19:22:34.391Z">
        <t:Attribution userId="S::t321760@tjdft.jus.br::71ef89ef-9eb5-4780-8a4d-3f3a792db9c6" userProvider="AD" userName="Marcos Dwayne Saraiva Costa - GDSXSR"/>
        <t:Anchor>
          <t:Comment id="1888129895"/>
        </t:Anchor>
        <t:Assign userId="S::t313207@tjdft.jus.br::d29e2de7-00a4-4621-a031-73d81317b1e9" userProvider="AD" userName="Marcelo Ribeiro Da Silva - GDSXSR"/>
      </t:Event>
      <t:Event id="{54AC2F5D-21E1-4639-8C81-C89659A16133}" time="2026-10-11T19:22:34.391Z">
        <t:Attribution userId="S::t321760@tjdft.jus.br::71ef89ef-9eb5-4780-8a4d-3f3a792db9c6" userProvider="AD" userName="Marcos Dwayne Saraiva Costa - GDSXSR"/>
        <t:Anchor>
          <t:Comment id="1888129895"/>
        </t:Anchor>
        <t:SetTitle title="@Marcelo Ribeiro Da Silva - GDSXSR indicar quem fez a liminar. Não coloque o nome do assessor que fez a liminar no nome do arquivo, vamos seguir o padrão. Ajuste a ementa ao modelo do gabinte, por favor."/>
      </t:Event>
      <t:Event id="{0C7952B5-5BE8-4F5D-B336-BAFBB63E508B}" time="2026-10-11T23:03:36.181Z">
        <t:Attribution userId="S::t313207@tjdft.jus.br::d29e2de7-00a4-4621-a031-73d81317b1e9" userProvider="AD" userName="Marcelo Ribeiro Da Silva - GDSXSR"/>
        <t:Anchor>
          <t:Comment id="1992573892"/>
        </t:Anchor>
        <t:UnassignAll/>
      </t:Event>
      <t:Event id="{582EBACF-6F68-42EA-911F-B805B123E2FC}" time="2026-10-11T23:03:36.181Z">
        <t:Attribution userId="S::t313207@tjdft.jus.br::d29e2de7-00a4-4621-a031-73d81317b1e9" userProvider="AD" userName="Marcelo Ribeiro Da Silva - GDSXSR"/>
        <t:Anchor>
          <t:Comment id="1992573892"/>
        </t:Anchor>
        <t:Assign userId="S::t321760@tjdft.jus.br::71ef89ef-9eb5-4780-8a4d-3f3a792db9c6" userProvider="AD" userName="Marcos Dwayne Saraiva Costa - GDSXSR"/>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comments" Target="comments.xml"/><Relationship Id="Rcbbabb10f6824d19" Type="http://schemas.microsoft.com/office/2016/09/relationships/commentsIds" Target="commentsIds.xml"/><Relationship Id="R6a89c3e11a324a5c" Type="http://schemas.microsoft.com/office/2011/relationships/commentsExtended" Target="commentsExtended.xml"/><Relationship Id="R87d1abcfb2244ae8" Type="http://schemas.microsoft.com/office/2018/08/relationships/commentsExtensible" Target="commentsExtensible.xml"/><Relationship Id="R3cf21916c7444e12" Type="http://schemas.microsoft.com/office/2011/relationships/people" Target="people.xml"/><Relationship Id="Rc22cb32ae97041e1" Type="http://schemas.microsoft.com/office/2019/05/relationships/documenttasks" Target="task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3</revision>
  <dcterms:created xsi:type="dcterms:W3CDTF">2013-12-23T23:15:00.0000000Z</dcterms:created>
  <dcterms:modified xsi:type="dcterms:W3CDTF">2026-10-11T23:05:46.9913324Z</dcterms:modified>
  <category/>
</coreProperties>
</file>