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23" w:type="dxa"/>
        <w:tblCellMar>
          <w:left w:w="0" w:type="dxa"/>
          <w:right w:w="0" w:type="dxa"/>
        </w:tblCellMar>
        <w:tblLook w:val="04A0" w:firstRow="1" w:lastRow="0" w:firstColumn="1" w:lastColumn="0" w:noHBand="0" w:noVBand="1"/>
      </w:tblPr>
      <w:tblGrid>
        <w:gridCol w:w="2822"/>
        <w:gridCol w:w="864"/>
        <w:gridCol w:w="447"/>
        <w:gridCol w:w="4371"/>
        <w:gridCol w:w="219"/>
      </w:tblGrid>
      <w:tr w:rsidR="00264107" w14:paraId="4680266B" w14:textId="77777777" w:rsidTr="650595E1">
        <w:trPr>
          <w:gridAfter w:val="1"/>
          <w:wAfter w:w="219" w:type="dxa"/>
        </w:trPr>
        <w:tc>
          <w:tcPr>
            <w:tcW w:w="2822" w:type="dxa"/>
            <w:hideMark/>
          </w:tcPr>
          <w:p w14:paraId="6DE29C9C" w14:textId="77777777" w:rsidR="00264107" w:rsidRDefault="00264107">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15C07C5B" wp14:editId="146F61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w:t>
            </w:r>
          </w:p>
        </w:tc>
        <w:tc>
          <w:tcPr>
            <w:tcW w:w="5682" w:type="dxa"/>
            <w:gridSpan w:val="3"/>
            <w:hideMark/>
          </w:tcPr>
          <w:p w14:paraId="299F0D40"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2DA0D32B">
            <w:pPr>
              <w:pStyle w:val="paragraph"/>
              <w:spacing w:before="0" w:beforeAutospacing="0" w:after="0" w:afterAutospacing="0"/>
              <w:ind w:left="255"/>
              <w:jc w:val="both"/>
              <w:textAlignment w:val="baseline"/>
              <w:rPr>
                <w:rFonts w:ascii="Segoe UI" w:hAnsi="Segoe UI" w:cs="Segoe UI"/>
                <w:sz w:val="18"/>
                <w:szCs w:val="18"/>
              </w:rPr>
            </w:pPr>
            <w:r w:rsidRPr="2DA0D32B">
              <w:rPr>
                <w:rStyle w:val="normaltextrun"/>
                <w:rFonts w:ascii="Calibri" w:hAnsi="Calibri" w:cs="Calibri"/>
                <w:color w:val="595959" w:themeColor="text1" w:themeTint="A6"/>
                <w:sz w:val="20"/>
                <w:szCs w:val="20"/>
              </w:rPr>
              <w:t>Tribunal de Justiça do Distrito Federal e dos Territórios</w:t>
            </w:r>
            <w:r w:rsidRPr="2DA0D32B">
              <w:rPr>
                <w:rStyle w:val="eop"/>
                <w:rFonts w:ascii="Calibri" w:hAnsi="Calibri" w:cs="Calibri"/>
                <w:color w:val="595959" w:themeColor="text1" w:themeTint="A6"/>
                <w:sz w:val="20"/>
                <w:szCs w:val="20"/>
              </w:rPr>
              <w:t> </w:t>
            </w:r>
          </w:p>
          <w:p w14:paraId="12B71A35"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r w:rsidR="004236F7" w:rsidRPr="009F36E1" w14:paraId="506E1C45"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1B672758" w14:textId="77777777" w:rsidR="004236F7" w:rsidRPr="009F36E1" w:rsidRDefault="004236F7">
            <w:pPr>
              <w:rPr>
                <w:rFonts w:ascii="Arial" w:hAnsi="Arial" w:cs="Arial"/>
                <w:sz w:val="28"/>
                <w:szCs w:val="28"/>
              </w:rPr>
            </w:pPr>
            <w:r w:rsidRPr="009F36E1">
              <w:rPr>
                <w:rFonts w:ascii="Arial" w:hAnsi="Arial" w:cs="Arial"/>
                <w:sz w:val="28"/>
                <w:szCs w:val="28"/>
              </w:rPr>
              <w:t>Órgão</w:t>
            </w:r>
          </w:p>
        </w:tc>
        <w:tc>
          <w:tcPr>
            <w:tcW w:w="447" w:type="dxa"/>
            <w:vAlign w:val="center"/>
          </w:tcPr>
          <w:p w14:paraId="5F5D25D2"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p w14:paraId="1380D4BD" w14:textId="77777777" w:rsidR="004236F7" w:rsidRPr="009F36E1" w:rsidRDefault="00000000">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7ACC47C5ADE849A18DA0C7907A361910"/>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4236F7" w:rsidRPr="009F36E1">
                  <w:rPr>
                    <w:rFonts w:ascii="Arial" w:hAnsi="Arial" w:cs="Arial"/>
                    <w:sz w:val="28"/>
                    <w:szCs w:val="28"/>
                  </w:rPr>
                  <w:t>4ª Turma Cível</w:t>
                </w:r>
              </w:sdtContent>
            </w:sdt>
          </w:p>
        </w:tc>
      </w:tr>
      <w:tr w:rsidR="004236F7" w:rsidRPr="009F36E1" w14:paraId="722A4191"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B3F5317" w14:textId="77777777" w:rsidR="004236F7" w:rsidRPr="009F36E1" w:rsidRDefault="004236F7">
            <w:pPr>
              <w:rPr>
                <w:rFonts w:ascii="Arial" w:hAnsi="Arial" w:cs="Arial"/>
                <w:sz w:val="28"/>
                <w:szCs w:val="28"/>
              </w:rPr>
            </w:pPr>
            <w:r w:rsidRPr="009F36E1">
              <w:rPr>
                <w:rFonts w:ascii="Arial" w:hAnsi="Arial" w:cs="Arial"/>
                <w:sz w:val="28"/>
                <w:szCs w:val="28"/>
              </w:rPr>
              <w:t>Classe</w:t>
            </w:r>
          </w:p>
        </w:tc>
        <w:tc>
          <w:tcPr>
            <w:tcW w:w="447" w:type="dxa"/>
            <w:vAlign w:val="center"/>
          </w:tcPr>
          <w:p w14:paraId="376372E5"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sdt>
            <w:sdtPr>
              <w:rPr>
                <w:rFonts w:cs="Arial"/>
                <w:i w:val="0"/>
                <w:iCs w:val="0"/>
                <w:sz w:val="28"/>
                <w:szCs w:val="28"/>
              </w:rPr>
              <w:id w:val="1558446301"/>
              <w:placeholder>
                <w:docPart w:val="F878D1793E2346938EC18DAD866E9010"/>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7D3B975A" w14:textId="77777777" w:rsidR="004236F7" w:rsidRPr="009F36E1" w:rsidRDefault="004236F7">
                <w:pPr>
                  <w:pStyle w:val="Citao"/>
                  <w:ind w:left="0" w:firstLine="0"/>
                  <w:jc w:val="both"/>
                  <w:rPr>
                    <w:rFonts w:cs="Arial"/>
                    <w:i w:val="0"/>
                    <w:iCs w:val="0"/>
                    <w:sz w:val="28"/>
                    <w:szCs w:val="28"/>
                  </w:rPr>
                </w:pPr>
                <w:r>
                  <w:rPr>
                    <w:rFonts w:cs="Arial"/>
                    <w:i w:val="0"/>
                    <w:iCs w:val="0"/>
                    <w:sz w:val="28"/>
                    <w:szCs w:val="28"/>
                  </w:rPr>
                  <w:t>Agravo de Instrumento</w:t>
                </w:r>
              </w:p>
            </w:sdtContent>
          </w:sdt>
        </w:tc>
      </w:tr>
      <w:tr w:rsidR="004236F7" w:rsidRPr="009F36E1" w14:paraId="185BA19B"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A224AD7" w14:textId="77777777" w:rsidR="004236F7" w:rsidRPr="009F36E1" w:rsidRDefault="004236F7">
            <w:pPr>
              <w:rPr>
                <w:rFonts w:ascii="Arial" w:hAnsi="Arial" w:cs="Arial"/>
                <w:sz w:val="28"/>
                <w:szCs w:val="28"/>
              </w:rPr>
            </w:pPr>
            <w:r w:rsidRPr="009F36E1">
              <w:rPr>
                <w:rFonts w:ascii="Arial" w:hAnsi="Arial" w:cs="Arial"/>
                <w:sz w:val="28"/>
                <w:szCs w:val="28"/>
              </w:rPr>
              <w:t>Processo nº</w:t>
            </w:r>
          </w:p>
        </w:tc>
        <w:tc>
          <w:tcPr>
            <w:tcW w:w="447" w:type="dxa"/>
            <w:vAlign w:val="center"/>
          </w:tcPr>
          <w:p w14:paraId="709DFAFC"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p w14:paraId="77B2906D" w14:textId="1A4DA40A" w:rsidR="004236F7" w:rsidRPr="009F36E1" w:rsidRDefault="00582A1C">
            <w:pPr>
              <w:ind w:right="-675"/>
              <w:rPr>
                <w:rFonts w:ascii="Arial" w:hAnsi="Arial" w:cs="Arial"/>
                <w:sz w:val="28"/>
                <w:szCs w:val="28"/>
              </w:rPr>
            </w:pPr>
            <w:r w:rsidRPr="00582A1C">
              <w:rPr>
                <w:rFonts w:ascii="Arial" w:hAnsi="Arial" w:cs="Arial"/>
                <w:sz w:val="28"/>
                <w:szCs w:val="28"/>
              </w:rPr>
              <w:t>0736676-26.2026.8.07.000</w:t>
            </w:r>
            <w:commentRangeStart w:id="0"/>
            <w:commentRangeStart w:id="1"/>
            <w:r w:rsidRPr="00582A1C">
              <w:rPr>
                <w:rFonts w:ascii="Arial" w:hAnsi="Arial" w:cs="Arial"/>
                <w:sz w:val="28"/>
                <w:szCs w:val="28"/>
              </w:rPr>
              <w:t>0</w:t>
            </w:r>
            <w:commentRangeEnd w:id="0"/>
            <w:r w:rsidR="009B5A73">
              <w:rPr>
                <w:rStyle w:val="Refdecomentrio"/>
                <w:rFonts w:ascii="Verdana" w:eastAsia="Times New Roman" w:hAnsi="Verdana" w:cs="Times New Roman"/>
                <w:lang w:val="x-none" w:eastAsia="x-none"/>
              </w:rPr>
              <w:commentReference w:id="0"/>
            </w:r>
            <w:commentRangeEnd w:id="1"/>
            <w:r w:rsidR="00B74F57">
              <w:rPr>
                <w:rStyle w:val="Refdecomentrio"/>
                <w:rFonts w:ascii="Verdana" w:eastAsia="Times New Roman" w:hAnsi="Verdana" w:cs="Times New Roman"/>
                <w:lang w:val="x-none" w:eastAsia="x-none"/>
              </w:rPr>
              <w:commentReference w:id="1"/>
            </w:r>
          </w:p>
        </w:tc>
      </w:tr>
      <w:tr w:rsidR="004236F7" w:rsidRPr="009F36E1" w14:paraId="4B19599A"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0E538277" w14:textId="77777777" w:rsidR="004236F7" w:rsidRPr="00F63CDB" w:rsidRDefault="00000000">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AA1EE3EF79994F978EAA8FE4FF7A26BD"/>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4236F7">
                  <w:rPr>
                    <w:rFonts w:ascii="Arial" w:eastAsia="Times New Roman" w:hAnsi="Arial" w:cs="Arial"/>
                    <w:sz w:val="28"/>
                    <w:szCs w:val="28"/>
                    <w:lang w:eastAsia="zh-CN"/>
                  </w:rPr>
                  <w:t>Agravante</w:t>
                </w:r>
              </w:sdtContent>
            </w:sdt>
            <w:r w:rsidR="004236F7" w:rsidRPr="00F63CDB">
              <w:rPr>
                <w:rFonts w:ascii="Arial" w:hAnsi="Arial" w:cs="Arial"/>
                <w:sz w:val="28"/>
                <w:szCs w:val="28"/>
              </w:rPr>
              <w:t xml:space="preserve"> (s)</w:t>
            </w:r>
          </w:p>
        </w:tc>
        <w:tc>
          <w:tcPr>
            <w:tcW w:w="447" w:type="dxa"/>
            <w:vAlign w:val="center"/>
          </w:tcPr>
          <w:p w14:paraId="34C0C9D3"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p w14:paraId="630B7F23" w14:textId="4EE0B88F" w:rsidR="004236F7" w:rsidRPr="009F36E1" w:rsidRDefault="00582A1C" w:rsidP="650595E1">
            <w:pPr>
              <w:jc w:val="both"/>
              <w:rPr>
                <w:rFonts w:ascii="Arial" w:hAnsi="Arial" w:cs="Arial"/>
                <w:sz w:val="28"/>
                <w:szCs w:val="28"/>
              </w:rPr>
            </w:pPr>
            <w:r w:rsidRPr="00582A1C">
              <w:rPr>
                <w:rFonts w:ascii="Arial" w:hAnsi="Arial" w:cs="Arial"/>
                <w:sz w:val="28"/>
                <w:szCs w:val="28"/>
              </w:rPr>
              <w:t>DISTRITO FEDERAL</w:t>
            </w:r>
          </w:p>
        </w:tc>
      </w:tr>
      <w:tr w:rsidR="004236F7" w:rsidRPr="009F36E1" w14:paraId="01956A99"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68F3466" w14:textId="77777777" w:rsidR="004236F7" w:rsidRPr="009F36E1" w:rsidRDefault="00000000">
            <w:pPr>
              <w:jc w:val="both"/>
              <w:rPr>
                <w:rFonts w:ascii="Arial" w:hAnsi="Arial" w:cs="Arial"/>
                <w:sz w:val="28"/>
                <w:szCs w:val="28"/>
              </w:rPr>
            </w:pPr>
            <w:sdt>
              <w:sdtPr>
                <w:rPr>
                  <w:rFonts w:ascii="Arial" w:eastAsia="Times New Roman" w:hAnsi="Arial" w:cs="Arial"/>
                  <w:sz w:val="28"/>
                  <w:szCs w:val="28"/>
                  <w:lang w:eastAsia="zh-CN"/>
                </w:rPr>
                <w:id w:val="-1351640470"/>
                <w:placeholder>
                  <w:docPart w:val="BC7F39C12B0F442FBBF9AD5B583FBDE0"/>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4236F7">
                  <w:rPr>
                    <w:rFonts w:ascii="Arial" w:eastAsia="Times New Roman" w:hAnsi="Arial" w:cs="Arial"/>
                    <w:sz w:val="28"/>
                    <w:szCs w:val="28"/>
                    <w:lang w:eastAsia="zh-CN"/>
                  </w:rPr>
                  <w:t>Agravado</w:t>
                </w:r>
              </w:sdtContent>
            </w:sdt>
            <w:r w:rsidR="004236F7" w:rsidRPr="009F36E1">
              <w:rPr>
                <w:rFonts w:ascii="Arial" w:hAnsi="Arial" w:cs="Arial"/>
                <w:sz w:val="28"/>
                <w:szCs w:val="28"/>
              </w:rPr>
              <w:t xml:space="preserve"> </w:t>
            </w:r>
            <w:r w:rsidR="004236F7">
              <w:rPr>
                <w:rFonts w:ascii="Arial" w:hAnsi="Arial" w:cs="Arial"/>
                <w:sz w:val="28"/>
                <w:szCs w:val="28"/>
              </w:rPr>
              <w:t>(</w:t>
            </w:r>
            <w:r w:rsidR="004236F7" w:rsidRPr="009F36E1">
              <w:rPr>
                <w:rFonts w:ascii="Arial" w:hAnsi="Arial" w:cs="Arial"/>
                <w:sz w:val="28"/>
                <w:szCs w:val="28"/>
              </w:rPr>
              <w:t>a)(s)</w:t>
            </w:r>
          </w:p>
        </w:tc>
        <w:tc>
          <w:tcPr>
            <w:tcW w:w="447" w:type="dxa"/>
            <w:vAlign w:val="center"/>
          </w:tcPr>
          <w:p w14:paraId="5EDA0385"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p w14:paraId="14C226F0" w14:textId="77777777" w:rsidR="00582A1C" w:rsidRPr="00582A1C" w:rsidRDefault="00582A1C" w:rsidP="00582A1C">
            <w:pPr>
              <w:ind w:right="-74"/>
              <w:jc w:val="both"/>
              <w:rPr>
                <w:rFonts w:ascii="Arial" w:hAnsi="Arial" w:cs="Arial"/>
                <w:sz w:val="28"/>
                <w:szCs w:val="28"/>
              </w:rPr>
            </w:pPr>
            <w:r w:rsidRPr="00582A1C">
              <w:rPr>
                <w:rFonts w:ascii="Arial" w:hAnsi="Arial" w:cs="Arial"/>
                <w:sz w:val="28"/>
                <w:szCs w:val="28"/>
              </w:rPr>
              <w:t>CIBELE MATOS CAVALCANTE,</w:t>
            </w:r>
          </w:p>
          <w:p w14:paraId="6CC5F6AE" w14:textId="775C7583" w:rsidR="004236F7" w:rsidRPr="009F36E1" w:rsidRDefault="00582A1C" w:rsidP="00582A1C">
            <w:pPr>
              <w:ind w:right="-74"/>
              <w:jc w:val="both"/>
              <w:rPr>
                <w:rFonts w:ascii="Arial" w:hAnsi="Arial" w:cs="Arial"/>
                <w:sz w:val="28"/>
                <w:szCs w:val="28"/>
              </w:rPr>
            </w:pPr>
            <w:r w:rsidRPr="00582A1C">
              <w:rPr>
                <w:rFonts w:ascii="Arial" w:hAnsi="Arial" w:cs="Arial"/>
                <w:sz w:val="28"/>
                <w:szCs w:val="28"/>
              </w:rPr>
              <w:t>SOLANO RAMOS GUEDES</w:t>
            </w:r>
          </w:p>
        </w:tc>
      </w:tr>
      <w:tr w:rsidR="004236F7" w:rsidRPr="009F36E1" w14:paraId="04C2C9E0"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C272CF2" w14:textId="77777777" w:rsidR="004236F7" w:rsidRPr="009F36E1" w:rsidRDefault="004236F7">
            <w:pPr>
              <w:rPr>
                <w:rFonts w:ascii="Arial" w:hAnsi="Arial" w:cs="Arial"/>
                <w:sz w:val="28"/>
                <w:szCs w:val="28"/>
              </w:rPr>
            </w:pPr>
            <w:r w:rsidRPr="009F36E1">
              <w:rPr>
                <w:rFonts w:ascii="Arial" w:hAnsi="Arial" w:cs="Arial"/>
                <w:sz w:val="28"/>
                <w:szCs w:val="28"/>
              </w:rPr>
              <w:t>Relator(a)</w:t>
            </w:r>
          </w:p>
        </w:tc>
        <w:tc>
          <w:tcPr>
            <w:tcW w:w="447" w:type="dxa"/>
            <w:vAlign w:val="center"/>
          </w:tcPr>
          <w:p w14:paraId="65F4370D" w14:textId="77777777" w:rsidR="004236F7" w:rsidRPr="009F36E1" w:rsidRDefault="004236F7">
            <w:pPr>
              <w:ind w:right="-11"/>
              <w:rPr>
                <w:rFonts w:ascii="Arial" w:hAnsi="Arial" w:cs="Arial"/>
                <w:sz w:val="28"/>
                <w:szCs w:val="28"/>
              </w:rPr>
            </w:pPr>
            <w:r w:rsidRPr="009F36E1">
              <w:rPr>
                <w:rFonts w:ascii="Arial" w:hAnsi="Arial" w:cs="Arial"/>
                <w:sz w:val="28"/>
                <w:szCs w:val="28"/>
              </w:rPr>
              <w:t>:</w:t>
            </w:r>
          </w:p>
        </w:tc>
        <w:tc>
          <w:tcPr>
            <w:tcW w:w="4590" w:type="dxa"/>
            <w:gridSpan w:val="2"/>
            <w:vAlign w:val="center"/>
          </w:tcPr>
          <w:p w14:paraId="64F0CBAE" w14:textId="77777777" w:rsidR="004236F7" w:rsidRPr="009F36E1" w:rsidRDefault="004236F7">
            <w:pPr>
              <w:rPr>
                <w:rFonts w:ascii="Arial" w:hAnsi="Arial" w:cs="Arial"/>
                <w:b/>
                <w:sz w:val="28"/>
                <w:szCs w:val="28"/>
              </w:rPr>
            </w:pPr>
            <w:r w:rsidRPr="009F36E1">
              <w:rPr>
                <w:rFonts w:ascii="Arial" w:hAnsi="Arial" w:cs="Arial"/>
                <w:b/>
                <w:bCs/>
                <w:sz w:val="28"/>
                <w:szCs w:val="28"/>
              </w:rPr>
              <w:t>Des. Sérgio Rocha</w:t>
            </w:r>
          </w:p>
        </w:tc>
      </w:tr>
    </w:tbl>
    <w:p>
      <w:pPr>
        <w:spacing w:before="0" w:after="0" w:line="360" w:lineRule="auto"/>
        <w:jc w:val="both"/>
      </w:pPr>
    </w:p>
    <w:p>
      <w:pPr>
        <w:spacing w:before="0" w:after="0" w:line="360" w:lineRule="auto"/>
        <w:jc w:val="left"/>
      </w:pPr>
      <w:r>
        <w:rPr>
          <w:rFonts w:ascii="Arial" w:hAnsi="Arial" w:cs="Arial" w:eastAsia="Arial"/>
          <w:b/>
          <w:sz w:val="28"/>
        </w:rPr>
        <w:t>EMENTA</w:t>
      </w:r>
    </w:p>
    <w:p>
      <w:pPr>
        <w:spacing w:before="0" w:after="0" w:line="360" w:lineRule="auto"/>
        <w:jc w:val="both"/>
      </w:pPr>
    </w:p>
    <w:p>
      <w:pPr>
        <w:spacing w:before="0" w:after="0" w:line="360" w:lineRule="auto"/>
        <w:jc w:val="both"/>
      </w:pPr>
      <w:commentRangeStart w:id="0"/>
      <w:r>
        <w:rPr>
          <w:rFonts w:ascii="Arial" w:hAnsi="Arial" w:cs="Arial" w:eastAsia="Arial"/>
          <w:sz w:val="28"/>
        </w:rPr>
        <w:t>AGRAVO DE INSTRUMENTO. DIREITO ADMINISTRATIVO E PROCESSUAL CIVIL. CUMPRIMENTO INDIVIDUAL DE SENTENÇA COLETIVA. POLICIAIS PENAIS DO DISTRITO FEDERAL. “25ª HORA”. PRESCRIÇÃO DA PRETENSÃO EXECUTÓRIA. INOCORRÊNCIA. REGIME DE SUBSÍDIO. LEI DISTRITAL Nº 7.481/2024. COISA JULGADA. RECURSO NÃO PROVIDO.</w:t>
      </w:r>
      <w:commentRangeEnd w:id="0"/>
      <w:r>
        <w:rPr>
          <w:rStyle w:val="CommentReference"/>
        </w:rPr>
        <w:commentReference w:id="0"/>
      </w:r>
    </w:p>
    <w:p>
      <w:pPr>
        <w:spacing w:before="0" w:after="0" w:line="360" w:lineRule="auto"/>
        <w:jc w:val="left"/>
      </w:pPr>
      <w:r>
        <w:rPr>
          <w:rFonts w:ascii="Arial" w:hAnsi="Arial" w:cs="Arial" w:eastAsia="Arial"/>
          <w:b/>
          <w:sz w:val="28"/>
        </w:rPr>
        <w:t>I. Caso em exame</w:t>
      </w:r>
    </w:p>
    <w:p>
      <w:pPr>
        <w:spacing w:before="0" w:after="0" w:line="360" w:lineRule="auto"/>
        <w:jc w:val="both"/>
      </w:pPr>
      <w:commentRangeStart w:id="1"/>
      <w:r>
        <w:rPr>
          <w:rFonts w:ascii="Arial" w:hAnsi="Arial" w:cs="Arial" w:eastAsia="Arial"/>
          <w:sz w:val="28"/>
        </w:rPr>
        <w:t>1. Cumprimento individual de sentença coletiva proposto por pessoa natural, integrante da Carreira de Atividades Penitenciárias do Distrito Federal, contra o Distrito Federal, visando ao restabelecimento do pagamento da “25ª hora” (Ação Coletiva nº 0007537-02.2015.8.07.0018).</w:t>
      </w:r>
      <w:commentRangeEnd w:id="1"/>
      <w:r>
        <w:rPr>
          <w:rStyle w:val="CommentReference"/>
        </w:rPr>
        <w:commentReference w:id="1"/>
      </w:r>
    </w:p>
    <w:p>
      <w:pPr>
        <w:spacing w:before="0" w:after="0" w:line="360" w:lineRule="auto"/>
        <w:jc w:val="both"/>
      </w:pPr>
      <w:r>
        <w:rPr>
          <w:rFonts w:ascii="Arial" w:hAnsi="Arial" w:cs="Arial" w:eastAsia="Arial"/>
          <w:sz w:val="28"/>
        </w:rPr>
        <w:t>2. A decisão agravada rejeitou a impugnação do Distrito Federal, afastou a prescrição da pretensão executória e a absorção da “25ª hora” pelo subsídio e determinou a comprovação do cumprimento da obrigação de fazer, sob pena de multa diária.</w:t>
      </w:r>
    </w:p>
    <w:p>
      <w:pPr>
        <w:spacing w:before="0" w:after="0" w:line="360" w:lineRule="auto"/>
        <w:jc w:val="both"/>
      </w:pPr>
      <w:r>
        <w:rPr>
          <w:rFonts w:ascii="Arial" w:hAnsi="Arial" w:cs="Arial" w:eastAsia="Arial"/>
          <w:sz w:val="28"/>
        </w:rPr>
        <w:t>3. O Distrito Federal agrava requerendo a suspensão do cumprimento de sentença e, no mérito, a procedência da impugnação, com o reconhecimento da prescrição da pretensão executória e da absorção da “25ª hora” pelo regime de subsídio.</w:t>
      </w:r>
    </w:p>
    <w:p>
      <w:pPr>
        <w:spacing w:before="0" w:after="0" w:line="360" w:lineRule="auto"/>
        <w:jc w:val="left"/>
      </w:pPr>
      <w:r>
        <w:rPr>
          <w:rFonts w:ascii="Arial" w:hAnsi="Arial" w:cs="Arial" w:eastAsia="Arial"/>
          <w:b/>
          <w:sz w:val="28"/>
        </w:rPr>
        <w:t>II. Questão em discussão</w:t>
      </w:r>
    </w:p>
    <w:p>
      <w:pPr>
        <w:spacing w:before="0" w:after="0" w:line="360" w:lineRule="auto"/>
        <w:jc w:val="both"/>
      </w:pPr>
      <w:r>
        <w:rPr>
          <w:rFonts w:ascii="Arial" w:hAnsi="Arial" w:cs="Arial" w:eastAsia="Arial"/>
          <w:sz w:val="28"/>
        </w:rPr>
        <w:t>4. Há duas questões em discussão: (i) saber se está prescrita a pretensão executória; e (ii) saber se a instituição do regime de subsídio pela Lei Distrital nº 7.481/2024 tornou inexigível a “25ª hora” reconhecida no título executivo.</w:t>
      </w:r>
    </w:p>
    <w:p>
      <w:pPr>
        <w:spacing w:before="0" w:after="0" w:line="360" w:lineRule="auto"/>
        <w:jc w:val="left"/>
      </w:pPr>
      <w:r>
        <w:rPr>
          <w:rFonts w:ascii="Arial" w:hAnsi="Arial" w:cs="Arial" w:eastAsia="Arial"/>
          <w:b/>
          <w:sz w:val="28"/>
        </w:rPr>
        <w:t>III. Razões de decidir</w:t>
      </w:r>
    </w:p>
    <w:p>
      <w:pPr>
        <w:spacing w:before="0" w:after="0" w:line="360" w:lineRule="auto"/>
        <w:jc w:val="both"/>
      </w:pPr>
      <w:r>
        <w:rPr>
          <w:rFonts w:ascii="Arial" w:hAnsi="Arial" w:cs="Arial" w:eastAsia="Arial"/>
          <w:sz w:val="28"/>
        </w:rPr>
        <w:t>5. A pretensão executória nasce com a violação concreta do direito, e o Distrito Federal cumpriu a obrigação reconhecida no título até julho de 2024, de modo que o cumprimento de sentença proposto em 20/03/2026 não está prescrito (Decreto nº 20.910/1932, arts. 1º e 3º).</w:t>
      </w:r>
    </w:p>
    <w:p>
      <w:pPr>
        <w:spacing w:before="0" w:after="0" w:line="360" w:lineRule="auto"/>
        <w:jc w:val="both"/>
      </w:pPr>
      <w:r>
        <w:rPr>
          <w:rFonts w:ascii="Arial" w:hAnsi="Arial" w:cs="Arial" w:eastAsia="Arial"/>
          <w:sz w:val="28"/>
        </w:rPr>
        <w:t>6. A alegada absorção da “25ª hora” pelo subsídio exige exame aprofundado da compatibilidade entre o título executivo transitado em julgado e a lei superveniente, o que extrapola os limites da fase de cumprimento de sentença, e o título determinou expressamente a inclusão da parcela no contracheque.</w:t>
      </w:r>
    </w:p>
    <w:p>
      <w:pPr>
        <w:spacing w:before="0" w:after="0" w:line="360" w:lineRule="auto"/>
        <w:jc w:val="both"/>
      </w:pPr>
      <w:r>
        <w:rPr>
          <w:rFonts w:ascii="Arial" w:hAnsi="Arial" w:cs="Arial" w:eastAsia="Arial"/>
          <w:sz w:val="28"/>
        </w:rPr>
        <w:t>7. O regime de subsídio não é compatível com a percepção de outras parcelas inerentes ao exercício do cargo, mas não afasta o direito à retribuição pelas horas extras realizadas que ultrapassem a quantidade remunerada pela parcela única (STF, ADI 5.404).</w:t>
      </w:r>
    </w:p>
    <w:p>
      <w:pPr>
        <w:spacing w:before="0" w:after="0" w:line="360" w:lineRule="auto"/>
        <w:jc w:val="both"/>
      </w:pPr>
      <w:r>
        <w:rPr>
          <w:rFonts w:ascii="Arial" w:hAnsi="Arial" w:cs="Arial" w:eastAsia="Arial"/>
          <w:sz w:val="28"/>
        </w:rPr>
        <w:t>8. A jurisprudência do TJDFT afirma que a Lei Distrital nº 7.481/2024 não torna inexigível o título que reconheceu a “25ª hora”, ainda que se discuta a natureza da verba, pois a decisão exequenda reconheceu a sua exigibilidade.</w:t>
      </w:r>
    </w:p>
    <w:p>
      <w:pPr>
        <w:spacing w:before="0" w:after="0" w:line="360" w:lineRule="auto"/>
        <w:jc w:val="left"/>
      </w:pPr>
      <w:r>
        <w:rPr>
          <w:rFonts w:ascii="Arial" w:hAnsi="Arial" w:cs="Arial" w:eastAsia="Arial"/>
          <w:b/>
          <w:sz w:val="28"/>
        </w:rPr>
        <w:t>IV. Dispositivo</w:t>
      </w:r>
    </w:p>
    <w:p>
      <w:pPr>
        <w:spacing w:before="0" w:after="0" w:line="360" w:lineRule="auto"/>
        <w:jc w:val="both"/>
      </w:pPr>
      <w:r>
        <w:rPr>
          <w:rFonts w:ascii="Arial" w:hAnsi="Arial" w:cs="Arial" w:eastAsia="Arial"/>
          <w:sz w:val="28"/>
        </w:rPr>
        <w:t>9. Negou-se provimento ao agravo de instrumento do executado.</w:t>
      </w:r>
    </w:p>
    <w:p>
      <w:pPr>
        <w:spacing w:before="0" w:after="0" w:line="360" w:lineRule="auto"/>
        <w:jc w:val="both"/>
      </w:pPr>
      <w:r>
        <w:rPr>
          <w:rFonts w:ascii="Arial" w:hAnsi="Arial" w:cs="Arial" w:eastAsia="Arial"/>
          <w:sz w:val="28"/>
        </w:rPr>
        <w:t>_____</w:t>
      </w:r>
    </w:p>
    <w:p>
      <w:pPr>
        <w:spacing w:before="0" w:after="0" w:line="360" w:lineRule="auto"/>
        <w:jc w:val="both"/>
      </w:pPr>
      <w:commentRangeStart w:id="2"/>
      <w:r>
        <w:rPr>
          <w:rFonts w:ascii="Arial" w:hAnsi="Arial" w:cs="Arial" w:eastAsia="Arial"/>
          <w:i/>
          <w:sz w:val="26"/>
        </w:rPr>
        <w:t>Dispositivos relevantes citados:</w:t>
      </w:r>
      <w:r>
        <w:rPr>
          <w:rFonts w:ascii="Arial" w:hAnsi="Arial" w:cs="Arial" w:eastAsia="Arial"/>
          <w:sz w:val="26"/>
        </w:rPr>
        <w:t xml:space="preserve"> Decreto nº 20.910/1932, arts. 1º e 3º; Lei Distrital nº 7.481/2024.</w:t>
      </w:r>
      <w:commentRangeEnd w:id="2"/>
      <w:r>
        <w:rPr>
          <w:rStyle w:val="CommentReference"/>
        </w:rPr>
        <w:commentReference w:id="2"/>
      </w:r>
    </w:p>
    <w:p>
      <w:pPr>
        <w:spacing w:before="0" w:after="0" w:line="360" w:lineRule="auto"/>
        <w:jc w:val="both"/>
      </w:pPr>
      <w:commentRangeStart w:id="3"/>
      <w:r>
        <w:rPr>
          <w:rFonts w:ascii="Arial" w:hAnsi="Arial" w:cs="Arial" w:eastAsia="Arial"/>
          <w:i/>
          <w:sz w:val="26"/>
        </w:rPr>
        <w:t>Jurisprudência relevante citada:</w:t>
      </w:r>
      <w:r>
        <w:rPr>
          <w:rFonts w:ascii="Arial" w:hAnsi="Arial" w:cs="Arial" w:eastAsia="Arial"/>
          <w:sz w:val="26"/>
        </w:rPr>
        <w:t xml:space="preserve"> STF, ADI nº 5.404, Rel. Min. Roberto Barroso, Tribunal Pleno, j. 06/03/2023, DJe 09/03/2023; Acórdão 2147673, Processo nº 0701065-55.2026.8.07.0018, Relª. Desª. Vera Andrighi, 6ª Turma Cível, j. 01/07/2026, DJe 27/07/2026; Acórdão 2158010, Processo nº 0708803-51.2026.8.07.0000, Rel. Des. Carlos Pires Soares Neto, 1ª Turma Cível, j. 29/07/2026, DJe 14/08/2026; Acórdão 2158076, Processo nº 0717931-95.2026.8.07.0000, Relª. Desª. Soníria Rocha Campos D'Assunção, 7ª Turma Cível, j. 29/07/2026, DJe 14/08/2026.</w:t>
      </w:r>
      <w:commentRangeEnd w:id="3"/>
      <w:r>
        <w:rPr>
          <w:rStyle w:val="CommentReference"/>
        </w:rPr>
        <w:commentReference w:id="3"/>
      </w:r>
    </w:p>
    <w:p>
      <w:pPr>
        <w:spacing w:before="0" w:after="0" w:line="360" w:lineRule="auto"/>
        <w:jc w:val="both"/>
      </w:pPr>
    </w:p>
    <w:p>
      <w:pPr>
        <w:spacing w:before="0" w:after="0" w:line="360" w:lineRule="auto"/>
        <w:jc w:val="left"/>
      </w:pPr>
      <w:r>
        <w:rPr>
          <w:rFonts w:ascii="Arial" w:hAnsi="Arial" w:cs="Arial" w:eastAsia="Arial"/>
          <w:b/>
          <w:color w:val="EE0000"/>
          <w:sz w:val="28"/>
          <w:highlight w:val="yellow"/>
        </w:rPr>
        <w:t>RESUMO DO AGRAVO EM SENTIDO CONTRÁRIO AO VOTO</w:t>
      </w:r>
    </w:p>
    <w:p>
      <w:pPr>
        <w:spacing w:before="0" w:after="0" w:line="360" w:lineRule="auto"/>
        <w:jc w:val="left"/>
      </w:pPr>
      <w:r>
        <w:rPr>
          <w:rFonts w:ascii="Arial" w:hAnsi="Arial" w:cs="Arial" w:eastAsia="Arial"/>
          <w:b/>
          <w:color w:val="EE0000"/>
          <w:sz w:val="28"/>
        </w:rPr>
        <w:t>I. RAZÕES RECURSAIS</w:t>
      </w:r>
    </w:p>
    <w:p>
      <w:pPr>
        <w:spacing w:before="0" w:after="0" w:line="360" w:lineRule="auto"/>
        <w:jc w:val="left"/>
      </w:pPr>
      <w:r>
        <w:rPr>
          <w:rFonts w:ascii="Arial" w:hAnsi="Arial" w:cs="Arial" w:eastAsia="Arial"/>
          <w:b/>
          <w:color w:val="EE0000"/>
          <w:sz w:val="28"/>
        </w:rPr>
        <w:t>Prescrição da pretensão executória</w:t>
      </w:r>
    </w:p>
    <w:p>
      <w:pPr>
        <w:spacing w:before="0" w:after="0" w:line="360" w:lineRule="auto"/>
        <w:jc w:val="both"/>
      </w:pPr>
      <w:r>
        <w:rPr>
          <w:rFonts w:ascii="Arial" w:hAnsi="Arial" w:cs="Arial" w:eastAsia="Arial"/>
          <w:color w:val="EE0000"/>
          <w:sz w:val="28"/>
        </w:rPr>
        <w:t>1. Alega que o título coletivo transitou em julgado em 20/03/2018 e que o cumprimento individual só foi proposto em 20/03/2026, depois do prazo quinquenal do art. 1º do Decreto nº 20.910/1932; sustenta que o alegado descumprimento ao final de 2024 não reabre nem suspende o prazo, contado do trânsito em julgado, e que a decisão agravada aplicou incorretamente a actio nata (ID 88042303).</w:t>
      </w:r>
    </w:p>
    <w:p>
      <w:pPr>
        <w:spacing w:before="0" w:after="0" w:line="360" w:lineRule="auto"/>
        <w:jc w:val="left"/>
      </w:pPr>
      <w:r>
        <w:rPr>
          <w:rFonts w:ascii="Arial" w:hAnsi="Arial" w:cs="Arial" w:eastAsia="Arial"/>
          <w:b/>
          <w:color w:val="EE0000"/>
          <w:sz w:val="28"/>
        </w:rPr>
        <w:t>Natureza da “25ª hora”</w:t>
      </w:r>
    </w:p>
    <w:p>
      <w:pPr>
        <w:spacing w:before="0" w:after="0" w:line="360" w:lineRule="auto"/>
        <w:jc w:val="both"/>
      </w:pPr>
      <w:r>
        <w:rPr>
          <w:rFonts w:ascii="Arial" w:hAnsi="Arial" w:cs="Arial" w:eastAsia="Arial"/>
          <w:color w:val="EE0000"/>
          <w:sz w:val="28"/>
        </w:rPr>
        <w:t>2. Afirma que a “25ª hora” não é serviço extraordinário, mas hora extra ficta decorrente da contagem da hora noturna em 52min30s, que faz a jornada regular de plantão de 24 horas resultar em 25 horas (ID 88042303).</w:t>
      </w:r>
    </w:p>
    <w:p>
      <w:pPr>
        <w:spacing w:before="0" w:after="0" w:line="360" w:lineRule="auto"/>
        <w:jc w:val="left"/>
      </w:pPr>
      <w:r>
        <w:rPr>
          <w:rFonts w:ascii="Arial" w:hAnsi="Arial" w:cs="Arial" w:eastAsia="Arial"/>
          <w:b/>
          <w:color w:val="EE0000"/>
          <w:sz w:val="28"/>
        </w:rPr>
        <w:t>Absorção pelo regime de subsídio</w:t>
      </w:r>
    </w:p>
    <w:p>
      <w:pPr>
        <w:spacing w:before="0" w:after="0" w:line="360" w:lineRule="auto"/>
        <w:jc w:val="both"/>
      </w:pPr>
      <w:r>
        <w:rPr>
          <w:rFonts w:ascii="Arial" w:hAnsi="Arial" w:cs="Arial" w:eastAsia="Arial"/>
          <w:color w:val="EE0000"/>
          <w:sz w:val="28"/>
        </w:rPr>
        <w:t>3. Defende que a Lei Distrital nº 7.481/2024 transformou a remuneração em subsídio de parcela única, vedado o acréscimo de adicionais, e incluiu o adicional noturno entre as parcelas absorvidas; invoca o Parecer nº 272/2024 PGDF/PGCONS e afirma que a lei superveniente tornou prejudicada a condenação (ID 88042303).</w:t>
      </w:r>
    </w:p>
    <w:p>
      <w:pPr>
        <w:spacing w:before="0" w:after="0" w:line="360" w:lineRule="auto"/>
        <w:jc w:val="left"/>
      </w:pPr>
      <w:r>
        <w:rPr>
          <w:rFonts w:ascii="Arial" w:hAnsi="Arial" w:cs="Arial" w:eastAsia="Arial"/>
          <w:b/>
          <w:color w:val="EE0000"/>
          <w:sz w:val="28"/>
        </w:rPr>
        <w:t>Alcance da ADI 5.404 e direito adquirido</w:t>
      </w:r>
    </w:p>
    <w:p>
      <w:pPr>
        <w:spacing w:before="0" w:after="0" w:line="360" w:lineRule="auto"/>
        <w:jc w:val="both"/>
      </w:pPr>
      <w:r>
        <w:rPr>
          <w:rFonts w:ascii="Arial" w:hAnsi="Arial" w:cs="Arial" w:eastAsia="Arial"/>
          <w:color w:val="EE0000"/>
          <w:sz w:val="28"/>
        </w:rPr>
        <w:t>4. Sustenta que a ADI 5.404 só afasta o subsídio para as horas extras que ultrapassem a jornada remunerada pela parcela única, o que não é o caso da “25ª hora”, e que não há direito adquirido a regime jurídico (ID 88042303).</w:t>
      </w:r>
    </w:p>
    <w:p>
      <w:pPr>
        <w:spacing w:before="0" w:after="0" w:line="360" w:lineRule="auto"/>
        <w:jc w:val="left"/>
      </w:pPr>
      <w:r>
        <w:rPr>
          <w:rFonts w:ascii="Arial" w:hAnsi="Arial" w:cs="Arial" w:eastAsia="Arial"/>
          <w:b/>
          <w:color w:val="EE0000"/>
          <w:sz w:val="28"/>
        </w:rPr>
        <w:t>Antecipação da tutela recursal</w:t>
      </w:r>
    </w:p>
    <w:p>
      <w:pPr>
        <w:spacing w:before="0" w:after="0" w:line="360" w:lineRule="auto"/>
        <w:jc w:val="both"/>
      </w:pPr>
      <w:r>
        <w:rPr>
          <w:rFonts w:ascii="Arial" w:hAnsi="Arial" w:cs="Arial" w:eastAsia="Arial"/>
          <w:color w:val="EE0000"/>
          <w:sz w:val="28"/>
        </w:rPr>
        <w:t>5. Alega risco de pagamento indevido de valores, sem perigo de dano reverso, e pede que se obste a multa por descumprimento até o julgamento do agravo (ID 88042303).</w:t>
      </w:r>
    </w:p>
    <w:p>
      <w:pPr>
        <w:spacing w:before="0" w:after="0" w:line="360" w:lineRule="auto"/>
        <w:jc w:val="left"/>
      </w:pPr>
      <w:r>
        <w:rPr>
          <w:rFonts w:ascii="Arial" w:hAnsi="Arial" w:cs="Arial" w:eastAsia="Arial"/>
          <w:b/>
          <w:color w:val="EE0000"/>
          <w:sz w:val="28"/>
        </w:rPr>
        <w:t>II. PEDIDO</w:t>
      </w:r>
    </w:p>
    <w:p>
      <w:pPr>
        <w:spacing w:before="0" w:after="0" w:line="360" w:lineRule="auto"/>
        <w:jc w:val="both"/>
      </w:pPr>
      <w:r>
        <w:rPr>
          <w:rFonts w:ascii="Arial" w:hAnsi="Arial" w:cs="Arial" w:eastAsia="Arial"/>
          <w:color w:val="EE0000"/>
          <w:sz w:val="28"/>
        </w:rPr>
        <w:t>6. Requer a suspensão do cumprimento de sentença até o julgamento do agravo e, no mérito, a reforma da decisão agravada, com a procedência da impugnação e a extinção do cumprimento de sentença (ID 88042303).</w:t>
      </w:r>
    </w:p>
    <w:p>
      <w:pPr>
        <w:spacing w:before="0" w:after="0" w:line="360" w:lineRule="auto"/>
        <w:jc w:val="both"/>
      </w:pPr>
    </w:p>
    <w:p>
      <w:pPr>
        <w:pageBreakBefore/>
        <w:spacing w:before="0" w:after="0" w:line="360" w:lineRule="auto"/>
        <w:jc w:val="center"/>
      </w:pPr>
      <w:r>
        <w:rPr>
          <w:rFonts w:ascii="Arial" w:hAnsi="Arial" w:cs="Arial" w:eastAsia="Arial"/>
          <w:b/>
          <w:sz w:val="28"/>
        </w:rPr>
        <w:t>RELATÓRIO</w:t>
      </w:r>
    </w:p>
    <w:p>
      <w:pPr>
        <w:spacing w:before="0" w:after="0" w:line="360" w:lineRule="auto"/>
        <w:ind w:firstLine="2268"/>
        <w:jc w:val="both"/>
      </w:pPr>
    </w:p>
    <w:p>
      <w:pPr>
        <w:spacing w:before="0" w:after="0" w:line="360" w:lineRule="auto"/>
        <w:ind w:firstLine="2268"/>
        <w:jc w:val="both"/>
      </w:pPr>
      <w:r>
        <w:rPr>
          <w:rFonts w:ascii="Arial" w:hAnsi="Arial" w:cs="Arial" w:eastAsia="Arial"/>
          <w:sz w:val="28"/>
        </w:rPr>
        <w:t>Adoto o relatório da liminar (ID 88232401):</w:t>
      </w:r>
    </w:p>
    <w:p>
      <w:pPr>
        <w:spacing w:before="0" w:after="0" w:line="360" w:lineRule="auto"/>
        <w:ind w:firstLine="2268"/>
        <w:jc w:val="both"/>
      </w:pPr>
    </w:p>
    <w:p>
      <w:pPr>
        <w:spacing w:before="0" w:after="0" w:line="360" w:lineRule="auto"/>
        <w:ind w:left="2268" w:firstLine="1134"/>
        <w:jc w:val="both"/>
      </w:pPr>
      <w:r>
        <w:rPr>
          <w:rFonts w:ascii="Arial" w:hAnsi="Arial" w:cs="Arial" w:eastAsia="Arial"/>
          <w:i/>
          <w:sz w:val="26"/>
        </w:rPr>
        <w:t>“Trata-se de cumprimento de sentença instaurado por Cibele Matos Cavalcante e Solano Ramos Guedes em face do Distrito Federal, visando ao restabelecimento do pagamento da parcela denominada “25ª hora” ou hora extra noturna, reconhecida em ação coletiva referente aos integrantes da carreira de atividades penitenciárias do Distrito Federal (n. 0007537-02.2015.8.07.0018).</w:t>
      </w:r>
    </w:p>
    <w:p>
      <w:pPr>
        <w:spacing w:before="0" w:after="0" w:line="360" w:lineRule="auto"/>
        <w:ind w:left="2268" w:firstLine="1134"/>
        <w:jc w:val="both"/>
      </w:pPr>
      <w:r>
        <w:rPr>
          <w:rFonts w:ascii="Arial" w:hAnsi="Arial" w:cs="Arial" w:eastAsia="Arial"/>
          <w:i/>
          <w:sz w:val="26"/>
        </w:rPr>
        <w:t>O Juízo de origem rejeitou a impugnação ao cumprimento de sentença apresentada pelo Distrito Federal, afastando a alegação de prescrição da pretensão executória e reconhecendo que a instituição do regime de subsídio pela Lei Distrital nº 7.481/2024 não teria absorvido a verba objeto da execução. Determinou, ainda, a comprovação do integral cumprimento da obrigação de fazer, sob pena de multa diária (ID 284727772).</w:t>
      </w:r>
    </w:p>
    <w:p>
      <w:pPr>
        <w:spacing w:before="0" w:after="0" w:line="360" w:lineRule="auto"/>
        <w:ind w:left="2268" w:firstLine="1134"/>
        <w:jc w:val="both"/>
      </w:pPr>
      <w:r>
        <w:rPr>
          <w:rFonts w:ascii="Arial" w:hAnsi="Arial" w:cs="Arial" w:eastAsia="Arial"/>
          <w:i/>
          <w:sz w:val="26"/>
        </w:rPr>
        <w:t>Inconformado, o executado interpõe o presente agravo de instrumento, sustentando, em síntese, que: 1) a pretensão executória encontra-se prescrita, pois o cumprimento individual da sentença coletiva foi ajuizado mais de cinco anos após o trânsito em julgado do título coletivo; 2) a decisão agravada aplicou incorretamente o princípio da actio nata; 3) a denominada “25ª hora” não corresponde a serviço extraordinário efetivamente prestado, mas decorre exclusivamente da ficção legal da hora noturna reduzida; 4) a Lei Distrital nº 7.481/2024 instituiu remuneração por subsídio em parcela única, absorvendo o adicional noturno e as parcelas inerentes ao exercício ordinário do cargo; 5) a manutenção da parcela executada contraria a lógica constitucional do subsídio e o entendimento firmado pelo Supremo Tribunal Federal acerca da absorção de parcelas vinculadas às atribuições ordinárias da carreira.</w:t>
      </w:r>
    </w:p>
    <w:p>
      <w:pPr>
        <w:spacing w:before="0" w:after="0" w:line="360" w:lineRule="auto"/>
        <w:ind w:left="2268" w:firstLine="1134"/>
        <w:jc w:val="both"/>
      </w:pPr>
      <w:r>
        <w:rPr>
          <w:rFonts w:ascii="Arial" w:hAnsi="Arial" w:cs="Arial" w:eastAsia="Arial"/>
          <w:i/>
          <w:sz w:val="26"/>
        </w:rPr>
        <w:t>Requer o deferimento da antecipação de tutela recursal para suspender o cumprimento de sentença até o julgamento definitivo do recurso.</w:t>
      </w:r>
    </w:p>
    <w:p>
      <w:pPr>
        <w:spacing w:before="0" w:after="0" w:line="360" w:lineRule="auto"/>
        <w:ind w:left="2268" w:firstLine="1134"/>
        <w:jc w:val="both"/>
      </w:pPr>
      <w:r>
        <w:rPr>
          <w:rFonts w:ascii="Arial" w:hAnsi="Arial" w:cs="Arial" w:eastAsia="Arial"/>
          <w:i/>
          <w:sz w:val="26"/>
        </w:rPr>
        <w:t>No mérito, pleiteia a reforma da r. decisão, para que seja julgada procedente a impugnação ao cumprimento de sentença.”</w:t>
      </w:r>
    </w:p>
    <w:p>
      <w:pPr>
        <w:spacing w:before="0" w:after="0" w:line="360" w:lineRule="auto"/>
        <w:ind w:firstLine="2268"/>
        <w:jc w:val="both"/>
      </w:pPr>
    </w:p>
    <w:p>
      <w:pPr>
        <w:spacing w:before="0" w:after="0" w:line="360" w:lineRule="auto"/>
        <w:ind w:firstLine="2268"/>
        <w:jc w:val="both"/>
      </w:pPr>
      <w:r>
        <w:rPr>
          <w:rFonts w:ascii="Arial" w:hAnsi="Arial" w:cs="Arial" w:eastAsia="Arial"/>
          <w:sz w:val="28"/>
        </w:rPr>
        <w:t>Indeferi a antecipação da tutela recursal (ID 88232401).</w:t>
      </w:r>
    </w:p>
    <w:p>
      <w:pPr>
        <w:spacing w:before="0" w:after="0" w:line="360" w:lineRule="auto"/>
        <w:ind w:firstLine="2268"/>
        <w:jc w:val="both"/>
      </w:pPr>
    </w:p>
    <w:p>
      <w:pPr>
        <w:spacing w:before="0" w:after="0" w:line="360" w:lineRule="auto"/>
        <w:ind w:firstLine="2268"/>
        <w:jc w:val="both"/>
      </w:pPr>
      <w:commentRangeStart w:id="4"/>
      <w:r>
        <w:rPr>
          <w:rFonts w:ascii="Arial" w:hAnsi="Arial" w:cs="Arial" w:eastAsia="Arial"/>
          <w:sz w:val="28"/>
        </w:rPr>
        <w:t xml:space="preserve">Contrarrazões ao agravo de instrumento (ID 89259247), em que a parte agravada alega que: </w:t>
      </w:r>
      <w:r>
        <w:rPr>
          <w:rFonts w:ascii="Arial" w:hAnsi="Arial" w:cs="Arial" w:eastAsia="Arial"/>
          <w:b/>
          <w:sz w:val="28"/>
        </w:rPr>
        <w:t>1)</w:t>
      </w:r>
      <w:r>
        <w:rPr>
          <w:rFonts w:ascii="Arial" w:hAnsi="Arial" w:cs="Arial" w:eastAsia="Arial"/>
          <w:sz w:val="28"/>
        </w:rPr>
        <w:t xml:space="preserve"> não há prescrição, pois o Distrito Federal cumpriu a obrigação até julho de 2024, a pretensão nasceu com a cessação do pagamento e se trata de obrigação de trato sucessivo, e, subsidiariamente, a execução coletiva promovida pelo sindicato interrompeu o prazo prescricional; </w:t>
      </w:r>
      <w:r>
        <w:rPr>
          <w:rFonts w:ascii="Arial" w:hAnsi="Arial" w:cs="Arial" w:eastAsia="Arial"/>
          <w:b/>
          <w:sz w:val="28"/>
        </w:rPr>
        <w:t>2)</w:t>
      </w:r>
      <w:r>
        <w:rPr>
          <w:rFonts w:ascii="Arial" w:hAnsi="Arial" w:cs="Arial" w:eastAsia="Arial"/>
          <w:sz w:val="28"/>
        </w:rPr>
        <w:t xml:space="preserve"> o título reconheceu a “25ª hora”, e a lei superveniente não autoriza redefinir, no cumprimento de sentença, a natureza da verba, que decorre da redução ficta da hora noturna e independe do adicional noturno; </w:t>
      </w:r>
      <w:r>
        <w:rPr>
          <w:rFonts w:ascii="Arial" w:hAnsi="Arial" w:cs="Arial" w:eastAsia="Arial"/>
          <w:b/>
          <w:sz w:val="28"/>
        </w:rPr>
        <w:t>3)</w:t>
      </w:r>
      <w:r>
        <w:rPr>
          <w:rFonts w:ascii="Arial" w:hAnsi="Arial" w:cs="Arial" w:eastAsia="Arial"/>
          <w:sz w:val="28"/>
        </w:rPr>
        <w:t xml:space="preserve"> o regime de subsídio não afasta o pagamento das horas extras que ultrapassem a jornada remunerada pela parcela única (ADI 5.404), conforme a jurisprudência do TJDFT, inclusive da 4ª Turma Cível.</w:t>
      </w:r>
      <w:commentRangeEnd w:id="4"/>
      <w:r>
        <w:rPr>
          <w:rStyle w:val="CommentReference"/>
        </w:rPr>
        <w:commentReference w:id="4"/>
      </w:r>
    </w:p>
    <w:p>
      <w:pPr>
        <w:spacing w:before="0" w:after="0" w:line="360" w:lineRule="auto"/>
        <w:ind w:firstLine="2268"/>
        <w:jc w:val="both"/>
      </w:pPr>
    </w:p>
    <w:p>
      <w:pPr>
        <w:spacing w:before="0" w:after="0" w:line="360" w:lineRule="auto"/>
        <w:ind w:firstLine="2268"/>
        <w:jc w:val="both"/>
      </w:pPr>
      <w:r>
        <w:rPr>
          <w:rFonts w:ascii="Arial" w:hAnsi="Arial" w:cs="Arial" w:eastAsia="Arial"/>
          <w:sz w:val="28"/>
        </w:rPr>
        <w:t>É o relatório.</w:t>
      </w:r>
    </w:p>
    <w:p>
      <w:pPr>
        <w:spacing w:before="0" w:after="0" w:line="360" w:lineRule="auto"/>
        <w:ind w:firstLine="2268"/>
        <w:jc w:val="both"/>
      </w:pPr>
    </w:p>
    <w:p>
      <w:pPr>
        <w:spacing w:before="0" w:after="0" w:line="360" w:lineRule="auto"/>
        <w:jc w:val="center"/>
      </w:pPr>
      <w:r>
        <w:rPr>
          <w:rFonts w:ascii="Arial" w:hAnsi="Arial" w:cs="Arial" w:eastAsia="Arial"/>
          <w:b/>
          <w:sz w:val="28"/>
        </w:rPr>
        <w:t>VOTO</w:t>
      </w:r>
    </w:p>
    <w:p>
      <w:pPr>
        <w:spacing w:before="0" w:after="0" w:line="360" w:lineRule="auto"/>
        <w:ind w:firstLine="2268"/>
        <w:jc w:val="both"/>
      </w:pPr>
    </w:p>
    <w:p>
      <w:pPr>
        <w:spacing w:before="0" w:after="0" w:line="360" w:lineRule="auto"/>
        <w:jc w:val="both"/>
      </w:pPr>
      <w:r>
        <w:rPr>
          <w:rFonts w:ascii="Arial" w:hAnsi="Arial" w:cs="Arial" w:eastAsia="Arial"/>
          <w:b/>
          <w:sz w:val="28"/>
        </w:rPr>
        <w:t>O Senhor Desembargador SÉRGIO ROCHA – Relator.</w:t>
      </w:r>
    </w:p>
    <w:p>
      <w:pPr>
        <w:spacing w:before="0" w:after="0" w:line="360" w:lineRule="auto"/>
        <w:ind w:firstLine="2268"/>
        <w:jc w:val="both"/>
      </w:pPr>
    </w:p>
    <w:p>
      <w:pPr>
        <w:spacing w:before="0" w:after="0" w:line="360" w:lineRule="auto"/>
        <w:jc w:val="center"/>
      </w:pPr>
      <w:r>
        <w:rPr>
          <w:rFonts w:ascii="Arial" w:hAnsi="Arial" w:cs="Arial" w:eastAsia="Arial"/>
          <w:b/>
          <w:sz w:val="28"/>
        </w:rPr>
        <w:t>AGRAVO DE INSTRUMENTO DO EXECUTADO, DISTRITO FEDERAL</w:t>
      </w:r>
    </w:p>
    <w:p>
      <w:pPr>
        <w:spacing w:before="0" w:after="0" w:line="360" w:lineRule="auto"/>
        <w:ind w:firstLine="2268"/>
        <w:jc w:val="both"/>
      </w:pPr>
    </w:p>
    <w:p>
      <w:pPr>
        <w:spacing w:before="0" w:after="0" w:line="360" w:lineRule="auto"/>
        <w:ind w:firstLine="2268"/>
        <w:jc w:val="both"/>
      </w:pPr>
      <w:r>
        <w:rPr>
          <w:rFonts w:ascii="Arial" w:hAnsi="Arial" w:cs="Arial" w:eastAsia="Arial"/>
          <w:sz w:val="28"/>
        </w:rPr>
        <w:t>Presentes os pressupostos de admissibilidade, conheço do agravo de instrumento.</w:t>
      </w:r>
    </w:p>
    <w:p>
      <w:pPr>
        <w:spacing w:before="0" w:after="0" w:line="360" w:lineRule="auto"/>
        <w:ind w:firstLine="2268"/>
        <w:jc w:val="both"/>
      </w:pPr>
    </w:p>
    <w:p>
      <w:pPr>
        <w:spacing w:before="0" w:after="0" w:line="360" w:lineRule="auto"/>
        <w:jc w:val="center"/>
      </w:pPr>
      <w:r>
        <w:rPr>
          <w:rFonts w:ascii="Arial" w:hAnsi="Arial" w:cs="Arial" w:eastAsia="Arial"/>
          <w:sz w:val="28"/>
          <w:highlight w:val="yellow"/>
        </w:rPr>
        <w:t>DA INOCORRÊNCIA DA PRESCRIÇÃO E DA EXIGIBILIDADE DA “25ª HORA” APÓS A INSTITUIÇÃO DO REGIME DE SUBSÍDIO</w:t>
      </w:r>
    </w:p>
    <w:p>
      <w:pPr>
        <w:spacing w:before="0" w:after="0" w:line="360" w:lineRule="auto"/>
        <w:jc w:val="center"/>
      </w:pPr>
    </w:p>
    <w:p>
      <w:pPr>
        <w:spacing w:before="0" w:after="0" w:line="360" w:lineRule="auto"/>
        <w:ind w:firstLine="2268"/>
        <w:jc w:val="both"/>
      </w:pPr>
      <w:r>
        <w:rPr>
          <w:rFonts w:ascii="Arial" w:hAnsi="Arial" w:cs="Arial" w:eastAsia="Arial"/>
          <w:sz w:val="28"/>
        </w:rPr>
        <w:t xml:space="preserve">O executado/agravante alega que: </w:t>
      </w:r>
      <w:r>
        <w:rPr>
          <w:rFonts w:ascii="Arial" w:hAnsi="Arial" w:cs="Arial" w:eastAsia="Arial"/>
          <w:b/>
          <w:sz w:val="28"/>
        </w:rPr>
        <w:t>1)</w:t>
      </w:r>
      <w:r>
        <w:rPr>
          <w:rFonts w:ascii="Arial" w:hAnsi="Arial" w:cs="Arial" w:eastAsia="Arial"/>
          <w:sz w:val="28"/>
        </w:rPr>
        <w:t xml:space="preserve"> a pretensão executória está prescrita, pois o cumprimento individual foi proposto em 20/03/2026, mais de cinco anos depois do trânsito em julgado do título coletivo (20/03/2018), e a alegada cessação do pagamento não reabre nem suspende o prazo; </w:t>
      </w:r>
      <w:r>
        <w:rPr>
          <w:rFonts w:ascii="Arial" w:hAnsi="Arial" w:cs="Arial" w:eastAsia="Arial"/>
          <w:b/>
          <w:sz w:val="28"/>
        </w:rPr>
        <w:t>2)</w:t>
      </w:r>
      <w:r>
        <w:rPr>
          <w:rFonts w:ascii="Arial" w:hAnsi="Arial" w:cs="Arial" w:eastAsia="Arial"/>
          <w:sz w:val="28"/>
        </w:rPr>
        <w:t xml:space="preserve"> a “25ª hora” não é serviço extraordinário efetivamente prestado, mas decorre da contagem ficta da hora noturna (52min30s) na jornada regular de plantão; </w:t>
      </w:r>
      <w:r>
        <w:rPr>
          <w:rFonts w:ascii="Arial" w:hAnsi="Arial" w:cs="Arial" w:eastAsia="Arial"/>
          <w:b/>
          <w:sz w:val="28"/>
        </w:rPr>
        <w:t>3)</w:t>
      </w:r>
      <w:r>
        <w:rPr>
          <w:rFonts w:ascii="Arial" w:hAnsi="Arial" w:cs="Arial" w:eastAsia="Arial"/>
          <w:sz w:val="28"/>
        </w:rPr>
        <w:t xml:space="preserve"> a Lei Distrital nº 7.481/2024 instituiu o subsídio em parcela única, com absorção do adicional noturno e das parcelas inerentes ao exercício ordinário do cargo, o que prejudica a condenação; </w:t>
      </w:r>
      <w:r>
        <w:rPr>
          <w:rFonts w:ascii="Arial" w:hAnsi="Arial" w:cs="Arial" w:eastAsia="Arial"/>
          <w:b/>
          <w:sz w:val="28"/>
        </w:rPr>
        <w:t>4)</w:t>
      </w:r>
      <w:r>
        <w:rPr>
          <w:rFonts w:ascii="Arial" w:hAnsi="Arial" w:cs="Arial" w:eastAsia="Arial"/>
          <w:sz w:val="28"/>
        </w:rPr>
        <w:t xml:space="preserve"> a ADI 5.404 só preserva as horas extras que ultrapassem a jornada remunerada pela parcela única, e não há direito adquirido a regime jurídico (ID 88042303).</w:t>
      </w:r>
    </w:p>
    <w:p>
      <w:pPr>
        <w:spacing w:before="0" w:after="0" w:line="360" w:lineRule="auto"/>
        <w:ind w:firstLine="2268"/>
        <w:jc w:val="both"/>
      </w:pPr>
    </w:p>
    <w:p>
      <w:pPr>
        <w:spacing w:before="0" w:after="0" w:line="360" w:lineRule="auto"/>
        <w:ind w:firstLine="2268"/>
        <w:jc w:val="both"/>
      </w:pPr>
      <w:r>
        <w:rPr>
          <w:rFonts w:ascii="Arial" w:hAnsi="Arial" w:cs="Arial" w:eastAsia="Arial"/>
          <w:sz w:val="28"/>
        </w:rPr>
        <w:t>Requer a reforma da r. decisão para que seja julgada procedente a impugnação, com o reconhecimento da prescrição e a extinção do cumprimento de sentença.</w:t>
      </w:r>
    </w:p>
    <w:p>
      <w:pPr>
        <w:spacing w:before="0" w:after="0" w:line="360" w:lineRule="auto"/>
        <w:ind w:firstLine="2268"/>
        <w:jc w:val="both"/>
      </w:pPr>
    </w:p>
    <w:p>
      <w:pPr>
        <w:spacing w:before="0" w:after="0" w:line="360" w:lineRule="auto"/>
        <w:ind w:firstLine="2268"/>
        <w:jc w:val="both"/>
      </w:pPr>
      <w:commentRangeStart w:id="5"/>
      <w:r>
        <w:rPr>
          <w:rFonts w:ascii="Arial" w:hAnsi="Arial" w:cs="Arial" w:eastAsia="Arial"/>
          <w:sz w:val="28"/>
          <w:highlight w:val="yellow"/>
        </w:rPr>
        <w:t>Sem razão o executado/agravante.</w:t>
      </w:r>
      <w:commentRangeEnd w:id="5"/>
      <w:r>
        <w:rPr>
          <w:rStyle w:val="CommentReference"/>
        </w:rPr>
        <w:commentReference w:id="5"/>
      </w:r>
    </w:p>
    <w:p>
      <w:pPr>
        <w:spacing w:before="0" w:after="0" w:line="360" w:lineRule="auto"/>
        <w:ind w:firstLine="2268"/>
        <w:jc w:val="both"/>
      </w:pPr>
    </w:p>
    <w:p>
      <w:pPr>
        <w:spacing w:before="0" w:after="0" w:line="360" w:lineRule="auto"/>
        <w:ind w:firstLine="2268"/>
        <w:jc w:val="both"/>
      </w:pPr>
      <w:r>
        <w:rPr>
          <w:rFonts w:ascii="Arial" w:hAnsi="Arial" w:cs="Arial" w:eastAsia="Arial"/>
          <w:sz w:val="28"/>
        </w:rPr>
        <w:t>Mantenho as razões expostas na decisão que indeferiu a antecipação da tutela recursal (ID 88232401):</w:t>
      </w:r>
    </w:p>
    <w:p>
      <w:pPr>
        <w:spacing w:before="0" w:after="0" w:line="360" w:lineRule="auto"/>
        <w:ind w:firstLine="2268"/>
        <w:jc w:val="both"/>
      </w:pPr>
    </w:p>
    <w:p>
      <w:pPr>
        <w:spacing w:before="0" w:after="0" w:line="360" w:lineRule="auto"/>
        <w:ind w:left="2268" w:firstLine="1134"/>
        <w:jc w:val="both"/>
      </w:pPr>
      <w:r>
        <w:rPr>
          <w:rFonts w:ascii="Arial" w:hAnsi="Arial" w:cs="Arial" w:eastAsia="Arial"/>
          <w:i/>
          <w:sz w:val="26"/>
        </w:rPr>
        <w:t>“Não vislumbro a probabilidade do direito alegado, ao menos nesta sede de cognição sumária.</w:t>
      </w:r>
    </w:p>
    <w:p>
      <w:pPr>
        <w:spacing w:before="0" w:after="0" w:line="360" w:lineRule="auto"/>
        <w:ind w:left="2268" w:firstLine="1134"/>
        <w:jc w:val="both"/>
      </w:pPr>
      <w:r>
        <w:rPr>
          <w:rFonts w:ascii="Arial" w:hAnsi="Arial" w:cs="Arial" w:eastAsia="Arial"/>
          <w:i/>
          <w:sz w:val="26"/>
        </w:rPr>
        <w:t>No que concerne à prescrição, conforme constou da r. decisão agravada:</w:t>
      </w:r>
    </w:p>
    <w:p>
      <w:pPr>
        <w:spacing w:before="0" w:after="0" w:line="360" w:lineRule="auto"/>
        <w:ind w:left="3402" w:firstLine="1134"/>
        <w:jc w:val="both"/>
      </w:pPr>
      <w:commentRangeStart w:id="6"/>
      <w:r>
        <w:rPr>
          <w:rFonts w:ascii="Arial" w:hAnsi="Arial" w:cs="Arial" w:eastAsia="Arial"/>
          <w:i/>
          <w:sz w:val="26"/>
        </w:rPr>
        <w:t>‘(...) Embora o STJ tenha firmado, no Tema 877, que o prazo prescricional para o cumprimento individual de sentença coletiva se inicia com o trânsito em julgado da ação coletiva, esse entendimento deve ser aplicado à luz das circunstâncias concretas. Pelo princípio da actio nata, a prescrição somente começa a correr quando surge pretensão efetivamente exigível, decorrente da violação do direito. No caso, embora a sentença coletiva tenha transitado em julgado em 20/03/2018, o Distrito Federal continuou cumprindo a obrigação reconhecida judicialmente até julho de 2024, inexistindo inadimplemento ou pretensão resistida nesse período. Assim, o prazo quinquenal previsto no Decreto n.º 20.910/1932 somente poderia ter início com o alegado descumprimento da obrigação, ocorrido em julho de 2024, razão pela qual não há prescrição da pretensão executiva. (...)’ (ID 284727772) – Grifei</w:t>
      </w:r>
      <w:commentRangeEnd w:id="6"/>
      <w:r>
        <w:rPr>
          <w:rStyle w:val="CommentReference"/>
        </w:rPr>
        <w:commentReference w:id="6"/>
      </w:r>
    </w:p>
    <w:p>
      <w:pPr>
        <w:spacing w:before="0" w:after="0" w:line="360" w:lineRule="auto"/>
        <w:ind w:left="2268" w:firstLine="1134"/>
        <w:jc w:val="both"/>
      </w:pPr>
      <w:r>
        <w:rPr>
          <w:rFonts w:ascii="Arial" w:hAnsi="Arial" w:cs="Arial" w:eastAsia="Arial"/>
          <w:i/>
          <w:sz w:val="26"/>
        </w:rPr>
        <w:t>Em sentido semelhante:</w:t>
      </w:r>
    </w:p>
    <w:p>
      <w:pPr>
        <w:spacing w:before="0" w:after="0" w:line="360" w:lineRule="auto"/>
        <w:ind w:left="3402" w:firstLine="1134"/>
        <w:jc w:val="both"/>
      </w:pPr>
      <w:commentRangeStart w:id="7"/>
      <w:r>
        <w:rPr>
          <w:rFonts w:ascii="Arial" w:hAnsi="Arial" w:cs="Arial" w:eastAsia="Arial"/>
          <w:i/>
          <w:sz w:val="26"/>
        </w:rPr>
        <w:t>‘(...) 4. A pretensão executória contra a Fazenda Pública submete-se ao prazo prescricional de cinco anos, contados do trânsito em julgado da sentença condenatório, nos termos da Súmulas nº 150/STF. 5. O prazo prescricional somente se inicia com a violação concreta e atual do direito subjetivo, consoante o princípio da actio nata previsto no art. 189 do Código Civil. 6. A obrigação reconhecida no título executivo possui natureza de trato sucessivo, incidindo o art. 3º do Decreto nº 20.910/1932. 7. O cumprimento coletivo de sentença nº 0706415-05.2018.8.07.0018 promovido pelo Sindicato da categoria resultou na implementação administrativa da verba em favor do exequente. 8. A lesão ao direito ocorreu apenas em junho/julho de 2024, quando o Distrito Federal cessou o pagamento do adicional noturno incidente sobre a denominada “25ª hora”, ante a edição da Lei Distrital nº 7.481/2024. Prescrição inocorrente. Sentença reformada. (...)’ (Acórdão 2147673, 0701065-55.2026.8.07.0018, Relator(a): VERA ANDRIGHI, 6ª TURMA CÍVEL, data de julgamento: 01/07/2026, publicado no DJe: 27/07/2026.) – Grifei</w:t>
      </w:r>
      <w:commentRangeEnd w:id="7"/>
      <w:r>
        <w:rPr>
          <w:rStyle w:val="CommentReference"/>
        </w:rPr>
        <w:commentReference w:id="7"/>
      </w:r>
    </w:p>
    <w:p>
      <w:pPr>
        <w:spacing w:before="0" w:after="0" w:line="360" w:lineRule="auto"/>
        <w:ind w:left="2268" w:firstLine="1134"/>
        <w:jc w:val="both"/>
      </w:pPr>
      <w:r>
        <w:rPr>
          <w:rFonts w:ascii="Arial" w:hAnsi="Arial" w:cs="Arial" w:eastAsia="Arial"/>
          <w:i/>
          <w:sz w:val="26"/>
        </w:rPr>
        <w:t>Quanto à alegação de que a Lei Distrital nº 7.481/2024, ao transformar a remuneração da Carreira da Polícia Penal do Distrito Federal em subsídio, teria absorvido as horas extras em discussão, trata-se de questão que demanda exame aprofundado acerca da compatibilidade entre o título executivo judicial, já transitado em julgado, e a legislação superveniente, o que extrapola os limites desta fase processual.</w:t>
      </w:r>
    </w:p>
    <w:p>
      <w:pPr>
        <w:spacing w:before="0" w:after="0" w:line="360" w:lineRule="auto"/>
        <w:ind w:left="2268" w:firstLine="1134"/>
        <w:jc w:val="both"/>
      </w:pPr>
      <w:r>
        <w:rPr>
          <w:rFonts w:ascii="Arial" w:hAnsi="Arial" w:cs="Arial" w:eastAsia="Arial"/>
          <w:i/>
          <w:sz w:val="26"/>
        </w:rPr>
        <w:t>Isso porque o título exequendo determinou expressamente a inclusão da “25ª hora” no contracheque dos beneficiários, com o pagamento da respectiva hora extra (acórdão ID 269745739).</w:t>
      </w:r>
    </w:p>
    <w:p>
      <w:pPr>
        <w:spacing w:before="0" w:after="0" w:line="360" w:lineRule="auto"/>
        <w:ind w:left="2268" w:firstLine="1134"/>
        <w:jc w:val="both"/>
      </w:pPr>
      <w:r>
        <w:rPr>
          <w:rFonts w:ascii="Arial" w:hAnsi="Arial" w:cs="Arial" w:eastAsia="Arial"/>
          <w:i/>
          <w:sz w:val="26"/>
        </w:rPr>
        <w:t>Além disso, na ADI 5404, o Supremo Tribunal Federal, mesmo assentando que o regime de subsídio é incompatível com a percepção de adicionais ordinários, não afastou o direito à retribuição pelas horas extraordinárias efetivamente prestadas que ultrapassem a jornada remunerada pela parcela única, in verbis:</w:t>
      </w:r>
    </w:p>
    <w:p>
      <w:pPr>
        <w:spacing w:before="0" w:after="0" w:line="360" w:lineRule="auto"/>
        <w:ind w:left="3402" w:firstLine="1134"/>
        <w:jc w:val="both"/>
      </w:pPr>
      <w:r>
        <w:rPr>
          <w:rFonts w:ascii="Arial" w:hAnsi="Arial" w:cs="Arial" w:eastAsia="Arial"/>
          <w:i/>
          <w:sz w:val="26"/>
        </w:rPr>
        <w:t>‘Direito Constitucional e Administrativo. Ação direta de inconstitucionalidade. Lei federal. Subsídio. Percepção de Adicionais. Procedência parcial. 1. Ação direta contra os arts. 1º, VII, 5º, caput, X, XI e XII, e 7º, caput, todos da Lei federal nº 11.358, de 19.10.2006, que dispõe, entre outras questões, sobre o regime de subsídios da carreira de Policial Rodoviário Federal. Alegação de violação à isonomia e aos direitos assegurados constitucionalmente aos servidores públicos. 2. O regime de subsídios não impede o pagamento dos direitos trabalhistas aplicáveis aos servidores públicos por força do art. 39, § 3º, da Constituição. Devem ser afastados apenas os adicionais que remunerem as atividades inerentes ao cargo, ou seja, aquelas relativas ao trabalho mensal ordinário do servidor. 3. O legislador federal, ao fixar o subsídio devido aos policiais rodoviários federais, incluiu na parcela única as verbas que se destinavam a compensar o desgaste físico e mental causado pelas atividades próprias do cargo. 4. O deferimento de adicional noturno aos policiais rodoviários federais para o exercício de funções inerentes ao cargo configuraria verdadeiro aumento de vencimentos pelo Poder Judiciário, o que afronta a Constituição Federal e a jurisprudência pacífica desta Corte. Precedentes. Não cabe ao Poder Judiciário, que não tem função legislativa, aumentar vencimentos de servidores públicos sob fundamento de isonomia (Súmula Vinculante nº 37). 5. Por outro lado, o regime de subsídio não é hábil a afastar o direito dos servidores à retribuição pelas horas extras realizadas que eventualmente ultrapassem a quantidade remunerada pela parcela única (ADI 5.114). 6. Pedido parcialmente procedente. Tese: “O regime de subsídio não é compatível com a percepção de outras parcelas inerentes ao exercício do cargo, mas não afasta o direito à retribuição pelas horas extras realizadas que ultrapassem a quantidade remunerada pela parcela única”. (ADI 5404, Relator(a): ROBERTO BARROSO, Tribunal Pleno, julgado em 06-03-2023, PROCESSO ELETRÔNICO DJe-s/n DIVULG 08-03-2023 PUBLIC 09-03-2023)’ – Grifei</w:t>
      </w:r>
    </w:p>
    <w:p>
      <w:pPr>
        <w:spacing w:before="0" w:after="0" w:line="360" w:lineRule="auto"/>
        <w:ind w:left="2268" w:firstLine="1134"/>
        <w:jc w:val="both"/>
      </w:pPr>
      <w:r>
        <w:rPr>
          <w:rFonts w:ascii="Arial" w:hAnsi="Arial" w:cs="Arial" w:eastAsia="Arial"/>
          <w:i/>
          <w:sz w:val="26"/>
        </w:rPr>
        <w:t>No mesmo sentido, confiram-se julgados deste e. TJDFT:</w:t>
      </w:r>
    </w:p>
    <w:p>
      <w:pPr>
        <w:spacing w:before="0" w:after="0" w:line="360" w:lineRule="auto"/>
        <w:ind w:left="3402" w:firstLine="1134"/>
        <w:jc w:val="both"/>
      </w:pPr>
      <w:r>
        <w:rPr>
          <w:rFonts w:ascii="Arial" w:hAnsi="Arial" w:cs="Arial" w:eastAsia="Arial"/>
          <w:i/>
          <w:sz w:val="26"/>
        </w:rPr>
        <w:t>‘(...) 4. O acórdão embargado apreciou expressamente a natureza jurídica da “25ª hora”, reconhecendo que a parcela remunera labor extraordinário efetivamente prestado além da jornada ordinária, não se confundindo com vantagem remuneratória inerente ao cargo. 5. O regime de subsídio instituído pela Lei Distrital nº 7.481/2024 absorve apenas as parcelas ordinárias da remuneração, sem afastar o direito ao pagamento de horas extraordinárias efetivamente trabalhadas, em conformidade com a orientação do Supremo Tribunal Federal. 6. A superveniência da Lei Distrital nº 7.481/2024 não possui aptidão para tornar inexigível o título executivo judicial transitado em julgado, sobretudo diante da ausência de demonstração de absorção da verba executada pela nova estrutura remuneratória. (...)’ (Acórdão 2158010, 0708803-51.2026.8.07.0000, Relator(a): CARLOS PIRES SOARES NETO, 1ª TURMA CÍVEL, data de julgamento: 29/07/2026, publicado no DJe: 14/08/2026.) – Grifei</w:t>
      </w:r>
    </w:p>
    <w:p>
      <w:pPr>
        <w:spacing w:before="0" w:after="0" w:line="360" w:lineRule="auto"/>
        <w:ind w:left="3402" w:firstLine="1134"/>
        <w:jc w:val="both"/>
      </w:pPr>
      <w:r>
        <w:rPr>
          <w:rFonts w:ascii="Arial" w:hAnsi="Arial" w:cs="Arial" w:eastAsia="Arial"/>
          <w:i/>
          <w:sz w:val="26"/>
        </w:rPr>
        <w:t>‘(...) 3. O título executivo judicial reconheceu o direito ao pagamento de 1 (uma) hora extraordinária por plantão, acrescida do adicional de serviço extraordinário e do adicional noturno, em razão da extrapolação da jornada de 24 horas decorrente da aplicação da hora noturna ficta. 4. A instituição do regime de subsídio pela Lei Distrital n. 7.481/2024 não afasta o pagamento de horas extraordinárias efetivamente prestadas, nos termos da jurisprudência consolidada do Supremo Tribunal Federal, notadamente o entendimento firmado na ADI 5.404. 5. A verba denominada “25ª hora” não se confunde com gratificação inerente ao exercício ordinário do cargo, tampouco com adicional absorvível pelo subsídio, por decorrer de trabalho extraordinário que excede a jornada regular. 6. A modificação legislativa superveniente não tem o condão de afastar obrigação estabelecida por decisão judicial transitada em julgado, inexistindo previsão legal expressa que revogue ou inviabilize o cumprimento do título executivo. 7. Precedentes desta Corte corroboram o entendimento de que verbas de natureza extraordinária não são absorvidas pelo regime de subsídio e devem ser mantidas quando reconhecidas judicialmente. (...)’ (Acórdão 2158076, 0717931-95.2026.8.07.0000, Relator(a): SONÍRIA ROCHA CAMPOS D'ASSUNÇÃO, 7ª TURMA CÍVEL, data de julgamento: 29/07/2026, publicado no DJe: 14/08/2026.) – Grifei</w:t>
      </w:r>
    </w:p>
    <w:p>
      <w:pPr>
        <w:spacing w:before="0" w:after="0" w:line="360" w:lineRule="auto"/>
        <w:ind w:left="2268" w:firstLine="1134"/>
        <w:jc w:val="both"/>
      </w:pPr>
      <w:r>
        <w:rPr>
          <w:rFonts w:ascii="Arial" w:hAnsi="Arial" w:cs="Arial" w:eastAsia="Arial"/>
          <w:i/>
          <w:sz w:val="26"/>
        </w:rPr>
        <w:t>Desse modo, ainda que se discuta se tal verba constitui serviço extraordinário ou não, a decisão exequenda reconheceu a sua exigibilidade, de forma que não cabe afastá-la em sede de liminar.</w:t>
      </w:r>
    </w:p>
    <w:p>
      <w:pPr>
        <w:spacing w:before="0" w:after="0" w:line="360" w:lineRule="auto"/>
        <w:ind w:left="2268" w:firstLine="1134"/>
        <w:jc w:val="both"/>
      </w:pPr>
      <w:r>
        <w:rPr>
          <w:rFonts w:ascii="Arial" w:hAnsi="Arial" w:cs="Arial" w:eastAsia="Arial"/>
          <w:i/>
          <w:sz w:val="26"/>
        </w:rPr>
        <w:t>Por fim, a alegação de risco ao erário, embora relevante, não se sobrepõe à necessidade de observância da decisão judicial ora executada, sobretudo quando não demonstrada a ocorrência de dano irreparável ou de difícil reparação que não possa ser recomposto caso venha a ser reconhecida a inexigibilidade da obrigação de fazer e de pagar valores relativos à 25ª hora, após a vigência da Lei nº 7.481/2024.”</w:t>
      </w:r>
    </w:p>
    <w:p>
      <w:pPr>
        <w:spacing w:before="0" w:after="0" w:line="360" w:lineRule="auto"/>
        <w:ind w:firstLine="2268"/>
        <w:jc w:val="both"/>
      </w:pPr>
    </w:p>
    <w:p>
      <w:pPr>
        <w:spacing w:before="0" w:after="0" w:line="360" w:lineRule="auto"/>
        <w:ind w:firstLine="2268"/>
        <w:jc w:val="both"/>
      </w:pPr>
      <w:commentRangeStart w:id="8"/>
      <w:r>
        <w:rPr>
          <w:rFonts w:ascii="Arial" w:hAnsi="Arial" w:cs="Arial" w:eastAsia="Arial"/>
          <w:sz w:val="28"/>
        </w:rPr>
        <w:t>Desse modo, ausente elemento novo capaz de infirmar os fundamentos já expostos, deve ser mantida a r. decisão agravada que rejeitou a impugnação ao cumprimento de sentença e determinou a comprovação do cumprimento da obrigação de fazer (ID 284727772, do processo de origem).</w:t>
      </w:r>
      <w:commentRangeEnd w:id="8"/>
      <w:r>
        <w:rPr>
          <w:rStyle w:val="CommentReference"/>
        </w:rPr>
        <w:commentReference w:id="8"/>
      </w:r>
    </w:p>
    <w:p>
      <w:pPr>
        <w:spacing w:before="0" w:after="0" w:line="360" w:lineRule="auto"/>
        <w:ind w:firstLine="2268"/>
        <w:jc w:val="both"/>
      </w:pPr>
    </w:p>
    <w:p>
      <w:pPr>
        <w:spacing w:before="0" w:after="0" w:line="360" w:lineRule="auto"/>
        <w:jc w:val="center"/>
      </w:pPr>
      <w:r>
        <w:rPr>
          <w:rFonts w:ascii="Arial" w:hAnsi="Arial" w:cs="Arial" w:eastAsia="Arial"/>
          <w:b/>
          <w:sz w:val="28"/>
        </w:rPr>
        <w:t>DISPOSITIVO</w:t>
      </w:r>
    </w:p>
    <w:p>
      <w:pPr>
        <w:spacing w:before="0" w:after="0" w:line="360" w:lineRule="auto"/>
        <w:ind w:firstLine="2268"/>
        <w:jc w:val="both"/>
      </w:pPr>
    </w:p>
    <w:p>
      <w:pPr>
        <w:spacing w:before="0" w:after="0" w:line="360" w:lineRule="auto"/>
        <w:ind w:firstLine="2268"/>
        <w:jc w:val="both"/>
      </w:pPr>
      <w:r>
        <w:rPr>
          <w:rFonts w:ascii="Arial" w:hAnsi="Arial" w:cs="Arial" w:eastAsia="Arial"/>
          <w:sz w:val="28"/>
        </w:rPr>
        <w:t xml:space="preserve">Ante o exposto, </w:t>
      </w:r>
      <w:r>
        <w:rPr>
          <w:rFonts w:ascii="Arial" w:hAnsi="Arial" w:cs="Arial" w:eastAsia="Arial"/>
          <w:b/>
          <w:sz w:val="28"/>
        </w:rPr>
        <w:t>nego provimento</w:t>
      </w:r>
      <w:r>
        <w:rPr>
          <w:rFonts w:ascii="Arial" w:hAnsi="Arial" w:cs="Arial" w:eastAsia="Arial"/>
          <w:sz w:val="28"/>
        </w:rPr>
        <w:t xml:space="preserve"> ao agravo de instrumento do executado, Distrito Federal.</w:t>
      </w:r>
    </w:p>
    <w:p>
      <w:pPr>
        <w:spacing w:before="0" w:after="0" w:line="360" w:lineRule="auto"/>
        <w:ind w:firstLine="2268"/>
        <w:jc w:val="both"/>
      </w:pPr>
    </w:p>
    <w:p>
      <w:pPr>
        <w:spacing w:before="0" w:after="0" w:line="360" w:lineRule="auto"/>
        <w:ind w:firstLine="2268"/>
        <w:jc w:val="both"/>
      </w:pPr>
      <w:r>
        <w:rPr>
          <w:rFonts w:ascii="Arial" w:hAnsi="Arial" w:cs="Arial" w:eastAsia="Arial"/>
          <w:sz w:val="28"/>
        </w:rPr>
        <w:t>É como voto.</w:t>
      </w:r>
    </w:p>
    <w:p>
      <w:pPr>
        <w:spacing w:before="0" w:after="0" w:line="360" w:lineRule="auto"/>
        <w:ind w:firstLine="2268"/>
        <w:jc w:val="both"/>
      </w:pPr>
    </w:p>
    <w:p>
      <w:pPr>
        <w:spacing w:before="0" w:after="0" w:line="360" w:lineRule="auto"/>
        <w:jc w:val="both"/>
      </w:pPr>
    </w:p>
    <w:p>
      <w:pPr>
        <w:spacing w:before="0" w:after="0" w:line="360" w:lineRule="auto"/>
        <w:jc w:val="center"/>
      </w:pPr>
      <w:r>
        <w:rPr>
          <w:rFonts w:ascii="Arial" w:hAnsi="Arial" w:cs="Arial" w:eastAsia="Arial"/>
          <w:color w:val="00B050"/>
          <w:sz w:val="27"/>
        </w:rPr>
        <w:t>DECISÃO AGRAVADA (ID 284727772, do processo de origem)</w:t>
      </w:r>
    </w:p>
    <w:p>
      <w:pPr>
        <w:spacing w:before="0" w:after="0" w:line="360" w:lineRule="auto"/>
        <w:jc w:val="both"/>
      </w:pPr>
    </w:p>
    <w:p>
      <w:pPr>
        <w:spacing w:before="0" w:after="0" w:line="360" w:lineRule="auto"/>
        <w:ind w:firstLine="737"/>
        <w:jc w:val="both"/>
      </w:pPr>
      <w:commentRangeStart w:id="9"/>
      <w:r>
        <w:rPr>
          <w:rFonts w:ascii="Arial" w:hAnsi="Arial" w:cs="Arial" w:eastAsia="Arial"/>
          <w:color w:val="00B050"/>
          <w:sz w:val="27"/>
        </w:rPr>
        <w:t>1. Da prescrição da pretensão executória. Embora o STJ tenha firmado, no Tema 877, que o prazo prescricional para o cumprimento individual de sentença coletiva se inicia com o trânsito em julgado da ação coletiva, esse entendimento deve ser aplicado à luz das circunstâncias concretas. Pelo princípio da actio nata, a prescrição somente começa a correr quando surge pretensão efetivamente exigível, decorrente da violação do direito. No caso, embora a sentença coletiva tenha transitado em julgado em 20/03/2018, o Distrito Federal continuou cumprindo a obrigação reconhecida judicialmente até julho de 2024, inexistindo inadimplemento ou pretensão resistida nesse período. Assim, o prazo quinquenal previsto no Decreto n.º 20.910/1932 somente poderia ter início com o alegado descumprimento da obrigação, ocorrido em julho de 2024, razão pela qual não há prescrição da pretensão executiva. É o entendimento esboçado pelo TJDFT: (...) (Acórdão 2148912, 0712613-14.2025.8.07.0018, Relator(a): LEONOR AGUENA, 5ª TURMA CÍVEL, data de julgamento: 16/07/2026, publicado no DJe: 22/07/2026.) (...) (Acórdão 2124809, 0713308-65.2025.8.07.0018, Relator(a): FÁBIO EDUARDO MARQUES, 5ª TURMA CÍVEL, data de julgamento: 21/05/2026, publicado no DJe: 02/06/2026.)</w:t>
      </w:r>
      <w:commentRangeEnd w:id="9"/>
      <w:r>
        <w:rPr>
          <w:rStyle w:val="CommentReference"/>
        </w:rPr>
        <w:commentReference w:id="9"/>
      </w:r>
    </w:p>
    <w:p>
      <w:pPr>
        <w:spacing w:before="0" w:after="0" w:line="360" w:lineRule="auto"/>
        <w:ind w:firstLine="737"/>
        <w:jc w:val="both"/>
      </w:pPr>
    </w:p>
    <w:p>
      <w:pPr>
        <w:spacing w:before="0" w:after="0" w:line="360" w:lineRule="auto"/>
        <w:ind w:firstLine="737"/>
        <w:jc w:val="both"/>
      </w:pPr>
      <w:r>
        <w:rPr>
          <w:rFonts w:ascii="Arial" w:hAnsi="Arial" w:cs="Arial" w:eastAsia="Arial"/>
          <w:color w:val="00B050"/>
          <w:sz w:val="27"/>
        </w:rPr>
        <w:t>2. Da Inexigibilidade Superveniente do Título e da Absorção pelo Subsídio. O Distrito Federal argumenta que a instituição do regime de subsídio pela Lei Distrital nº 7.481/2024 provocou a inexigibilidade superveniente do título, sob a justificativa de que a modalidade de remuneração por parcela única absorveria adicionais e gratificações de qualquer natureza. Para o deslinde da controvérsia, cumpre analisar o escopo do título executivo judicial e a compatibilidade da verba com o modelo constitucional do subsídio. O dispositivo do julgado da Ação Coletiva nº 0007537-02.2015.8.07.0018 restou assim fixado: (...) Ante o exposto, CONHEÇO da apelação. REJEITO a preliminar de ilegitimidade ativa suscitada pelo Distrito Federal em contrarrazões. DOU PARCIAL PROVIMENTO AO RECURSO, reformando a sentença, para reconhecer e determinar a inserção, no contracheque dos servidores que integram a Carreira de Atividades Penitenciárias do Distrito Federal, do adicional pela prestação de 1 (uma) hora serviço extraordinário por plantão, aos servidores que cumpriram escalas de revezamento nos termos da Portaria 130, de 19 de dezembro de 2012, da Secretaria de Estado de Segurança. Para cada hora extraordinária trabalhada será devido adicional pelo serviço extraordinário no importe de 50% (cinquenta por cento) sobre a hora normal de trabalho, nos termos do artigo 84 da LC 840/11, acrescido do adicional noturno de 25% (vinte e cinco por cento), previsto no artigo 86 da LC 840/11. (...) A matéria concernente à convivência entre o regime de subsídio e a percepção de adicionais foi objeto de pronunciamento pelo Supremo Tribunal Federal no julgamento da ADI nº 5.404/DF. Naquela oportunidade, a Suprema Corte fixou a seguinte tese de repercussão geral: 'O regime de subsídio não é compatível com a percepção de outras parcelas inerentes ao exercício do cargo, mas não afasta o direito à retribuição pelas horas extras realizadas que ultrapassem a quantidade remunerada pela parcela única'. De acordo com o entendimento firmado pelo Pretório Excelso, o regime de subsídio engloba e remunera tão somente as atividades inerentes e o desgaste decorrente da jornada ordinária mensal do servidor. Por outro lado, as horas extraordinárias laboradas além da jornada legal regular configuram trabalho excepcional que extrapola a contraprestação da parcela única, sob pena de enriquecimento sem causa da Administração Pública. Embora a tese fixada na ADI nº 5.404/DF mencione textualmente as horas extras, a ratio decidendi (razão de decidir) aplica-se perfeitamente ao caso vertente. O acréscimo do adicional noturno de 25% determinado no título judicial não representa uma vantagem autônoma ou desvinculada, mas sim um vetor de valoração da própria hora extraordinária que foi prestada no período noturno. Portanto, o regime de subsídio instituído pela Lei Distrital nº 7.481/2024 não possui o condão de extinguir ou absorver o direito à '25ª hora' assegurado no título judicial, uma vez que a parcela mantém sua natureza jurídica de serviço extraordinário excedente à jornada legal ordinária. Assim, a Lei distrital nº 7.481/2024, que instituiu o subsídio, em princípio, não elimina o direito a horas extras e adicional noturno quando a jornada legal for excedida, conforme o entendimento do STF na ADI 5404.</w:t>
      </w:r>
    </w:p>
    <w:p>
      <w:pPr>
        <w:spacing w:before="0" w:after="0" w:line="360" w:lineRule="auto"/>
        <w:ind w:firstLine="737"/>
        <w:jc w:val="both"/>
      </w:pPr>
    </w:p>
    <w:p>
      <w:pPr>
        <w:spacing w:before="0" w:after="0" w:line="360" w:lineRule="auto"/>
        <w:ind w:firstLine="737"/>
        <w:jc w:val="both"/>
      </w:pPr>
      <w:r>
        <w:rPr>
          <w:rFonts w:ascii="Arial" w:hAnsi="Arial" w:cs="Arial" w:eastAsia="Arial"/>
          <w:color w:val="00B050"/>
          <w:sz w:val="27"/>
        </w:rPr>
        <w:t>3. Dispositivo. Com base nas razões expendidas, REJEITO a impugnação ao cumprimento de sentença do Distrito Federal e determino a intimação do ente federativo, por meio de seus procuradores, para comprovar documentalmente o integral cumprimento da obrigação de fazer estabelecida no título executivo judicial (ID 269745739), no prazo de 30 (trinta) dias, já contada a dobra legal. O não atendimento desta determinação implicará a aplicação de multa diária por descumprimento, nos termos do artigo 536, §1º, do Código de Processo Civil. Após a manifestação do Distrito Federal ou o decurso do prazo assinalado, os autos deverão retornar conclusos para as providências cabíveis. Intimem-se.</w:t>
      </w:r>
    </w:p>
    <w:p>
      <w:pPr>
        <w:spacing w:before="0" w:after="0" w:line="360" w:lineRule="auto"/>
        <w:ind w:firstLine="737"/>
        <w:jc w:val="both"/>
      </w:pPr>
    </w:p>
    <w:sectPr w:rsidR="007E1C8C">
      <w:footerReference w:type="default" r:id="rId17"/>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ssessor GDSXSR" w:initials="AG" w:date="2026-10-28T18:04:57Z">
    <w:p>
      <w:pPr>
        <w:pStyle w:val="CommentText"/>
      </w:pPr>
      <w:r>
        <w:rPr>
          <w:rStyle w:val="CommentReference"/>
        </w:rPr>
        <w:annotationRef/>
      </w:r>
      <w:r>
        <w:t>Voto do zero: AGI NP aderente à liminar (C-17, C-3S). Modelos de forma lidos: AGI 0751572-11 (mesma matéria, 25ª hora e subsídio, NP), AGI 0724482-91 (Fazenda, cumprimento de sentença coletiva, NP) e AGI 0743704-45 (estrutura e formatação de AGI NP com liminar, versão de Marcos). Os modelos definem só a forma; lei e precedentes foram conferidos conforme os comentários abaixo. Os sublinhados (– Grifei) do original da liminar (ID 88232401) não aparecem no texto convertido dos autos: reaplicar ao conferir no PJe.</w:t>
      </w:r>
    </w:p>
  </w:comment>
  <w:comment w:id="1" w:author="Assessor GDSXSR" w:initials="AG" w:date="2026-10-28T18:04:57Z">
    <w:p>
      <w:pPr>
        <w:pStyle w:val="CommentText"/>
      </w:pPr>
      <w:r>
        <w:rPr>
          <w:rStyle w:val="CommentReference"/>
        </w:rPr>
        <w:annotationRef/>
      </w:r>
      <w:r>
        <w:t>Na autuação, SOLANO RAMOS GUEDES consta como agravado e também como advogado da agravada; a liminar o apresenta como coexequente. O item 1 nomeia só a pessoa natural exequente (C-34A) e não traz valor (obrigação de fazer; valor da causa de R$ 100,00 na capa). Conferir no cumprimento de origem (ID 269744500) se há destaque de honorários e qual o papel de Solano Ramos Guedes, para ajustar a ementa e o relatório.</w:t>
      </w:r>
    </w:p>
  </w:comment>
  <w:comment w:id="2" w:author="Assessor GDSXSR" w:initials="AG" w:date="2026-10-28T18:04:57Z">
    <w:p>
      <w:pPr>
        <w:pStyle w:val="CommentText"/>
      </w:pPr>
      <w:r>
        <w:rPr>
          <w:rStyle w:val="CommentReference"/>
        </w:rPr>
        <w:annotationRef/>
      </w:r>
      <w:r>
        <w:t>Texto literal (C-63). Decreto nº 20.910/1932: “Art. 1º As dívidas passivas da União, dos Estados e dos Municípios, bem assim todo e qualquer direito ou ação contra a Fazenda federal, estadual ou municipal, seja qual for a sua natureza, prescrevem em cinco anos contados da data do ato ou fato do qual se originarem. (...) Art. 3º Quando o pagamento se dividir por dias, meses ou anos, a prescrição atingirá progressivamente as prestações à medida que completarem os prazos estabelecidos pelo presente decreto.” (fonte: Planalto, via iajus; texto original, vigência não consolidada pela ferramenta). ADI 5.404, tese conferida no iajus (STF, Tribunal Pleno, Rel. Min. Roberto Barroso, j. 06/03/2023): “O regime de subsídio não é compatível com a percepção de outras parcelas inerentes ao exercício do cargo, mas não afasta o direito à retribuição pelas horas extras realizadas que ultrapassem a quantidade remunerada pela parcela única.” O iajus não devolveu o DJe; 09/03/2023 vem da liminar.</w:t>
      </w:r>
    </w:p>
  </w:comment>
  <w:comment w:id="3" w:author="Assessor GDSXSR" w:initials="AG" w:date="2026-10-28T18:04:57Z">
    <w:p>
      <w:pPr>
        <w:pStyle w:val="CommentText"/>
      </w:pPr>
      <w:r>
        <w:rPr>
          <w:rStyle w:val="CommentReference"/>
        </w:rPr>
        <w:annotationRef/>
      </w:r>
      <w:r>
        <w:t>Pendência de conferência (C-72, exceção v46). Os Acórdãos 2147673, 2158010 e 2158076 (jul./2026) constam da liminar do Relator (ID 88232401) e foram copiados dela; não foram localizados no iajus (o acervo do TJDFT na ferramenta vai até cerca de abril/2026; busca por CNJ sem resultado) nem na web (1 tentativa, sem fonte oficial). Completar a conferência no JurisDF antes de assinar.</w:t>
      </w:r>
    </w:p>
  </w:comment>
  <w:comment w:id="4" w:author="Assessor GDSXSR" w:initials="AG" w:date="2026-10-28T18:04:57Z">
    <w:p>
      <w:pPr>
        <w:pStyle w:val="CommentText"/>
      </w:pPr>
      <w:r>
        <w:rPr>
          <w:rStyle w:val="CommentReference"/>
        </w:rPr>
        <w:annotationRef/>
      </w:r>
      <w:r>
        <w:t>Peças do processo de origem e do agravo que não vieram nos autos recebidos e ajudariam a fechar a análise (nenhuma muda o resultado): (a) acórdão exequendo, ID 269745739, para transcrever o trecho que reconhece a “25ª hora” como hora extraordinária (C-66 c) e confirmar a coisa julgada; (b) ficha financeira que a contraminuta diz comprovar a cessação do pagamento em julho de 2024 (ID não informado); (c) petição do cumprimento individual, ID 269744500 (data de 20/03/2026 e papel de Solano Ramos Guedes); (d) certidão de trânsito em julgado, ID 269745744; (e) decisão agravada na íntegra, ID 284727772 (o anexo verde reproduz o que o agravo transcreve); (f) inteiro teor do Acórdão 2142144 (APC 0716247-18, 4ª TCiv, j. 30/06/2026), citado na contraminuta. Não consta agravo interno contra a liminar; a certidão ID 90927934 registra o decurso do prazo do Distrito Federal.</w:t>
      </w:r>
    </w:p>
  </w:comment>
  <w:comment w:id="5" w:author="Assessor GDSXSR" w:initials="AG" w:date="2026-10-28T18:04:57Z">
    <w:p>
      <w:pPr>
        <w:pStyle w:val="CommentText"/>
      </w:pPr>
      <w:r>
        <w:rPr>
          <w:rStyle w:val="CommentReference"/>
        </w:rPr>
        <w:annotationRef/>
      </w:r>
      <w:r>
        <w:t>Divergência interna da Turma (C-53, C-26): este voto segue a liminar do próprio Relator (ID 88232401). Em sentido contrário na 4ª TCiv: AGI 0735228-52 (Des. Sérgio Rocha, j. 26/02/2026), RECURSO PROVIDO, com a tese de que “A denominada ‘25ª hora’, resultante do cômputo reduzido da hora noturna e vinculada à jornada regular do servidor, possui natureza remuneratória ordinária e não configura serviço extraordinário” e que a norma superveniente pode tornar inexigível o título (iajus: jurisdf.tjdft.jus.br/acordaos/714dc02a-2353-45b6-97c0-13540ac88ebe); e APC 0712509-22.2025.8.07.0018 (Des. Aiston Henrique de Sousa, j. 11/03/2026), recurso desprovido, no mesmo sentido (iajus). Em favor da exigibilidade: Acórdão 2142144, APC 0716247-18.2025.8.07.0018 (Des. Aiston Henrique de Sousa, rel. designado Des. Sérgio Rocha, 4ª TCiv, j. 30/06/2026), cuja ementa consta da contraminuta (ID 89259247, págs. 39-40) e não está no iajus. O voto não narra a mudança de entendimento. Conferir qual linha o Desembargador quer firmar para a Turma. Resultado mantido (C-03).</w:t>
      </w:r>
    </w:p>
  </w:comment>
  <w:comment w:id="6" w:author="Assessor GDSXSR" w:initials="AG" w:date="2026-10-28T18:04:57Z">
    <w:p>
      <w:pPr>
        <w:pStyle w:val="CommentText"/>
      </w:pPr>
      <w:r>
        <w:rPr>
          <w:rStyle w:val="CommentReference"/>
        </w:rPr>
        <w:annotationRef/>
      </w:r>
      <w:r>
        <w:t>Ponto sensível (C-52). Tema 877/STJ, conferido no iajus, status vigente: “O prazo prescricional para a execução individual é contado do trânsito em julgado da sentença coletiva, sendo desnecessária a providência de que trata o art. 94 da Lei n.8.078/90.” (julgado em 12/08/2015; o iajus não devolveu o número do recurso nem marcou a maturidade do precedente, de modo que não o citei no corpo). A decisão agravada e a liminar afastam o termo inicial do trânsito em julgado por actio nata e obrigação de trato sucessivo (Decreto 20.910/1932, art. 3º), e a contraminuta ainda invoca a interrupção pela execução coletiva do sindicato (REsp 1.724.832/RJ, lido só pela contraminuta e não enfrentado, C-17). Mesmo contado da cessação do pagamento em julho/2024, a propositura em 20/03/2026 ficou a menos de dois anos.</w:t>
      </w:r>
    </w:p>
  </w:comment>
  <w:comment w:id="7" w:author="Assessor GDSXSR" w:initials="AG" w:date="2026-10-28T18:04:57Z">
    <w:p>
      <w:pPr>
        <w:pStyle w:val="CommentText"/>
      </w:pPr>
      <w:r>
        <w:rPr>
          <w:rStyle w:val="CommentReference"/>
        </w:rPr>
        <w:annotationRef/>
      </w:r>
      <w:r>
        <w:t>A numeração do cumprimento coletivo (0706415-05.2018.8.07.0018) e a data da cessação (junho/julho de 2024) são as da ementa transcrita; conferir no Acórdão 2147673.</w:t>
      </w:r>
    </w:p>
  </w:comment>
  <w:comment w:id="8" w:author="Assessor GDSXSR" w:initials="AG" w:date="2026-10-28T18:04:57Z">
    <w:p>
      <w:pPr>
        <w:pStyle w:val="CommentText"/>
      </w:pPr>
      <w:r>
        <w:rPr>
          <w:rStyle w:val="CommentReference"/>
        </w:rPr>
        <w:annotationRef/>
      </w:r>
      <w:r>
        <w:t>Fecho de C-17: o voto não repete a liminar nem enfrenta os precedentes que o agravo e a contraminuta invocam sem estarem nos autos (REsp 1.724.832/RJ; Parecer 272/2024 PGDF/PGCONS), pois a liminar e a decisão agravada já respondem ao agravo. Texto da Lei Distrital nº 7.481/2024, arts. 1º e 2º, como transcrito pelo agravante (ID 88042303, págs. 8-9), sem conferência no SINJ-DF (o iajus não cobre norma distrital e a busca na web não trouxe fonte oficial): “Art. 1º A remuneração da Carreira da Polícia Penal, de que trata a Lei nº 3.669, de 13 de setembro de 2005, alterada por legislações posteriores, fica transformada em subsídio, fixado em parcela única, vedado o acréscimo de qualquer gratificação, adicional, abono, prêmio, verba de representação ou outra espécie remuneratória, na forma do art. 144, § 9º, c/c art. 39, § 4º, da Constituição Federal de 1988. Art. 2º Estão compreendidas no subsídio de que trata o art. 1º e não são devidas as seguintes parcelas remuneratórias: I – vencimento básico; II – Gratificação por Habilitação em Atividades Penitenciárias – GHAP (...); [inciso III] adicional noturno; IV – adicional de periculosidade; V – adicional de insalubridade; e VI – adicional de tempo de serviço.”</w:t>
      </w:r>
    </w:p>
  </w:comment>
  <w:comment w:id="9" w:author="Assessor GDSXSR" w:initials="AG" w:date="2026-10-28T18:04:57Z">
    <w:p>
      <w:pPr>
        <w:pStyle w:val="CommentText"/>
      </w:pPr>
      <w:r>
        <w:rPr>
          <w:rStyle w:val="CommentReference"/>
        </w:rPr>
        <w:annotationRef/>
      </w:r>
      <w:r>
        <w:t>Reproduzida como transcrita no agravo (ID 88042303, págs. 5 a 7), com os cortes “(...)” do próprio agravante; trocar pelo inteiro teor do ID 284727772 quando disponível (C-24).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0ED5E3" w15:done="0"/>
  <w15:commentEx w15:paraId="5063A203" w15:paraIdParent="2F0ED5E3" w15:done="0"/>
  <w15:commentEx w15:paraId="34F83087" w15:done="0"/>
  <w15:commentEx w15:paraId="306A8CE7" w15:done="0"/>
  <w15:commentEx w15:paraId="02AC35F1" w15:done="0"/>
  <w15:commentEx w15:paraId="239DFE9F" w15:done="0"/>
  <w15:commentEx w15:paraId="7F3DE9B6" w15:done="0"/>
  <w15:commentEx w15:paraId="053BD4B2" w15:done="0"/>
  <w15:commentEx w15:paraId="635B6197" w15:done="0"/>
  <w15:commentEx w15:paraId="43BBCF26" w15:done="0"/>
  <w15:commentEx w15:paraId="1706B0DC" w15:done="0"/>
  <w15:commentEx w15:paraId="76BBA968" w15:done="0"/>
  <w15:commentEx w15:paraId="185EF18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C5E5E9" w16cex:dateUtc="2026-10-11T18: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0ED5E3" w16cid:durableId="2E7212E3"/>
  <w16cid:commentId w16cid:paraId="5063A203" w16cid:durableId="2DC5E5E9"/>
  <w16cid:commentId w16cid:paraId="34F83087" w16cid:durableId="34F83087"/>
  <w16cid:commentId w16cid:paraId="306A8CE7" w16cid:durableId="306A8CE7"/>
  <w16cid:commentId w16cid:paraId="02AC35F1" w16cid:durableId="02AC35F1"/>
  <w16cid:commentId w16cid:paraId="239DFE9F" w16cid:durableId="239DFE9F"/>
  <w16cid:commentId w16cid:paraId="7F3DE9B6" w16cid:durableId="7F3DE9B6"/>
  <w16cid:commentId w16cid:paraId="053BD4B2" w16cid:durableId="053BD4B2"/>
  <w16cid:commentId w16cid:paraId="635B6197" w16cid:durableId="635B6197"/>
  <w16cid:commentId w16cid:paraId="43BBCF26" w16cid:durableId="43BBCF26"/>
  <w16cid:commentId w16cid:paraId="1706B0DC" w16cid:durableId="1706B0DC"/>
  <w16cid:commentId w16cid:paraId="76BBA968" w16cid:durableId="76BBA968"/>
  <w16cid:commentId w16cid:paraId="185EF18C" w16cid:durableId="185EF1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1C185" w14:textId="77777777" w:rsidR="005A3FD6" w:rsidRDefault="005A3FD6" w:rsidP="003A42DE">
      <w:pPr>
        <w:spacing w:after="0" w:line="240" w:lineRule="auto"/>
      </w:pPr>
      <w:r>
        <w:separator/>
      </w:r>
    </w:p>
  </w:endnote>
  <w:endnote w:type="continuationSeparator" w:id="0">
    <w:p w14:paraId="0AE884D4" w14:textId="77777777" w:rsidR="005A3FD6" w:rsidRDefault="005A3FD6" w:rsidP="003A42DE">
      <w:pPr>
        <w:spacing w:after="0" w:line="240" w:lineRule="auto"/>
      </w:pPr>
      <w:r>
        <w:continuationSeparator/>
      </w:r>
    </w:p>
  </w:endnote>
  <w:endnote w:type="continuationNotice" w:id="1">
    <w:p w14:paraId="4A152FB4" w14:textId="77777777" w:rsidR="005A3FD6" w:rsidRDefault="005A3FD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8E5FB" w14:textId="77777777" w:rsidR="005A3FD6" w:rsidRDefault="005A3FD6" w:rsidP="003A42DE">
      <w:pPr>
        <w:spacing w:after="0" w:line="240" w:lineRule="auto"/>
      </w:pPr>
      <w:r>
        <w:separator/>
      </w:r>
    </w:p>
  </w:footnote>
  <w:footnote w:type="continuationSeparator" w:id="0">
    <w:p w14:paraId="65FCF097" w14:textId="77777777" w:rsidR="005A3FD6" w:rsidRDefault="005A3FD6" w:rsidP="003A42DE">
      <w:pPr>
        <w:spacing w:after="0" w:line="240" w:lineRule="auto"/>
      </w:pPr>
      <w:r>
        <w:continuationSeparator/>
      </w:r>
    </w:p>
  </w:footnote>
  <w:footnote w:type="continuationNotice" w:id="1">
    <w:p w14:paraId="1DBB2BA5" w14:textId="77777777" w:rsidR="005A3FD6" w:rsidRDefault="005A3FD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9B160D3"/>
    <w:multiLevelType w:val="hybridMultilevel"/>
    <w:tmpl w:val="F3A22752"/>
    <w:lvl w:ilvl="0" w:tplc="332EDA1C">
      <w:start w:val="1"/>
      <w:numFmt w:val="decimal"/>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num w:numId="1" w16cid:durableId="627319827">
    <w:abstractNumId w:val="1"/>
  </w:num>
  <w:num w:numId="2" w16cid:durableId="1397048173">
    <w:abstractNumId w:val="0"/>
  </w:num>
  <w:num w:numId="3" w16cid:durableId="191832456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ylena Stephanie De Novais Pereira Moraes - Estagiário - GDSXSR">
    <w15:presenceInfo w15:providerId="AD" w15:userId="S-1-12-1-1980081617-1281101615-2286160294-2575491437"/>
  </w15:person>
  <w15:person w15:author="Marcos Dwayne Saraiva Costa - GDSXSR">
    <w15:presenceInfo w15:providerId="AD" w15:userId="S::t321760@tjdft.jus.br::71ef89ef-9eb5-4780-8a4d-3f3a792db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05FE1"/>
    <w:rsid w:val="00012123"/>
    <w:rsid w:val="0002189B"/>
    <w:rsid w:val="00022D84"/>
    <w:rsid w:val="0002738F"/>
    <w:rsid w:val="00033AFD"/>
    <w:rsid w:val="00034BFA"/>
    <w:rsid w:val="000354CF"/>
    <w:rsid w:val="000364B1"/>
    <w:rsid w:val="0005261A"/>
    <w:rsid w:val="00052AE3"/>
    <w:rsid w:val="00054434"/>
    <w:rsid w:val="000564D1"/>
    <w:rsid w:val="0006080C"/>
    <w:rsid w:val="000619E0"/>
    <w:rsid w:val="00064301"/>
    <w:rsid w:val="00067717"/>
    <w:rsid w:val="000701F9"/>
    <w:rsid w:val="00074DCF"/>
    <w:rsid w:val="00076D7D"/>
    <w:rsid w:val="00077579"/>
    <w:rsid w:val="00080991"/>
    <w:rsid w:val="0009174A"/>
    <w:rsid w:val="00091ABC"/>
    <w:rsid w:val="000A7009"/>
    <w:rsid w:val="000B0FC6"/>
    <w:rsid w:val="000D184E"/>
    <w:rsid w:val="000D1D2F"/>
    <w:rsid w:val="000D2E62"/>
    <w:rsid w:val="000D59B2"/>
    <w:rsid w:val="000F10FD"/>
    <w:rsid w:val="000F1358"/>
    <w:rsid w:val="000F1817"/>
    <w:rsid w:val="000F5CB5"/>
    <w:rsid w:val="001009CC"/>
    <w:rsid w:val="001055EE"/>
    <w:rsid w:val="0011527A"/>
    <w:rsid w:val="00115458"/>
    <w:rsid w:val="00115569"/>
    <w:rsid w:val="00122133"/>
    <w:rsid w:val="00125329"/>
    <w:rsid w:val="00126B66"/>
    <w:rsid w:val="00131A63"/>
    <w:rsid w:val="00134765"/>
    <w:rsid w:val="00137A7E"/>
    <w:rsid w:val="00143475"/>
    <w:rsid w:val="001514DA"/>
    <w:rsid w:val="00151611"/>
    <w:rsid w:val="00161CD2"/>
    <w:rsid w:val="001653BF"/>
    <w:rsid w:val="00173733"/>
    <w:rsid w:val="001801E9"/>
    <w:rsid w:val="00182C91"/>
    <w:rsid w:val="00183178"/>
    <w:rsid w:val="00183B77"/>
    <w:rsid w:val="00183D34"/>
    <w:rsid w:val="00187D84"/>
    <w:rsid w:val="001A09B8"/>
    <w:rsid w:val="001B5F56"/>
    <w:rsid w:val="001C3A23"/>
    <w:rsid w:val="001C466B"/>
    <w:rsid w:val="001D2162"/>
    <w:rsid w:val="001D300D"/>
    <w:rsid w:val="001D385D"/>
    <w:rsid w:val="001E4974"/>
    <w:rsid w:val="001E7903"/>
    <w:rsid w:val="001F7AC2"/>
    <w:rsid w:val="00200670"/>
    <w:rsid w:val="00203242"/>
    <w:rsid w:val="00203B1D"/>
    <w:rsid w:val="002047FF"/>
    <w:rsid w:val="00204F2E"/>
    <w:rsid w:val="00205849"/>
    <w:rsid w:val="00205FCC"/>
    <w:rsid w:val="00206304"/>
    <w:rsid w:val="002126F1"/>
    <w:rsid w:val="0021526A"/>
    <w:rsid w:val="00215557"/>
    <w:rsid w:val="002242EE"/>
    <w:rsid w:val="00231427"/>
    <w:rsid w:val="00232EEB"/>
    <w:rsid w:val="00252006"/>
    <w:rsid w:val="00253393"/>
    <w:rsid w:val="00254E51"/>
    <w:rsid w:val="0026070B"/>
    <w:rsid w:val="00264107"/>
    <w:rsid w:val="00274644"/>
    <w:rsid w:val="00277029"/>
    <w:rsid w:val="0028319F"/>
    <w:rsid w:val="0028377E"/>
    <w:rsid w:val="00283BF5"/>
    <w:rsid w:val="00292D3B"/>
    <w:rsid w:val="00292E82"/>
    <w:rsid w:val="00296DAE"/>
    <w:rsid w:val="002A2038"/>
    <w:rsid w:val="002A3D11"/>
    <w:rsid w:val="002A5205"/>
    <w:rsid w:val="002B1184"/>
    <w:rsid w:val="002B210E"/>
    <w:rsid w:val="002B6CCD"/>
    <w:rsid w:val="002C2464"/>
    <w:rsid w:val="002C42D2"/>
    <w:rsid w:val="002C6CFC"/>
    <w:rsid w:val="002D0BA1"/>
    <w:rsid w:val="002D127E"/>
    <w:rsid w:val="002D2D56"/>
    <w:rsid w:val="002D3FF3"/>
    <w:rsid w:val="002F13AB"/>
    <w:rsid w:val="00303FAE"/>
    <w:rsid w:val="0031063D"/>
    <w:rsid w:val="00312291"/>
    <w:rsid w:val="00312DDE"/>
    <w:rsid w:val="00314FAC"/>
    <w:rsid w:val="00316B1F"/>
    <w:rsid w:val="00321068"/>
    <w:rsid w:val="00323779"/>
    <w:rsid w:val="00323D27"/>
    <w:rsid w:val="0033305F"/>
    <w:rsid w:val="00337362"/>
    <w:rsid w:val="0034511C"/>
    <w:rsid w:val="00347818"/>
    <w:rsid w:val="00351653"/>
    <w:rsid w:val="00351BF2"/>
    <w:rsid w:val="003524E5"/>
    <w:rsid w:val="00352D66"/>
    <w:rsid w:val="00353DC8"/>
    <w:rsid w:val="00354AA2"/>
    <w:rsid w:val="00355C73"/>
    <w:rsid w:val="00361B6F"/>
    <w:rsid w:val="003624B4"/>
    <w:rsid w:val="003668EB"/>
    <w:rsid w:val="003717FC"/>
    <w:rsid w:val="003749AB"/>
    <w:rsid w:val="00375FE4"/>
    <w:rsid w:val="0038410E"/>
    <w:rsid w:val="00396413"/>
    <w:rsid w:val="003A42DE"/>
    <w:rsid w:val="003A4E55"/>
    <w:rsid w:val="003B3398"/>
    <w:rsid w:val="003D11BE"/>
    <w:rsid w:val="003D3FEE"/>
    <w:rsid w:val="003D4AC5"/>
    <w:rsid w:val="003E436D"/>
    <w:rsid w:val="003F6A6A"/>
    <w:rsid w:val="00413928"/>
    <w:rsid w:val="00423538"/>
    <w:rsid w:val="004236F7"/>
    <w:rsid w:val="00423F93"/>
    <w:rsid w:val="004310D8"/>
    <w:rsid w:val="0044278D"/>
    <w:rsid w:val="004436D1"/>
    <w:rsid w:val="004451BA"/>
    <w:rsid w:val="00445ED9"/>
    <w:rsid w:val="00447ECC"/>
    <w:rsid w:val="00451A6D"/>
    <w:rsid w:val="00456F19"/>
    <w:rsid w:val="00460071"/>
    <w:rsid w:val="00463883"/>
    <w:rsid w:val="00466CB5"/>
    <w:rsid w:val="00467E86"/>
    <w:rsid w:val="00470D8F"/>
    <w:rsid w:val="0047216B"/>
    <w:rsid w:val="00475E1F"/>
    <w:rsid w:val="004762F1"/>
    <w:rsid w:val="00480A33"/>
    <w:rsid w:val="00485185"/>
    <w:rsid w:val="00485643"/>
    <w:rsid w:val="00495EB5"/>
    <w:rsid w:val="00496EB5"/>
    <w:rsid w:val="004A3312"/>
    <w:rsid w:val="004B14BB"/>
    <w:rsid w:val="004B2A9C"/>
    <w:rsid w:val="004C0465"/>
    <w:rsid w:val="004C33F1"/>
    <w:rsid w:val="004C591E"/>
    <w:rsid w:val="004C7418"/>
    <w:rsid w:val="004D3E2F"/>
    <w:rsid w:val="004E27C1"/>
    <w:rsid w:val="004E61E1"/>
    <w:rsid w:val="004E6253"/>
    <w:rsid w:val="004F262B"/>
    <w:rsid w:val="004F58CC"/>
    <w:rsid w:val="00502781"/>
    <w:rsid w:val="00506A7D"/>
    <w:rsid w:val="00506D76"/>
    <w:rsid w:val="00517F10"/>
    <w:rsid w:val="00520126"/>
    <w:rsid w:val="00530C7C"/>
    <w:rsid w:val="00534782"/>
    <w:rsid w:val="00537AE0"/>
    <w:rsid w:val="00542FD5"/>
    <w:rsid w:val="00544796"/>
    <w:rsid w:val="0054511D"/>
    <w:rsid w:val="00550DE0"/>
    <w:rsid w:val="00557342"/>
    <w:rsid w:val="00560427"/>
    <w:rsid w:val="005654BC"/>
    <w:rsid w:val="0057351F"/>
    <w:rsid w:val="00573C5D"/>
    <w:rsid w:val="00576A45"/>
    <w:rsid w:val="0057726B"/>
    <w:rsid w:val="00582A1C"/>
    <w:rsid w:val="00586CF2"/>
    <w:rsid w:val="00586EB6"/>
    <w:rsid w:val="005925FC"/>
    <w:rsid w:val="005953DB"/>
    <w:rsid w:val="0059689A"/>
    <w:rsid w:val="00597864"/>
    <w:rsid w:val="005A1AD9"/>
    <w:rsid w:val="005A3FD6"/>
    <w:rsid w:val="005B1C70"/>
    <w:rsid w:val="005B3A9E"/>
    <w:rsid w:val="005B7851"/>
    <w:rsid w:val="005C2DC2"/>
    <w:rsid w:val="005C31C4"/>
    <w:rsid w:val="005C69F8"/>
    <w:rsid w:val="005D438E"/>
    <w:rsid w:val="005D6271"/>
    <w:rsid w:val="005E3F4E"/>
    <w:rsid w:val="006016E9"/>
    <w:rsid w:val="00601B09"/>
    <w:rsid w:val="0060333D"/>
    <w:rsid w:val="00611216"/>
    <w:rsid w:val="0061262D"/>
    <w:rsid w:val="00614EED"/>
    <w:rsid w:val="00615051"/>
    <w:rsid w:val="00615A3E"/>
    <w:rsid w:val="00620BEC"/>
    <w:rsid w:val="006226C6"/>
    <w:rsid w:val="00624943"/>
    <w:rsid w:val="00631154"/>
    <w:rsid w:val="006318D6"/>
    <w:rsid w:val="00632EAA"/>
    <w:rsid w:val="00633703"/>
    <w:rsid w:val="00635527"/>
    <w:rsid w:val="00640282"/>
    <w:rsid w:val="00641BB6"/>
    <w:rsid w:val="00643B97"/>
    <w:rsid w:val="00645ACD"/>
    <w:rsid w:val="00661CF3"/>
    <w:rsid w:val="00665626"/>
    <w:rsid w:val="006658A2"/>
    <w:rsid w:val="00672FEA"/>
    <w:rsid w:val="00684AF2"/>
    <w:rsid w:val="00684EAC"/>
    <w:rsid w:val="006921E1"/>
    <w:rsid w:val="00693B0D"/>
    <w:rsid w:val="006B2691"/>
    <w:rsid w:val="006B2A89"/>
    <w:rsid w:val="006B2CF6"/>
    <w:rsid w:val="006B555B"/>
    <w:rsid w:val="006C2F8C"/>
    <w:rsid w:val="006C6C58"/>
    <w:rsid w:val="006C6E29"/>
    <w:rsid w:val="006D07B9"/>
    <w:rsid w:val="006D0993"/>
    <w:rsid w:val="006D3824"/>
    <w:rsid w:val="006F10C9"/>
    <w:rsid w:val="006F725D"/>
    <w:rsid w:val="00711FE9"/>
    <w:rsid w:val="007135BF"/>
    <w:rsid w:val="00726567"/>
    <w:rsid w:val="00730800"/>
    <w:rsid w:val="007378F8"/>
    <w:rsid w:val="00744BDF"/>
    <w:rsid w:val="00745507"/>
    <w:rsid w:val="00745995"/>
    <w:rsid w:val="00751B6A"/>
    <w:rsid w:val="00755F58"/>
    <w:rsid w:val="007623B9"/>
    <w:rsid w:val="007650E0"/>
    <w:rsid w:val="00765559"/>
    <w:rsid w:val="00765709"/>
    <w:rsid w:val="00770E7F"/>
    <w:rsid w:val="00773803"/>
    <w:rsid w:val="0077693D"/>
    <w:rsid w:val="0077719E"/>
    <w:rsid w:val="00782446"/>
    <w:rsid w:val="007844F9"/>
    <w:rsid w:val="00787C80"/>
    <w:rsid w:val="00791D48"/>
    <w:rsid w:val="00794CD6"/>
    <w:rsid w:val="007A1438"/>
    <w:rsid w:val="007A3F4D"/>
    <w:rsid w:val="007B265E"/>
    <w:rsid w:val="007B4139"/>
    <w:rsid w:val="007C0FEF"/>
    <w:rsid w:val="007C196D"/>
    <w:rsid w:val="007C4969"/>
    <w:rsid w:val="007C4990"/>
    <w:rsid w:val="007C7C97"/>
    <w:rsid w:val="007D00F1"/>
    <w:rsid w:val="007D27C7"/>
    <w:rsid w:val="007D3BA7"/>
    <w:rsid w:val="007D4432"/>
    <w:rsid w:val="007E1C8C"/>
    <w:rsid w:val="007E3BF9"/>
    <w:rsid w:val="007E5B92"/>
    <w:rsid w:val="007E7A70"/>
    <w:rsid w:val="007F0F43"/>
    <w:rsid w:val="007F1C38"/>
    <w:rsid w:val="007F4412"/>
    <w:rsid w:val="007F7839"/>
    <w:rsid w:val="00800051"/>
    <w:rsid w:val="00803BB3"/>
    <w:rsid w:val="00803D87"/>
    <w:rsid w:val="00804386"/>
    <w:rsid w:val="008134CE"/>
    <w:rsid w:val="0081505D"/>
    <w:rsid w:val="008151BB"/>
    <w:rsid w:val="00816916"/>
    <w:rsid w:val="008235A6"/>
    <w:rsid w:val="00825BFF"/>
    <w:rsid w:val="00830957"/>
    <w:rsid w:val="0085425F"/>
    <w:rsid w:val="0086390F"/>
    <w:rsid w:val="0087110A"/>
    <w:rsid w:val="00877CCC"/>
    <w:rsid w:val="00877F2B"/>
    <w:rsid w:val="00882188"/>
    <w:rsid w:val="00885C87"/>
    <w:rsid w:val="008966E3"/>
    <w:rsid w:val="008A01E9"/>
    <w:rsid w:val="008A4445"/>
    <w:rsid w:val="008A49BC"/>
    <w:rsid w:val="008A56A3"/>
    <w:rsid w:val="008A7E58"/>
    <w:rsid w:val="008B45C4"/>
    <w:rsid w:val="008C306F"/>
    <w:rsid w:val="008C34E5"/>
    <w:rsid w:val="008C4183"/>
    <w:rsid w:val="008C641E"/>
    <w:rsid w:val="008C76BC"/>
    <w:rsid w:val="008C7D23"/>
    <w:rsid w:val="008D0C9F"/>
    <w:rsid w:val="008D5996"/>
    <w:rsid w:val="008D6884"/>
    <w:rsid w:val="008D721A"/>
    <w:rsid w:val="008E143C"/>
    <w:rsid w:val="008F4440"/>
    <w:rsid w:val="008F7683"/>
    <w:rsid w:val="00911601"/>
    <w:rsid w:val="00921617"/>
    <w:rsid w:val="00923394"/>
    <w:rsid w:val="0092538F"/>
    <w:rsid w:val="009300C5"/>
    <w:rsid w:val="00931DD0"/>
    <w:rsid w:val="00933600"/>
    <w:rsid w:val="009431B2"/>
    <w:rsid w:val="00945DCA"/>
    <w:rsid w:val="00946FF7"/>
    <w:rsid w:val="009506E0"/>
    <w:rsid w:val="00951CAD"/>
    <w:rsid w:val="009571DF"/>
    <w:rsid w:val="00957E6B"/>
    <w:rsid w:val="00960398"/>
    <w:rsid w:val="00966A46"/>
    <w:rsid w:val="00972EF3"/>
    <w:rsid w:val="0097497B"/>
    <w:rsid w:val="0097780C"/>
    <w:rsid w:val="00980CE7"/>
    <w:rsid w:val="00981634"/>
    <w:rsid w:val="009820B5"/>
    <w:rsid w:val="009827B6"/>
    <w:rsid w:val="00987E9A"/>
    <w:rsid w:val="0099371E"/>
    <w:rsid w:val="0099680F"/>
    <w:rsid w:val="009A136D"/>
    <w:rsid w:val="009B1E72"/>
    <w:rsid w:val="009B5A73"/>
    <w:rsid w:val="009C1026"/>
    <w:rsid w:val="009C4045"/>
    <w:rsid w:val="009C5448"/>
    <w:rsid w:val="009C7BCB"/>
    <w:rsid w:val="009D0769"/>
    <w:rsid w:val="009D0BA0"/>
    <w:rsid w:val="009D1137"/>
    <w:rsid w:val="009D2DF1"/>
    <w:rsid w:val="009D349F"/>
    <w:rsid w:val="009E1D8D"/>
    <w:rsid w:val="009E3373"/>
    <w:rsid w:val="009E3BE9"/>
    <w:rsid w:val="009F18C2"/>
    <w:rsid w:val="009F2BB1"/>
    <w:rsid w:val="009F36E1"/>
    <w:rsid w:val="009F46EA"/>
    <w:rsid w:val="009F684C"/>
    <w:rsid w:val="009F759D"/>
    <w:rsid w:val="009F776B"/>
    <w:rsid w:val="00A03057"/>
    <w:rsid w:val="00A072A2"/>
    <w:rsid w:val="00A2661C"/>
    <w:rsid w:val="00A31C13"/>
    <w:rsid w:val="00A330C4"/>
    <w:rsid w:val="00A3595E"/>
    <w:rsid w:val="00A41999"/>
    <w:rsid w:val="00A430EB"/>
    <w:rsid w:val="00A47396"/>
    <w:rsid w:val="00A573A3"/>
    <w:rsid w:val="00A6481B"/>
    <w:rsid w:val="00A70E5C"/>
    <w:rsid w:val="00A72414"/>
    <w:rsid w:val="00A7422B"/>
    <w:rsid w:val="00A743A0"/>
    <w:rsid w:val="00A773CE"/>
    <w:rsid w:val="00A80091"/>
    <w:rsid w:val="00A83F1F"/>
    <w:rsid w:val="00A87227"/>
    <w:rsid w:val="00A958AF"/>
    <w:rsid w:val="00A96CB3"/>
    <w:rsid w:val="00A97525"/>
    <w:rsid w:val="00AA7E81"/>
    <w:rsid w:val="00AB1DE4"/>
    <w:rsid w:val="00AB26AC"/>
    <w:rsid w:val="00AB773B"/>
    <w:rsid w:val="00AB7E65"/>
    <w:rsid w:val="00AC20E1"/>
    <w:rsid w:val="00AD1D33"/>
    <w:rsid w:val="00AD24D8"/>
    <w:rsid w:val="00AD31EF"/>
    <w:rsid w:val="00AD5FD5"/>
    <w:rsid w:val="00AE0F7F"/>
    <w:rsid w:val="00AE2669"/>
    <w:rsid w:val="00AF1B4E"/>
    <w:rsid w:val="00B00941"/>
    <w:rsid w:val="00B04942"/>
    <w:rsid w:val="00B0675D"/>
    <w:rsid w:val="00B12207"/>
    <w:rsid w:val="00B1604B"/>
    <w:rsid w:val="00B17310"/>
    <w:rsid w:val="00B248B7"/>
    <w:rsid w:val="00B25170"/>
    <w:rsid w:val="00B30DAE"/>
    <w:rsid w:val="00B3408D"/>
    <w:rsid w:val="00B37857"/>
    <w:rsid w:val="00B41866"/>
    <w:rsid w:val="00B525A4"/>
    <w:rsid w:val="00B5663B"/>
    <w:rsid w:val="00B606B1"/>
    <w:rsid w:val="00B60851"/>
    <w:rsid w:val="00B62DB5"/>
    <w:rsid w:val="00B641BB"/>
    <w:rsid w:val="00B73FAD"/>
    <w:rsid w:val="00B74F57"/>
    <w:rsid w:val="00B75D6D"/>
    <w:rsid w:val="00B90CEF"/>
    <w:rsid w:val="00B96606"/>
    <w:rsid w:val="00BA3360"/>
    <w:rsid w:val="00BA65D0"/>
    <w:rsid w:val="00BA6F38"/>
    <w:rsid w:val="00BA700C"/>
    <w:rsid w:val="00BB2608"/>
    <w:rsid w:val="00BB6749"/>
    <w:rsid w:val="00BC1A88"/>
    <w:rsid w:val="00BC439E"/>
    <w:rsid w:val="00BD03AB"/>
    <w:rsid w:val="00BE143B"/>
    <w:rsid w:val="00BE75D7"/>
    <w:rsid w:val="00BF1494"/>
    <w:rsid w:val="00BF173F"/>
    <w:rsid w:val="00BF4903"/>
    <w:rsid w:val="00C01659"/>
    <w:rsid w:val="00C06269"/>
    <w:rsid w:val="00C12218"/>
    <w:rsid w:val="00C21B40"/>
    <w:rsid w:val="00C22469"/>
    <w:rsid w:val="00C249B8"/>
    <w:rsid w:val="00C30F6D"/>
    <w:rsid w:val="00C32ACE"/>
    <w:rsid w:val="00C33B77"/>
    <w:rsid w:val="00C341CF"/>
    <w:rsid w:val="00C34425"/>
    <w:rsid w:val="00C35090"/>
    <w:rsid w:val="00C3701F"/>
    <w:rsid w:val="00C40A19"/>
    <w:rsid w:val="00C4378B"/>
    <w:rsid w:val="00C57E17"/>
    <w:rsid w:val="00C6664A"/>
    <w:rsid w:val="00C7116D"/>
    <w:rsid w:val="00C85DF2"/>
    <w:rsid w:val="00C86C2D"/>
    <w:rsid w:val="00C92DD5"/>
    <w:rsid w:val="00C94119"/>
    <w:rsid w:val="00C952EA"/>
    <w:rsid w:val="00CA06BB"/>
    <w:rsid w:val="00CA324E"/>
    <w:rsid w:val="00CB0848"/>
    <w:rsid w:val="00CB4E4C"/>
    <w:rsid w:val="00CB6E7F"/>
    <w:rsid w:val="00CB7FF8"/>
    <w:rsid w:val="00CC0AA1"/>
    <w:rsid w:val="00CC7150"/>
    <w:rsid w:val="00CD0AA9"/>
    <w:rsid w:val="00CD23C3"/>
    <w:rsid w:val="00CD417F"/>
    <w:rsid w:val="00CF0581"/>
    <w:rsid w:val="00CF247F"/>
    <w:rsid w:val="00CF6AE6"/>
    <w:rsid w:val="00CF75DB"/>
    <w:rsid w:val="00CF7709"/>
    <w:rsid w:val="00D0142B"/>
    <w:rsid w:val="00D0207F"/>
    <w:rsid w:val="00D04BD8"/>
    <w:rsid w:val="00D07310"/>
    <w:rsid w:val="00D101EF"/>
    <w:rsid w:val="00D1067B"/>
    <w:rsid w:val="00D12579"/>
    <w:rsid w:val="00D12D71"/>
    <w:rsid w:val="00D135AB"/>
    <w:rsid w:val="00D1396B"/>
    <w:rsid w:val="00D14D52"/>
    <w:rsid w:val="00D17E79"/>
    <w:rsid w:val="00D21983"/>
    <w:rsid w:val="00D26B11"/>
    <w:rsid w:val="00D27BD7"/>
    <w:rsid w:val="00D3152A"/>
    <w:rsid w:val="00D333D6"/>
    <w:rsid w:val="00D34492"/>
    <w:rsid w:val="00D4104B"/>
    <w:rsid w:val="00D41D6E"/>
    <w:rsid w:val="00D42A8F"/>
    <w:rsid w:val="00D42B4A"/>
    <w:rsid w:val="00D516B2"/>
    <w:rsid w:val="00D67264"/>
    <w:rsid w:val="00D72189"/>
    <w:rsid w:val="00D75CF3"/>
    <w:rsid w:val="00D80EBC"/>
    <w:rsid w:val="00D84490"/>
    <w:rsid w:val="00D85E07"/>
    <w:rsid w:val="00D9046F"/>
    <w:rsid w:val="00D954E7"/>
    <w:rsid w:val="00DA13F0"/>
    <w:rsid w:val="00DA7998"/>
    <w:rsid w:val="00DB1301"/>
    <w:rsid w:val="00DB342D"/>
    <w:rsid w:val="00DC71DB"/>
    <w:rsid w:val="00DD433D"/>
    <w:rsid w:val="00DE599B"/>
    <w:rsid w:val="00DF0654"/>
    <w:rsid w:val="00DF2670"/>
    <w:rsid w:val="00DF2730"/>
    <w:rsid w:val="00E002AC"/>
    <w:rsid w:val="00E00326"/>
    <w:rsid w:val="00E211F5"/>
    <w:rsid w:val="00E235EE"/>
    <w:rsid w:val="00E24DAF"/>
    <w:rsid w:val="00E26735"/>
    <w:rsid w:val="00E42C50"/>
    <w:rsid w:val="00E437CF"/>
    <w:rsid w:val="00E4507B"/>
    <w:rsid w:val="00E47E65"/>
    <w:rsid w:val="00E53472"/>
    <w:rsid w:val="00E53CAF"/>
    <w:rsid w:val="00E60CFF"/>
    <w:rsid w:val="00E61CB9"/>
    <w:rsid w:val="00E6317D"/>
    <w:rsid w:val="00E63DFE"/>
    <w:rsid w:val="00E647A0"/>
    <w:rsid w:val="00E741A9"/>
    <w:rsid w:val="00E74479"/>
    <w:rsid w:val="00E748E4"/>
    <w:rsid w:val="00E76D30"/>
    <w:rsid w:val="00E806F5"/>
    <w:rsid w:val="00E84E8A"/>
    <w:rsid w:val="00E85A12"/>
    <w:rsid w:val="00E86190"/>
    <w:rsid w:val="00E864A4"/>
    <w:rsid w:val="00E91CD1"/>
    <w:rsid w:val="00E963CE"/>
    <w:rsid w:val="00E96D12"/>
    <w:rsid w:val="00E97CB9"/>
    <w:rsid w:val="00EA02BC"/>
    <w:rsid w:val="00EB1788"/>
    <w:rsid w:val="00EB3378"/>
    <w:rsid w:val="00EB3703"/>
    <w:rsid w:val="00EB3F6A"/>
    <w:rsid w:val="00EB54B5"/>
    <w:rsid w:val="00EB68CA"/>
    <w:rsid w:val="00EC5732"/>
    <w:rsid w:val="00ED0A9E"/>
    <w:rsid w:val="00ED3952"/>
    <w:rsid w:val="00ED44BA"/>
    <w:rsid w:val="00ED5E8E"/>
    <w:rsid w:val="00EE027D"/>
    <w:rsid w:val="00EE55D5"/>
    <w:rsid w:val="00EE6E0C"/>
    <w:rsid w:val="00EE6F9A"/>
    <w:rsid w:val="00EE760E"/>
    <w:rsid w:val="00EF0BC2"/>
    <w:rsid w:val="00EF2715"/>
    <w:rsid w:val="00F041BA"/>
    <w:rsid w:val="00F055DD"/>
    <w:rsid w:val="00F10BB8"/>
    <w:rsid w:val="00F10D23"/>
    <w:rsid w:val="00F12768"/>
    <w:rsid w:val="00F143F5"/>
    <w:rsid w:val="00F154E7"/>
    <w:rsid w:val="00F1627D"/>
    <w:rsid w:val="00F20A80"/>
    <w:rsid w:val="00F21219"/>
    <w:rsid w:val="00F3251E"/>
    <w:rsid w:val="00F32608"/>
    <w:rsid w:val="00F51F47"/>
    <w:rsid w:val="00F547F1"/>
    <w:rsid w:val="00F55638"/>
    <w:rsid w:val="00F62DEE"/>
    <w:rsid w:val="00F63CDB"/>
    <w:rsid w:val="00F66640"/>
    <w:rsid w:val="00F82A85"/>
    <w:rsid w:val="00F82B6F"/>
    <w:rsid w:val="00F8453C"/>
    <w:rsid w:val="00F84974"/>
    <w:rsid w:val="00F87022"/>
    <w:rsid w:val="00F90DC1"/>
    <w:rsid w:val="00F91D92"/>
    <w:rsid w:val="00F9351B"/>
    <w:rsid w:val="00F93A32"/>
    <w:rsid w:val="00FA0B5E"/>
    <w:rsid w:val="00FA2668"/>
    <w:rsid w:val="00FC0273"/>
    <w:rsid w:val="00FC0C0F"/>
    <w:rsid w:val="00FC1054"/>
    <w:rsid w:val="00FC2521"/>
    <w:rsid w:val="00FC613E"/>
    <w:rsid w:val="00FC6652"/>
    <w:rsid w:val="00FC6E03"/>
    <w:rsid w:val="00FD5831"/>
    <w:rsid w:val="00FE5647"/>
    <w:rsid w:val="00FE59B4"/>
    <w:rsid w:val="00FE5B83"/>
    <w:rsid w:val="00FF0B68"/>
    <w:rsid w:val="00FF1783"/>
    <w:rsid w:val="00FF3288"/>
    <w:rsid w:val="00FF49FF"/>
    <w:rsid w:val="00FF5783"/>
    <w:rsid w:val="0100D07F"/>
    <w:rsid w:val="012B7E23"/>
    <w:rsid w:val="01427B94"/>
    <w:rsid w:val="026E497E"/>
    <w:rsid w:val="0309018F"/>
    <w:rsid w:val="0406F2B1"/>
    <w:rsid w:val="04EB9BAA"/>
    <w:rsid w:val="05C072E5"/>
    <w:rsid w:val="061EE5CE"/>
    <w:rsid w:val="066636ED"/>
    <w:rsid w:val="0741BAA1"/>
    <w:rsid w:val="07BAB62F"/>
    <w:rsid w:val="08624999"/>
    <w:rsid w:val="08795635"/>
    <w:rsid w:val="08BDBA2B"/>
    <w:rsid w:val="0A795B63"/>
    <w:rsid w:val="0A8ECADD"/>
    <w:rsid w:val="0BFCE006"/>
    <w:rsid w:val="0D003B5C"/>
    <w:rsid w:val="0E60C260"/>
    <w:rsid w:val="0E71A7A9"/>
    <w:rsid w:val="0ECBDBCC"/>
    <w:rsid w:val="0F16BAD4"/>
    <w:rsid w:val="0F49A558"/>
    <w:rsid w:val="0F4CCC86"/>
    <w:rsid w:val="105F35C5"/>
    <w:rsid w:val="106E20DE"/>
    <w:rsid w:val="10DFE56C"/>
    <w:rsid w:val="10E575B9"/>
    <w:rsid w:val="10E89CE7"/>
    <w:rsid w:val="1281461A"/>
    <w:rsid w:val="14261E79"/>
    <w:rsid w:val="147CBA5F"/>
    <w:rsid w:val="14B0854E"/>
    <w:rsid w:val="15075F5D"/>
    <w:rsid w:val="1522DC33"/>
    <w:rsid w:val="159010E4"/>
    <w:rsid w:val="161D075D"/>
    <w:rsid w:val="169085A1"/>
    <w:rsid w:val="169A247F"/>
    <w:rsid w:val="16AFD0FD"/>
    <w:rsid w:val="17071F12"/>
    <w:rsid w:val="1754F7B4"/>
    <w:rsid w:val="18BBA766"/>
    <w:rsid w:val="194071AB"/>
    <w:rsid w:val="19EFFB15"/>
    <w:rsid w:val="1B897297"/>
    <w:rsid w:val="1BB1DE98"/>
    <w:rsid w:val="1BBE419B"/>
    <w:rsid w:val="1CA82C99"/>
    <w:rsid w:val="1CCDCA00"/>
    <w:rsid w:val="1CF4E54D"/>
    <w:rsid w:val="1D0C8FA4"/>
    <w:rsid w:val="1DE275A0"/>
    <w:rsid w:val="1FAFCC66"/>
    <w:rsid w:val="22242253"/>
    <w:rsid w:val="2259356D"/>
    <w:rsid w:val="232923D0"/>
    <w:rsid w:val="248F4127"/>
    <w:rsid w:val="249E222A"/>
    <w:rsid w:val="255B7F74"/>
    <w:rsid w:val="26A9A53C"/>
    <w:rsid w:val="27623DE6"/>
    <w:rsid w:val="27FF6AAD"/>
    <w:rsid w:val="28500164"/>
    <w:rsid w:val="29FC1AE8"/>
    <w:rsid w:val="2AE1B6B7"/>
    <w:rsid w:val="2AE79E71"/>
    <w:rsid w:val="2AF5D78B"/>
    <w:rsid w:val="2B008F55"/>
    <w:rsid w:val="2BDF0338"/>
    <w:rsid w:val="2DA0D32B"/>
    <w:rsid w:val="2DD61D48"/>
    <w:rsid w:val="2F1C19A9"/>
    <w:rsid w:val="2F6C8503"/>
    <w:rsid w:val="303A7B14"/>
    <w:rsid w:val="30508782"/>
    <w:rsid w:val="30587508"/>
    <w:rsid w:val="31EC57E3"/>
    <w:rsid w:val="348DB4EB"/>
    <w:rsid w:val="34DED053"/>
    <w:rsid w:val="3601BA69"/>
    <w:rsid w:val="367267F9"/>
    <w:rsid w:val="36CA94C4"/>
    <w:rsid w:val="370C73D9"/>
    <w:rsid w:val="37408DCC"/>
    <w:rsid w:val="37BE17C0"/>
    <w:rsid w:val="38EEAB87"/>
    <w:rsid w:val="39AE4A8D"/>
    <w:rsid w:val="39FF574E"/>
    <w:rsid w:val="3AD2045E"/>
    <w:rsid w:val="3B9BF52E"/>
    <w:rsid w:val="3BB47562"/>
    <w:rsid w:val="3C5D9607"/>
    <w:rsid w:val="3CB9A540"/>
    <w:rsid w:val="3D1A2DB7"/>
    <w:rsid w:val="3D8580A5"/>
    <w:rsid w:val="3DE70794"/>
    <w:rsid w:val="3DEAD688"/>
    <w:rsid w:val="3E1D45DC"/>
    <w:rsid w:val="3FBD6A61"/>
    <w:rsid w:val="3FD06354"/>
    <w:rsid w:val="3FFE3DCC"/>
    <w:rsid w:val="41E1021E"/>
    <w:rsid w:val="420D9061"/>
    <w:rsid w:val="4228454C"/>
    <w:rsid w:val="42F63EA0"/>
    <w:rsid w:val="4380C41B"/>
    <w:rsid w:val="43A63994"/>
    <w:rsid w:val="43A67A0B"/>
    <w:rsid w:val="44688134"/>
    <w:rsid w:val="44FB294E"/>
    <w:rsid w:val="45D7D81A"/>
    <w:rsid w:val="45EE95F0"/>
    <w:rsid w:val="4614B705"/>
    <w:rsid w:val="463AD933"/>
    <w:rsid w:val="46C7D927"/>
    <w:rsid w:val="46DE1ACD"/>
    <w:rsid w:val="47FFA841"/>
    <w:rsid w:val="486374E3"/>
    <w:rsid w:val="4962903A"/>
    <w:rsid w:val="49AAD572"/>
    <w:rsid w:val="4AF457DF"/>
    <w:rsid w:val="4B409B22"/>
    <w:rsid w:val="4D3433F4"/>
    <w:rsid w:val="4D45AE2A"/>
    <w:rsid w:val="4D5D3872"/>
    <w:rsid w:val="4E4DFBED"/>
    <w:rsid w:val="4EB5970F"/>
    <w:rsid w:val="508888C8"/>
    <w:rsid w:val="515F5732"/>
    <w:rsid w:val="5212BFAD"/>
    <w:rsid w:val="52E52664"/>
    <w:rsid w:val="53A37578"/>
    <w:rsid w:val="54AAEF1D"/>
    <w:rsid w:val="57608C97"/>
    <w:rsid w:val="5774762B"/>
    <w:rsid w:val="58BC1B45"/>
    <w:rsid w:val="595140BA"/>
    <w:rsid w:val="5B188E3D"/>
    <w:rsid w:val="5D37D7FE"/>
    <w:rsid w:val="5DC7BB1E"/>
    <w:rsid w:val="5E27D90B"/>
    <w:rsid w:val="5E6879DC"/>
    <w:rsid w:val="5F1409FE"/>
    <w:rsid w:val="606F78C0"/>
    <w:rsid w:val="60D920B7"/>
    <w:rsid w:val="61757AFC"/>
    <w:rsid w:val="620B4921"/>
    <w:rsid w:val="62AAAE4B"/>
    <w:rsid w:val="63342658"/>
    <w:rsid w:val="63C11CD1"/>
    <w:rsid w:val="63C2EF9E"/>
    <w:rsid w:val="64275D2D"/>
    <w:rsid w:val="643043B2"/>
    <w:rsid w:val="6465318A"/>
    <w:rsid w:val="64971A8F"/>
    <w:rsid w:val="64B2D6F6"/>
    <w:rsid w:val="64BEBE7C"/>
    <w:rsid w:val="650595E1"/>
    <w:rsid w:val="6542E9E3"/>
    <w:rsid w:val="65A9FB65"/>
    <w:rsid w:val="65C26DF6"/>
    <w:rsid w:val="666768FE"/>
    <w:rsid w:val="667AE318"/>
    <w:rsid w:val="6708FB6D"/>
    <w:rsid w:val="675A84C2"/>
    <w:rsid w:val="67CD610C"/>
    <w:rsid w:val="68A32AA9"/>
    <w:rsid w:val="6A1CED46"/>
    <w:rsid w:val="6BAC55FA"/>
    <w:rsid w:val="6BB8BDA7"/>
    <w:rsid w:val="6BC51F58"/>
    <w:rsid w:val="6CAA19FA"/>
    <w:rsid w:val="6D09AFC2"/>
    <w:rsid w:val="6D53E1DA"/>
    <w:rsid w:val="6D8F90B1"/>
    <w:rsid w:val="6E776DB3"/>
    <w:rsid w:val="6EE9C512"/>
    <w:rsid w:val="6FB44F01"/>
    <w:rsid w:val="712DA350"/>
    <w:rsid w:val="7306BEE6"/>
    <w:rsid w:val="730E8E67"/>
    <w:rsid w:val="74B9330C"/>
    <w:rsid w:val="7557E461"/>
    <w:rsid w:val="756F79F5"/>
    <w:rsid w:val="772D2BEE"/>
    <w:rsid w:val="77A54DBC"/>
    <w:rsid w:val="78C9106D"/>
    <w:rsid w:val="79F68BA2"/>
    <w:rsid w:val="7C0D5C19"/>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B858305B-C878-40B3-90A6-E1F3DAC89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3B3398"/>
    <w:rPr>
      <w:b/>
      <w:bCs/>
    </w:rPr>
  </w:style>
  <w:style w:type="character" w:styleId="nfase">
    <w:name w:val="Emphasis"/>
    <w:basedOn w:val="Fontepargpadro"/>
    <w:uiPriority w:val="20"/>
    <w:qFormat/>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paragraph" w:styleId="Textodebalo">
    <w:name w:val="Balloon Text"/>
    <w:basedOn w:val="Normal"/>
    <w:link w:val="TextodebaloChar"/>
    <w:uiPriority w:val="99"/>
    <w:semiHidden/>
    <w:unhideWhenUsed/>
    <w:rsid w:val="00544796"/>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54479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597254930">
      <w:bodyDiv w:val="1"/>
      <w:marLeft w:val="0"/>
      <w:marRight w:val="0"/>
      <w:marTop w:val="0"/>
      <w:marBottom w:val="0"/>
      <w:divBdr>
        <w:top w:val="none" w:sz="0" w:space="0" w:color="auto"/>
        <w:left w:val="none" w:sz="0" w:space="0" w:color="auto"/>
        <w:bottom w:val="none" w:sz="0" w:space="0" w:color="auto"/>
        <w:right w:val="none" w:sz="0" w:space="0" w:color="auto"/>
      </w:divBdr>
      <w:divsChild>
        <w:div w:id="1838500137">
          <w:marLeft w:val="0"/>
          <w:marRight w:val="0"/>
          <w:marTop w:val="0"/>
          <w:marBottom w:val="0"/>
          <w:divBdr>
            <w:top w:val="single" w:sz="6" w:space="0" w:color="CCCCCC"/>
            <w:left w:val="none" w:sz="0" w:space="0" w:color="auto"/>
            <w:bottom w:val="none" w:sz="0" w:space="0" w:color="auto"/>
            <w:right w:val="none" w:sz="0" w:space="0" w:color="auto"/>
          </w:divBdr>
          <w:divsChild>
            <w:div w:id="133518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866064638">
      <w:bodyDiv w:val="1"/>
      <w:marLeft w:val="0"/>
      <w:marRight w:val="0"/>
      <w:marTop w:val="0"/>
      <w:marBottom w:val="0"/>
      <w:divBdr>
        <w:top w:val="none" w:sz="0" w:space="0" w:color="auto"/>
        <w:left w:val="none" w:sz="0" w:space="0" w:color="auto"/>
        <w:bottom w:val="none" w:sz="0" w:space="0" w:color="auto"/>
        <w:right w:val="none" w:sz="0" w:space="0" w:color="auto"/>
      </w:divBdr>
      <w:divsChild>
        <w:div w:id="2029062962">
          <w:marLeft w:val="0"/>
          <w:marRight w:val="0"/>
          <w:marTop w:val="0"/>
          <w:marBottom w:val="0"/>
          <w:divBdr>
            <w:top w:val="single" w:sz="6" w:space="0" w:color="CCCCCC"/>
            <w:left w:val="none" w:sz="0" w:space="0" w:color="auto"/>
            <w:bottom w:val="none" w:sz="0" w:space="0" w:color="auto"/>
            <w:right w:val="none" w:sz="0" w:space="0" w:color="auto"/>
          </w:divBdr>
          <w:divsChild>
            <w:div w:id="169649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30365640">
      <w:bodyDiv w:val="1"/>
      <w:marLeft w:val="0"/>
      <w:marRight w:val="0"/>
      <w:marTop w:val="0"/>
      <w:marBottom w:val="0"/>
      <w:divBdr>
        <w:top w:val="none" w:sz="0" w:space="0" w:color="auto"/>
        <w:left w:val="none" w:sz="0" w:space="0" w:color="auto"/>
        <w:bottom w:val="none" w:sz="0" w:space="0" w:color="auto"/>
        <w:right w:val="none" w:sz="0" w:space="0" w:color="auto"/>
      </w:divBdr>
      <w:divsChild>
        <w:div w:id="844443514">
          <w:marLeft w:val="0"/>
          <w:marRight w:val="0"/>
          <w:marTop w:val="0"/>
          <w:marBottom w:val="0"/>
          <w:divBdr>
            <w:top w:val="single" w:sz="8" w:space="1" w:color="auto"/>
            <w:left w:val="single" w:sz="8" w:space="4" w:color="auto"/>
            <w:bottom w:val="single" w:sz="8" w:space="1" w:color="auto"/>
            <w:right w:val="single" w:sz="8" w:space="4"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pje.tjdft.jus.br/pje/seam/resource/rest/pje-legacy/documento/download/287883920"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image" Target="media/image2.jpeg"/><Relationship Id="rId10" Type="http://schemas.openxmlformats.org/officeDocument/2006/relationships/image" Target="media/image1.png"/><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CC47C5ADE849A18DA0C7907A361910"/>
        <w:category>
          <w:name w:val="Geral"/>
          <w:gallery w:val="placeholder"/>
        </w:category>
        <w:types>
          <w:type w:val="bbPlcHdr"/>
        </w:types>
        <w:behaviors>
          <w:behavior w:val="content"/>
        </w:behaviors>
        <w:guid w:val="{82970ABC-6F8D-4C02-94D1-4488F3BFFA36}"/>
      </w:docPartPr>
      <w:docPartBody>
        <w:p w:rsidR="00773803" w:rsidRDefault="00773803" w:rsidP="00773803">
          <w:pPr>
            <w:pStyle w:val="7ACC47C5ADE849A18DA0C7907A361910"/>
          </w:pPr>
          <w:r w:rsidRPr="002A0A13">
            <w:rPr>
              <w:rStyle w:val="TextodoEspaoReservado"/>
            </w:rPr>
            <w:t>Escolher um item.</w:t>
          </w:r>
        </w:p>
      </w:docPartBody>
    </w:docPart>
    <w:docPart>
      <w:docPartPr>
        <w:name w:val="F878D1793E2346938EC18DAD866E9010"/>
        <w:category>
          <w:name w:val="Geral"/>
          <w:gallery w:val="placeholder"/>
        </w:category>
        <w:types>
          <w:type w:val="bbPlcHdr"/>
        </w:types>
        <w:behaviors>
          <w:behavior w:val="content"/>
        </w:behaviors>
        <w:guid w:val="{6F677645-7BEE-495B-A2A2-C7078781C734}"/>
      </w:docPartPr>
      <w:docPartBody>
        <w:p w:rsidR="00773803" w:rsidRDefault="00773803" w:rsidP="00773803">
          <w:pPr>
            <w:pStyle w:val="F878D1793E2346938EC18DAD866E9010"/>
          </w:pPr>
          <w:r w:rsidRPr="009F36E1">
            <w:rPr>
              <w:rStyle w:val="TextodoEspaoReservado"/>
              <w:sz w:val="28"/>
              <w:szCs w:val="28"/>
            </w:rPr>
            <w:t>Escolher um item.</w:t>
          </w:r>
        </w:p>
      </w:docPartBody>
    </w:docPart>
    <w:docPart>
      <w:docPartPr>
        <w:name w:val="AA1EE3EF79994F978EAA8FE4FF7A26BD"/>
        <w:category>
          <w:name w:val="Geral"/>
          <w:gallery w:val="placeholder"/>
        </w:category>
        <w:types>
          <w:type w:val="bbPlcHdr"/>
        </w:types>
        <w:behaviors>
          <w:behavior w:val="content"/>
        </w:behaviors>
        <w:guid w:val="{4D2D01E5-6886-4D3A-BC5A-5366DBB17323}"/>
      </w:docPartPr>
      <w:docPartBody>
        <w:p w:rsidR="00773803" w:rsidRDefault="00773803" w:rsidP="00773803">
          <w:pPr>
            <w:pStyle w:val="AA1EE3EF79994F978EAA8FE4FF7A26BD"/>
          </w:pPr>
          <w:r>
            <w:rPr>
              <w:rFonts w:cs="Arial"/>
            </w:rPr>
            <w:t>Escolher um item</w:t>
          </w:r>
        </w:p>
      </w:docPartBody>
    </w:docPart>
    <w:docPart>
      <w:docPartPr>
        <w:name w:val="BC7F39C12B0F442FBBF9AD5B583FBDE0"/>
        <w:category>
          <w:name w:val="Geral"/>
          <w:gallery w:val="placeholder"/>
        </w:category>
        <w:types>
          <w:type w:val="bbPlcHdr"/>
        </w:types>
        <w:behaviors>
          <w:behavior w:val="content"/>
        </w:behaviors>
        <w:guid w:val="{6AC9F25C-CE24-4940-A55B-E193616E922A}"/>
      </w:docPartPr>
      <w:docPartBody>
        <w:p w:rsidR="00773803" w:rsidRDefault="00773803" w:rsidP="00773803">
          <w:pPr>
            <w:pStyle w:val="BC7F39C12B0F442FBBF9AD5B583FBDE0"/>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1B0F6A"/>
    <w:rsid w:val="001E2AC0"/>
    <w:rsid w:val="00277029"/>
    <w:rsid w:val="002F13AB"/>
    <w:rsid w:val="003060EF"/>
    <w:rsid w:val="003D50C8"/>
    <w:rsid w:val="00465A25"/>
    <w:rsid w:val="004756EB"/>
    <w:rsid w:val="004C591E"/>
    <w:rsid w:val="00502781"/>
    <w:rsid w:val="00515AB3"/>
    <w:rsid w:val="00534782"/>
    <w:rsid w:val="005953DB"/>
    <w:rsid w:val="00730800"/>
    <w:rsid w:val="00773803"/>
    <w:rsid w:val="0077693D"/>
    <w:rsid w:val="00816916"/>
    <w:rsid w:val="00855F86"/>
    <w:rsid w:val="008C4978"/>
    <w:rsid w:val="009C5448"/>
    <w:rsid w:val="00A24E6D"/>
    <w:rsid w:val="00AB26AC"/>
    <w:rsid w:val="00AD59B1"/>
    <w:rsid w:val="00B9403F"/>
    <w:rsid w:val="00C34425"/>
    <w:rsid w:val="00C7198A"/>
    <w:rsid w:val="00CB636A"/>
    <w:rsid w:val="00D0262C"/>
    <w:rsid w:val="00DE22E5"/>
    <w:rsid w:val="00E85666"/>
    <w:rsid w:val="00EB68CA"/>
    <w:rsid w:val="00FA0B5E"/>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773803"/>
    <w:rPr>
      <w:color w:val="808080"/>
    </w:rPr>
  </w:style>
  <w:style w:type="paragraph" w:customStyle="1" w:styleId="7ACC47C5ADE849A18DA0C7907A361910">
    <w:name w:val="7ACC47C5ADE849A18DA0C7907A361910"/>
    <w:rsid w:val="00773803"/>
    <w:pPr>
      <w:spacing w:line="278" w:lineRule="auto"/>
    </w:pPr>
    <w:rPr>
      <w:kern w:val="2"/>
      <w:sz w:val="24"/>
      <w:szCs w:val="24"/>
      <w14:ligatures w14:val="standardContextual"/>
    </w:rPr>
  </w:style>
  <w:style w:type="paragraph" w:customStyle="1" w:styleId="F878D1793E2346938EC18DAD866E9010">
    <w:name w:val="F878D1793E2346938EC18DAD866E9010"/>
    <w:rsid w:val="00773803"/>
    <w:pPr>
      <w:spacing w:line="278" w:lineRule="auto"/>
    </w:pPr>
    <w:rPr>
      <w:kern w:val="2"/>
      <w:sz w:val="24"/>
      <w:szCs w:val="24"/>
      <w14:ligatures w14:val="standardContextual"/>
    </w:rPr>
  </w:style>
  <w:style w:type="paragraph" w:customStyle="1" w:styleId="AA1EE3EF79994F978EAA8FE4FF7A26BD">
    <w:name w:val="AA1EE3EF79994F978EAA8FE4FF7A26BD"/>
    <w:rsid w:val="00773803"/>
    <w:pPr>
      <w:spacing w:line="278" w:lineRule="auto"/>
    </w:pPr>
    <w:rPr>
      <w:kern w:val="2"/>
      <w:sz w:val="24"/>
      <w:szCs w:val="24"/>
      <w14:ligatures w14:val="standardContextual"/>
    </w:rPr>
  </w:style>
  <w:style w:type="paragraph" w:customStyle="1" w:styleId="BC7F39C12B0F442FBBF9AD5B583FBDE0">
    <w:name w:val="BC7F39C12B0F442FBBF9AD5B583FBDE0"/>
    <w:rsid w:val="0077380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e19ff19-df24-4dc9-a02b-c335bca63b3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3B12E41880BC24983CB850F07F82DEA" ma:contentTypeVersion="9" ma:contentTypeDescription="Crie um novo documento." ma:contentTypeScope="" ma:versionID="b1f138974602e1a37f2222163eb426de">
  <xsd:schema xmlns:xsd="http://www.w3.org/2001/XMLSchema" xmlns:xs="http://www.w3.org/2001/XMLSchema" xmlns:p="http://schemas.microsoft.com/office/2006/metadata/properties" xmlns:ns3="be19ff19-df24-4dc9-a02b-c335bca63b3e" targetNamespace="http://schemas.microsoft.com/office/2006/metadata/properties" ma:root="true" ma:fieldsID="424fff15148b846b632d628983052a1f" ns3:_="">
    <xsd:import namespace="be19ff19-df24-4dc9-a02b-c335bca63b3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19ff19-df24-4dc9-a02b-c335bca63b3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be19ff19-df24-4dc9-a02b-c335bca63b3e"/>
  </ds:schemaRefs>
</ds:datastoreItem>
</file>

<file path=customXml/itemProps2.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3.xml><?xml version="1.0" encoding="utf-8"?>
<ds:datastoreItem xmlns:ds="http://schemas.openxmlformats.org/officeDocument/2006/customXml" ds:itemID="{C2873F6E-C6C7-4197-AD2D-E814ECEB26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19ff19-df24-4dc9-a02b-c335bca63b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18</Pages>
  <Words>3281</Words>
  <Characters>17718</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Marcos Dwayne Saraiva Costa - GDSXSR</cp:lastModifiedBy>
  <cp:revision>4</cp:revision>
  <dcterms:created xsi:type="dcterms:W3CDTF">2026-10-07T20:53:00Z</dcterms:created>
  <dcterms:modified xsi:type="dcterms:W3CDTF">2026-10-11T18:08:00Z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0x010100E3B12E41880BC24983CB850F07F82DEA</vt:lpwstr>
  </property>
  <property fmtid="{D5CDD505-2E9C-101B-9397-08002B2CF9AE}" pid="3" name="MediaServiceImageTags">
    <vt:lpwstr/>
  </property>
</Properties>
</file>